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微生物肥料项目规划设计纲要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16" w:history="1">
        <w:r>
          <w:rPr>
            <w:rFonts w:ascii="仿宋" w:eastAsia="仿宋" w:hAnsi="仿宋" w:cs="仿宋" w:hint="eastAsia"/>
            <w:lang w:eastAsia="zh-CN"/>
          </w:rPr>
          <w:t>概论</w:t>
        </w:r>
        <w:r>
          <w:tab/>
        </w:r>
        <w:r>
          <w:fldChar w:fldCharType="begin"/>
        </w:r>
        <w:r>
          <w:instrText xml:space="preserve"> PAGEREF _Toc5916 \h </w:instrText>
        </w:r>
        <w:r>
          <w:fldChar w:fldCharType="separate"/>
        </w:r>
        <w:r>
          <w:t>3</w:t>
        </w:r>
        <w:r>
          <w:fldChar w:fldCharType="end"/>
        </w:r>
      </w:hyperlink>
    </w:p>
    <w:p>
      <w:pPr>
        <w:pStyle w:val="TOC1"/>
        <w:tabs>
          <w:tab w:val="right" w:leader="dot" w:pos="8306"/>
        </w:tabs>
      </w:pPr>
      <w:hyperlink w:anchor="_Toc31173" w:history="1">
        <w:r>
          <w:rPr>
            <w:rFonts w:ascii="仿宋" w:eastAsia="仿宋" w:hAnsi="仿宋" w:cs="仿宋" w:hint="eastAsia"/>
            <w:lang w:eastAsia="zh-CN"/>
          </w:rPr>
          <w:t>一、微生物肥料项目文档管理</w:t>
        </w:r>
        <w:r>
          <w:tab/>
        </w:r>
        <w:r>
          <w:fldChar w:fldCharType="begin"/>
        </w:r>
        <w:r>
          <w:instrText xml:space="preserve"> PAGEREF _Toc31173 \h </w:instrText>
        </w:r>
        <w:r>
          <w:fldChar w:fldCharType="separate"/>
        </w:r>
        <w:r>
          <w:t>3</w:t>
        </w:r>
        <w:r>
          <w:fldChar w:fldCharType="end"/>
        </w:r>
      </w:hyperlink>
    </w:p>
    <w:p>
      <w:pPr>
        <w:pStyle w:val="TOC2"/>
        <w:tabs>
          <w:tab w:val="right" w:leader="dot" w:pos="8306"/>
        </w:tabs>
      </w:pPr>
      <w:hyperlink w:anchor="_Toc28919" w:history="1">
        <w:r>
          <w:rPr>
            <w:rFonts w:ascii="仿宋" w:eastAsia="仿宋" w:hAnsi="仿宋" w:cs="仿宋" w:hint="eastAsia"/>
            <w:lang w:eastAsia="zh-CN"/>
          </w:rPr>
          <w:t>(一)、文档编制与审查</w:t>
        </w:r>
        <w:r>
          <w:tab/>
        </w:r>
        <w:r>
          <w:fldChar w:fldCharType="begin"/>
        </w:r>
        <w:r>
          <w:instrText xml:space="preserve"> PAGEREF _Toc28919 \h </w:instrText>
        </w:r>
        <w:r>
          <w:fldChar w:fldCharType="separate"/>
        </w:r>
        <w:r>
          <w:t>3</w:t>
        </w:r>
        <w:r>
          <w:fldChar w:fldCharType="end"/>
        </w:r>
      </w:hyperlink>
    </w:p>
    <w:p>
      <w:pPr>
        <w:pStyle w:val="TOC2"/>
        <w:tabs>
          <w:tab w:val="right" w:leader="dot" w:pos="8306"/>
        </w:tabs>
      </w:pPr>
      <w:hyperlink w:anchor="_Toc26058" w:history="1">
        <w:r>
          <w:rPr>
            <w:rFonts w:ascii="仿宋" w:eastAsia="仿宋" w:hAnsi="仿宋" w:cs="仿宋" w:hint="eastAsia"/>
            <w:lang w:eastAsia="zh-CN"/>
          </w:rPr>
          <w:t>(二)、文档发布与分发</w:t>
        </w:r>
        <w:r>
          <w:tab/>
        </w:r>
        <w:r>
          <w:fldChar w:fldCharType="begin"/>
        </w:r>
        <w:r>
          <w:instrText xml:space="preserve"> PAGEREF _Toc26058 \h </w:instrText>
        </w:r>
        <w:r>
          <w:fldChar w:fldCharType="separate"/>
        </w:r>
        <w:r>
          <w:t>4</w:t>
        </w:r>
        <w:r>
          <w:fldChar w:fldCharType="end"/>
        </w:r>
      </w:hyperlink>
    </w:p>
    <w:p>
      <w:pPr>
        <w:pStyle w:val="TOC2"/>
        <w:tabs>
          <w:tab w:val="right" w:leader="dot" w:pos="8306"/>
        </w:tabs>
      </w:pPr>
      <w:hyperlink w:anchor="_Toc4170" w:history="1">
        <w:r>
          <w:rPr>
            <w:rFonts w:ascii="仿宋" w:eastAsia="仿宋" w:hAnsi="仿宋" w:cs="仿宋" w:hint="eastAsia"/>
            <w:lang w:eastAsia="zh-CN"/>
          </w:rPr>
          <w:t>(三)、文档存档与归档</w:t>
        </w:r>
        <w:r>
          <w:tab/>
        </w:r>
        <w:r>
          <w:fldChar w:fldCharType="begin"/>
        </w:r>
        <w:r>
          <w:instrText xml:space="preserve"> PAGEREF _Toc4170 \h </w:instrText>
        </w:r>
        <w:r>
          <w:fldChar w:fldCharType="separate"/>
        </w:r>
        <w:r>
          <w:t>5</w:t>
        </w:r>
        <w:r>
          <w:fldChar w:fldCharType="end"/>
        </w:r>
      </w:hyperlink>
    </w:p>
    <w:p>
      <w:pPr>
        <w:pStyle w:val="TOC1"/>
        <w:tabs>
          <w:tab w:val="right" w:leader="dot" w:pos="8306"/>
        </w:tabs>
      </w:pPr>
      <w:hyperlink w:anchor="_Toc27988" w:history="1">
        <w:r>
          <w:rPr>
            <w:rFonts w:ascii="仿宋" w:eastAsia="仿宋" w:hAnsi="仿宋" w:cs="仿宋" w:hint="eastAsia"/>
            <w:lang w:eastAsia="zh-CN"/>
          </w:rPr>
          <w:t>二、微生物肥料项目土建工程</w:t>
        </w:r>
        <w:r>
          <w:tab/>
        </w:r>
        <w:r>
          <w:fldChar w:fldCharType="begin"/>
        </w:r>
        <w:r>
          <w:instrText xml:space="preserve"> PAGEREF _Toc27988 \h </w:instrText>
        </w:r>
        <w:r>
          <w:fldChar w:fldCharType="separate"/>
        </w:r>
        <w:r>
          <w:t>6</w:t>
        </w:r>
        <w:r>
          <w:fldChar w:fldCharType="end"/>
        </w:r>
      </w:hyperlink>
    </w:p>
    <w:p>
      <w:pPr>
        <w:pStyle w:val="TOC2"/>
        <w:tabs>
          <w:tab w:val="right" w:leader="dot" w:pos="8306"/>
        </w:tabs>
      </w:pPr>
      <w:hyperlink w:anchor="_Toc6727" w:history="1">
        <w:r>
          <w:rPr>
            <w:rFonts w:ascii="仿宋" w:eastAsia="仿宋" w:hAnsi="仿宋" w:cs="仿宋" w:hint="eastAsia"/>
            <w:lang w:eastAsia="zh-CN"/>
          </w:rPr>
          <w:t>(一)、建筑工程设计原则</w:t>
        </w:r>
        <w:r>
          <w:tab/>
        </w:r>
        <w:r>
          <w:fldChar w:fldCharType="begin"/>
        </w:r>
        <w:r>
          <w:instrText xml:space="preserve"> PAGEREF _Toc6727 \h </w:instrText>
        </w:r>
        <w:r>
          <w:fldChar w:fldCharType="separate"/>
        </w:r>
        <w:r>
          <w:t>6</w:t>
        </w:r>
        <w:r>
          <w:fldChar w:fldCharType="end"/>
        </w:r>
      </w:hyperlink>
    </w:p>
    <w:p>
      <w:pPr>
        <w:pStyle w:val="TOC2"/>
        <w:tabs>
          <w:tab w:val="right" w:leader="dot" w:pos="8306"/>
        </w:tabs>
      </w:pPr>
      <w:hyperlink w:anchor="_Toc31276" w:history="1">
        <w:r>
          <w:rPr>
            <w:rFonts w:ascii="仿宋" w:eastAsia="仿宋" w:hAnsi="仿宋" w:cs="仿宋" w:hint="eastAsia"/>
            <w:lang w:eastAsia="zh-CN"/>
          </w:rPr>
          <w:t>(二)、土建工程设计年限及安全等级</w:t>
        </w:r>
        <w:r>
          <w:tab/>
        </w:r>
        <w:r>
          <w:fldChar w:fldCharType="begin"/>
        </w:r>
        <w:r>
          <w:instrText xml:space="preserve"> PAGEREF _Toc31276 \h </w:instrText>
        </w:r>
        <w:r>
          <w:fldChar w:fldCharType="separate"/>
        </w:r>
        <w:r>
          <w:t>8</w:t>
        </w:r>
        <w:r>
          <w:fldChar w:fldCharType="end"/>
        </w:r>
      </w:hyperlink>
    </w:p>
    <w:p>
      <w:pPr>
        <w:pStyle w:val="TOC2"/>
        <w:tabs>
          <w:tab w:val="right" w:leader="dot" w:pos="8306"/>
        </w:tabs>
      </w:pPr>
      <w:hyperlink w:anchor="_Toc19821" w:history="1">
        <w:r>
          <w:rPr>
            <w:rFonts w:ascii="仿宋" w:eastAsia="仿宋" w:hAnsi="仿宋" w:cs="仿宋" w:hint="eastAsia"/>
            <w:lang w:eastAsia="zh-CN"/>
          </w:rPr>
          <w:t>(三)、建筑工程设计总体要求</w:t>
        </w:r>
        <w:r>
          <w:tab/>
        </w:r>
        <w:r>
          <w:fldChar w:fldCharType="begin"/>
        </w:r>
        <w:r>
          <w:instrText xml:space="preserve"> PAGEREF _Toc19821 \h </w:instrText>
        </w:r>
        <w:r>
          <w:fldChar w:fldCharType="separate"/>
        </w:r>
        <w:r>
          <w:t>9</w:t>
        </w:r>
        <w:r>
          <w:fldChar w:fldCharType="end"/>
        </w:r>
      </w:hyperlink>
    </w:p>
    <w:p>
      <w:pPr>
        <w:pStyle w:val="TOC2"/>
        <w:tabs>
          <w:tab w:val="right" w:leader="dot" w:pos="8306"/>
        </w:tabs>
      </w:pPr>
      <w:hyperlink w:anchor="_Toc17738" w:history="1">
        <w:r>
          <w:rPr>
            <w:rFonts w:ascii="仿宋" w:eastAsia="仿宋" w:hAnsi="仿宋" w:cs="仿宋" w:hint="eastAsia"/>
            <w:lang w:eastAsia="zh-CN"/>
          </w:rPr>
          <w:t>(四)、土建工程建设指标</w:t>
        </w:r>
        <w:r>
          <w:tab/>
        </w:r>
        <w:r>
          <w:fldChar w:fldCharType="begin"/>
        </w:r>
        <w:r>
          <w:instrText xml:space="preserve"> PAGEREF _Toc17738 \h </w:instrText>
        </w:r>
        <w:r>
          <w:fldChar w:fldCharType="separate"/>
        </w:r>
        <w:r>
          <w:t>9</w:t>
        </w:r>
        <w:r>
          <w:fldChar w:fldCharType="end"/>
        </w:r>
      </w:hyperlink>
    </w:p>
    <w:p>
      <w:pPr>
        <w:pStyle w:val="TOC1"/>
        <w:tabs>
          <w:tab w:val="right" w:leader="dot" w:pos="8306"/>
        </w:tabs>
      </w:pPr>
      <w:hyperlink w:anchor="_Toc27010" w:history="1">
        <w:r>
          <w:rPr>
            <w:rFonts w:ascii="仿宋" w:eastAsia="仿宋" w:hAnsi="仿宋" w:cs="仿宋" w:hint="eastAsia"/>
            <w:lang w:eastAsia="zh-CN"/>
          </w:rPr>
          <w:t>三、微生物肥料项目绩效评估</w:t>
        </w:r>
        <w:r>
          <w:tab/>
        </w:r>
        <w:r>
          <w:fldChar w:fldCharType="begin"/>
        </w:r>
        <w:r>
          <w:instrText xml:space="preserve"> PAGEREF _Toc27010 \h </w:instrText>
        </w:r>
        <w:r>
          <w:fldChar w:fldCharType="separate"/>
        </w:r>
        <w:r>
          <w:t>10</w:t>
        </w:r>
        <w:r>
          <w:fldChar w:fldCharType="end"/>
        </w:r>
      </w:hyperlink>
    </w:p>
    <w:p>
      <w:pPr>
        <w:pStyle w:val="TOC2"/>
        <w:tabs>
          <w:tab w:val="right" w:leader="dot" w:pos="8306"/>
        </w:tabs>
      </w:pPr>
      <w:hyperlink w:anchor="_Toc30557" w:history="1">
        <w:r>
          <w:rPr>
            <w:rFonts w:ascii="仿宋" w:eastAsia="仿宋" w:hAnsi="仿宋" w:cs="仿宋" w:hint="eastAsia"/>
            <w:lang w:eastAsia="zh-CN"/>
          </w:rPr>
          <w:t>(一)、绩效评估指标</w:t>
        </w:r>
        <w:r>
          <w:tab/>
        </w:r>
        <w:r>
          <w:fldChar w:fldCharType="begin"/>
        </w:r>
        <w:r>
          <w:instrText xml:space="preserve"> PAGEREF _Toc30557 \h </w:instrText>
        </w:r>
        <w:r>
          <w:fldChar w:fldCharType="separate"/>
        </w:r>
        <w:r>
          <w:t>10</w:t>
        </w:r>
        <w:r>
          <w:fldChar w:fldCharType="end"/>
        </w:r>
      </w:hyperlink>
    </w:p>
    <w:p>
      <w:pPr>
        <w:pStyle w:val="TOC2"/>
        <w:tabs>
          <w:tab w:val="right" w:leader="dot" w:pos="8306"/>
        </w:tabs>
      </w:pPr>
      <w:hyperlink w:anchor="_Toc17522" w:history="1">
        <w:r>
          <w:rPr>
            <w:rFonts w:ascii="仿宋" w:eastAsia="仿宋" w:hAnsi="仿宋" w:cs="仿宋" w:hint="eastAsia"/>
            <w:lang w:eastAsia="zh-CN"/>
          </w:rPr>
          <w:t>(二)、绩效评估方法</w:t>
        </w:r>
        <w:r>
          <w:tab/>
        </w:r>
        <w:r>
          <w:fldChar w:fldCharType="begin"/>
        </w:r>
        <w:r>
          <w:instrText xml:space="preserve"> PAGEREF _Toc17522 \h </w:instrText>
        </w:r>
        <w:r>
          <w:fldChar w:fldCharType="separate"/>
        </w:r>
        <w:r>
          <w:t>11</w:t>
        </w:r>
        <w:r>
          <w:fldChar w:fldCharType="end"/>
        </w:r>
      </w:hyperlink>
    </w:p>
    <w:p>
      <w:pPr>
        <w:pStyle w:val="TOC2"/>
        <w:tabs>
          <w:tab w:val="right" w:leader="dot" w:pos="8306"/>
        </w:tabs>
      </w:pPr>
      <w:hyperlink w:anchor="_Toc1719" w:history="1">
        <w:r>
          <w:rPr>
            <w:rFonts w:ascii="仿宋" w:eastAsia="仿宋" w:hAnsi="仿宋" w:cs="仿宋" w:hint="eastAsia"/>
            <w:lang w:eastAsia="zh-CN"/>
          </w:rPr>
          <w:t>(三)、绩效评估周期</w:t>
        </w:r>
        <w:r>
          <w:tab/>
        </w:r>
        <w:r>
          <w:fldChar w:fldCharType="begin"/>
        </w:r>
        <w:r>
          <w:instrText xml:space="preserve"> PAGEREF _Toc1719 \h </w:instrText>
        </w:r>
        <w:r>
          <w:fldChar w:fldCharType="separate"/>
        </w:r>
        <w:r>
          <w:t>12</w:t>
        </w:r>
        <w:r>
          <w:fldChar w:fldCharType="end"/>
        </w:r>
      </w:hyperlink>
    </w:p>
    <w:p>
      <w:pPr>
        <w:pStyle w:val="TOC1"/>
        <w:tabs>
          <w:tab w:val="right" w:leader="dot" w:pos="8306"/>
        </w:tabs>
      </w:pPr>
      <w:hyperlink w:anchor="_Toc23312" w:history="1">
        <w:r>
          <w:rPr>
            <w:rFonts w:ascii="仿宋" w:eastAsia="仿宋" w:hAnsi="仿宋" w:cs="仿宋" w:hint="eastAsia"/>
            <w:lang w:eastAsia="zh-CN"/>
          </w:rPr>
          <w:t>四、工艺说明</w:t>
        </w:r>
        <w:r>
          <w:tab/>
        </w:r>
        <w:r>
          <w:fldChar w:fldCharType="begin"/>
        </w:r>
        <w:r>
          <w:instrText xml:space="preserve"> PAGEREF _Toc23312 \h </w:instrText>
        </w:r>
        <w:r>
          <w:fldChar w:fldCharType="separate"/>
        </w:r>
        <w:r>
          <w:t>13</w:t>
        </w:r>
        <w:r>
          <w:fldChar w:fldCharType="end"/>
        </w:r>
      </w:hyperlink>
    </w:p>
    <w:p>
      <w:pPr>
        <w:pStyle w:val="TOC2"/>
        <w:tabs>
          <w:tab w:val="right" w:leader="dot" w:pos="8306"/>
        </w:tabs>
      </w:pPr>
      <w:hyperlink w:anchor="_Toc1400" w:history="1">
        <w:r>
          <w:rPr>
            <w:rFonts w:ascii="仿宋" w:eastAsia="仿宋" w:hAnsi="仿宋" w:cs="仿宋" w:hint="eastAsia"/>
            <w:lang w:eastAsia="zh-CN"/>
          </w:rPr>
          <w:t>(一)、技术管理特点</w:t>
        </w:r>
        <w:r>
          <w:tab/>
        </w:r>
        <w:r>
          <w:fldChar w:fldCharType="begin"/>
        </w:r>
        <w:r>
          <w:instrText xml:space="preserve"> PAGEREF _Toc1400 \h </w:instrText>
        </w:r>
        <w:r>
          <w:fldChar w:fldCharType="separate"/>
        </w:r>
        <w:r>
          <w:t>13</w:t>
        </w:r>
        <w:r>
          <w:fldChar w:fldCharType="end"/>
        </w:r>
      </w:hyperlink>
    </w:p>
    <w:p>
      <w:pPr>
        <w:pStyle w:val="TOC2"/>
        <w:tabs>
          <w:tab w:val="right" w:leader="dot" w:pos="8306"/>
        </w:tabs>
      </w:pPr>
      <w:hyperlink w:anchor="_Toc25878" w:history="1">
        <w:r>
          <w:rPr>
            <w:rFonts w:ascii="仿宋" w:eastAsia="仿宋" w:hAnsi="仿宋" w:cs="仿宋" w:hint="eastAsia"/>
            <w:lang w:eastAsia="zh-CN"/>
          </w:rPr>
          <w:t>(二)、微生物肥料项目工艺技术设计方案</w:t>
        </w:r>
        <w:r>
          <w:tab/>
        </w:r>
        <w:r>
          <w:fldChar w:fldCharType="begin"/>
        </w:r>
        <w:r>
          <w:instrText xml:space="preserve"> PAGEREF _Toc25878 \h </w:instrText>
        </w:r>
        <w:r>
          <w:fldChar w:fldCharType="separate"/>
        </w:r>
        <w:r>
          <w:t>14</w:t>
        </w:r>
        <w:r>
          <w:fldChar w:fldCharType="end"/>
        </w:r>
      </w:hyperlink>
    </w:p>
    <w:p>
      <w:pPr>
        <w:pStyle w:val="TOC2"/>
        <w:tabs>
          <w:tab w:val="right" w:leader="dot" w:pos="8306"/>
        </w:tabs>
      </w:pPr>
      <w:hyperlink w:anchor="_Toc27179" w:history="1">
        <w:r>
          <w:rPr>
            <w:rFonts w:ascii="仿宋" w:eastAsia="仿宋" w:hAnsi="仿宋" w:cs="仿宋" w:hint="eastAsia"/>
            <w:lang w:eastAsia="zh-CN"/>
          </w:rPr>
          <w:t>(三)、设备选型方案</w:t>
        </w:r>
        <w:r>
          <w:tab/>
        </w:r>
        <w:r>
          <w:fldChar w:fldCharType="begin"/>
        </w:r>
        <w:r>
          <w:instrText xml:space="preserve"> PAGEREF _Toc27179 \h </w:instrText>
        </w:r>
        <w:r>
          <w:fldChar w:fldCharType="separate"/>
        </w:r>
        <w:r>
          <w:t>15</w:t>
        </w:r>
        <w:r>
          <w:fldChar w:fldCharType="end"/>
        </w:r>
      </w:hyperlink>
    </w:p>
    <w:p>
      <w:pPr>
        <w:pStyle w:val="TOC1"/>
        <w:tabs>
          <w:tab w:val="right" w:leader="dot" w:pos="8306"/>
        </w:tabs>
      </w:pPr>
      <w:hyperlink w:anchor="_Toc28110" w:history="1">
        <w:r>
          <w:rPr>
            <w:rFonts w:ascii="仿宋" w:eastAsia="仿宋" w:hAnsi="仿宋" w:cs="仿宋" w:hint="eastAsia"/>
            <w:lang w:eastAsia="zh-CN"/>
          </w:rPr>
          <w:t>五、微生物肥料项目建设单位说明</w:t>
        </w:r>
        <w:r>
          <w:tab/>
        </w:r>
        <w:r>
          <w:fldChar w:fldCharType="begin"/>
        </w:r>
        <w:r>
          <w:instrText xml:space="preserve"> PAGEREF _Toc28110 \h </w:instrText>
        </w:r>
        <w:r>
          <w:fldChar w:fldCharType="separate"/>
        </w:r>
        <w:r>
          <w:t>17</w:t>
        </w:r>
        <w:r>
          <w:fldChar w:fldCharType="end"/>
        </w:r>
      </w:hyperlink>
    </w:p>
    <w:p>
      <w:pPr>
        <w:pStyle w:val="TOC2"/>
        <w:tabs>
          <w:tab w:val="right" w:leader="dot" w:pos="8306"/>
        </w:tabs>
      </w:pPr>
      <w:hyperlink w:anchor="_Toc28212" w:history="1">
        <w:r>
          <w:rPr>
            <w:rFonts w:ascii="仿宋" w:eastAsia="仿宋" w:hAnsi="仿宋" w:cs="仿宋" w:hint="eastAsia"/>
            <w:lang w:eastAsia="zh-CN"/>
          </w:rPr>
          <w:t>(一)、微生物肥料项目承办单位基本情况</w:t>
        </w:r>
        <w:r>
          <w:tab/>
        </w:r>
        <w:r>
          <w:fldChar w:fldCharType="begin"/>
        </w:r>
        <w:r>
          <w:instrText xml:space="preserve"> PAGEREF _Toc28212 \h </w:instrText>
        </w:r>
        <w:r>
          <w:fldChar w:fldCharType="separate"/>
        </w:r>
        <w:r>
          <w:t>17</w:t>
        </w:r>
        <w:r>
          <w:fldChar w:fldCharType="end"/>
        </w:r>
      </w:hyperlink>
    </w:p>
    <w:p>
      <w:pPr>
        <w:pStyle w:val="TOC2"/>
        <w:tabs>
          <w:tab w:val="right" w:leader="dot" w:pos="8306"/>
        </w:tabs>
      </w:pPr>
      <w:hyperlink w:anchor="_Toc16196" w:history="1">
        <w:r>
          <w:rPr>
            <w:rFonts w:ascii="仿宋" w:eastAsia="仿宋" w:hAnsi="仿宋" w:cs="仿宋" w:hint="eastAsia"/>
            <w:lang w:eastAsia="zh-CN"/>
          </w:rPr>
          <w:t>(二)、公司经济效益分析</w:t>
        </w:r>
        <w:r>
          <w:tab/>
        </w:r>
        <w:r>
          <w:fldChar w:fldCharType="begin"/>
        </w:r>
        <w:r>
          <w:instrText xml:space="preserve"> PAGEREF _Toc16196 \h </w:instrText>
        </w:r>
        <w:r>
          <w:fldChar w:fldCharType="separate"/>
        </w:r>
        <w:r>
          <w:t>17</w:t>
        </w:r>
        <w:r>
          <w:fldChar w:fldCharType="end"/>
        </w:r>
      </w:hyperlink>
    </w:p>
    <w:p>
      <w:pPr>
        <w:pStyle w:val="TOC1"/>
        <w:tabs>
          <w:tab w:val="right" w:leader="dot" w:pos="8306"/>
        </w:tabs>
      </w:pPr>
      <w:hyperlink w:anchor="_Toc14526" w:history="1">
        <w:r>
          <w:rPr>
            <w:rFonts w:ascii="仿宋" w:eastAsia="仿宋" w:hAnsi="仿宋" w:cs="仿宋" w:hint="eastAsia"/>
            <w:lang w:eastAsia="zh-CN"/>
          </w:rPr>
          <w:t>六、微生物肥料项目选址可行性分析</w:t>
        </w:r>
        <w:r>
          <w:tab/>
        </w:r>
        <w:r>
          <w:fldChar w:fldCharType="begin"/>
        </w:r>
        <w:r>
          <w:instrText xml:space="preserve"> PAGEREF _Toc14526 \h </w:instrText>
        </w:r>
        <w:r>
          <w:fldChar w:fldCharType="separate"/>
        </w:r>
        <w:r>
          <w:t>18</w:t>
        </w:r>
        <w:r>
          <w:fldChar w:fldCharType="end"/>
        </w:r>
      </w:hyperlink>
    </w:p>
    <w:p>
      <w:pPr>
        <w:pStyle w:val="TOC2"/>
        <w:tabs>
          <w:tab w:val="right" w:leader="dot" w:pos="8306"/>
        </w:tabs>
      </w:pPr>
      <w:hyperlink w:anchor="_Toc7171" w:history="1">
        <w:r>
          <w:rPr>
            <w:rFonts w:ascii="仿宋" w:eastAsia="仿宋" w:hAnsi="仿宋" w:cs="仿宋" w:hint="eastAsia"/>
            <w:lang w:eastAsia="zh-CN"/>
          </w:rPr>
          <w:t>(一)、微生物肥料项目选址</w:t>
        </w:r>
        <w:r>
          <w:tab/>
        </w:r>
        <w:r>
          <w:fldChar w:fldCharType="begin"/>
        </w:r>
        <w:r>
          <w:instrText xml:space="preserve"> PAGEREF _Toc7171 \h </w:instrText>
        </w:r>
        <w:r>
          <w:fldChar w:fldCharType="separate"/>
        </w:r>
        <w:r>
          <w:t>18</w:t>
        </w:r>
        <w:r>
          <w:fldChar w:fldCharType="end"/>
        </w:r>
      </w:hyperlink>
    </w:p>
    <w:p>
      <w:pPr>
        <w:pStyle w:val="TOC2"/>
        <w:tabs>
          <w:tab w:val="right" w:leader="dot" w:pos="8306"/>
        </w:tabs>
      </w:pPr>
      <w:hyperlink w:anchor="_Toc523" w:history="1">
        <w:r>
          <w:rPr>
            <w:rFonts w:ascii="仿宋" w:eastAsia="仿宋" w:hAnsi="仿宋" w:cs="仿宋" w:hint="eastAsia"/>
            <w:lang w:eastAsia="zh-CN"/>
          </w:rPr>
          <w:t>(二)、用地控制指标</w:t>
        </w:r>
        <w:r>
          <w:tab/>
        </w:r>
        <w:r>
          <w:fldChar w:fldCharType="begin"/>
        </w:r>
        <w:r>
          <w:instrText xml:space="preserve"> PAGEREF _Toc523 \h </w:instrText>
        </w:r>
        <w:r>
          <w:fldChar w:fldCharType="separate"/>
        </w:r>
        <w:r>
          <w:t>18</w:t>
        </w:r>
        <w:r>
          <w:fldChar w:fldCharType="end"/>
        </w:r>
      </w:hyperlink>
    </w:p>
    <w:p>
      <w:pPr>
        <w:pStyle w:val="TOC2"/>
        <w:tabs>
          <w:tab w:val="right" w:leader="dot" w:pos="8306"/>
        </w:tabs>
      </w:pPr>
      <w:hyperlink w:anchor="_Toc25502" w:history="1">
        <w:r>
          <w:rPr>
            <w:rFonts w:ascii="仿宋" w:eastAsia="仿宋" w:hAnsi="仿宋" w:cs="仿宋" w:hint="eastAsia"/>
            <w:lang w:eastAsia="zh-CN"/>
          </w:rPr>
          <w:t>(三)、节约用地措施</w:t>
        </w:r>
        <w:r>
          <w:tab/>
        </w:r>
        <w:r>
          <w:fldChar w:fldCharType="begin"/>
        </w:r>
        <w:r>
          <w:instrText xml:space="preserve"> PAGEREF _Toc25502 \h </w:instrText>
        </w:r>
        <w:r>
          <w:fldChar w:fldCharType="separate"/>
        </w:r>
        <w:r>
          <w:t>20</w:t>
        </w:r>
        <w:r>
          <w:fldChar w:fldCharType="end"/>
        </w:r>
      </w:hyperlink>
    </w:p>
    <w:p>
      <w:pPr>
        <w:pStyle w:val="TOC2"/>
        <w:tabs>
          <w:tab w:val="right" w:leader="dot" w:pos="8306"/>
        </w:tabs>
      </w:pPr>
      <w:hyperlink w:anchor="_Toc31315" w:history="1">
        <w:r>
          <w:rPr>
            <w:rFonts w:ascii="仿宋" w:eastAsia="仿宋" w:hAnsi="仿宋" w:cs="仿宋" w:hint="eastAsia"/>
            <w:lang w:eastAsia="zh-CN"/>
          </w:rPr>
          <w:t>(四)、总图布置方案</w:t>
        </w:r>
        <w:r>
          <w:tab/>
        </w:r>
        <w:r>
          <w:fldChar w:fldCharType="begin"/>
        </w:r>
        <w:r>
          <w:instrText xml:space="preserve"> PAGEREF _Toc31315 \h </w:instrText>
        </w:r>
        <w:r>
          <w:fldChar w:fldCharType="separate"/>
        </w:r>
        <w:r>
          <w:t>21</w:t>
        </w:r>
        <w:r>
          <w:fldChar w:fldCharType="end"/>
        </w:r>
      </w:hyperlink>
    </w:p>
    <w:p>
      <w:pPr>
        <w:pStyle w:val="TOC2"/>
        <w:tabs>
          <w:tab w:val="right" w:leader="dot" w:pos="8306"/>
        </w:tabs>
      </w:pPr>
      <w:hyperlink w:anchor="_Toc24725" w:history="1">
        <w:r>
          <w:rPr>
            <w:rFonts w:ascii="仿宋" w:eastAsia="仿宋" w:hAnsi="仿宋" w:cs="仿宋" w:hint="eastAsia"/>
            <w:lang w:eastAsia="zh-CN"/>
          </w:rPr>
          <w:t>(五)、选址综合评价</w:t>
        </w:r>
        <w:r>
          <w:tab/>
        </w:r>
        <w:r>
          <w:fldChar w:fldCharType="begin"/>
        </w:r>
        <w:r>
          <w:instrText xml:space="preserve"> PAGEREF _Toc24725 \h </w:instrText>
        </w:r>
        <w:r>
          <w:fldChar w:fldCharType="separate"/>
        </w:r>
        <w:r>
          <w:t>22</w:t>
        </w:r>
        <w:r>
          <w:fldChar w:fldCharType="end"/>
        </w:r>
      </w:hyperlink>
    </w:p>
    <w:p>
      <w:pPr>
        <w:pStyle w:val="TOC1"/>
        <w:tabs>
          <w:tab w:val="right" w:leader="dot" w:pos="8306"/>
        </w:tabs>
      </w:pPr>
      <w:hyperlink w:anchor="_Toc22683" w:history="1">
        <w:r>
          <w:rPr>
            <w:rFonts w:ascii="仿宋" w:eastAsia="仿宋" w:hAnsi="仿宋" w:cs="仿宋" w:hint="eastAsia"/>
            <w:lang w:eastAsia="zh-CN"/>
          </w:rPr>
          <w:t>七、微生物肥料项目社会影响</w:t>
        </w:r>
        <w:r>
          <w:tab/>
        </w:r>
        <w:r>
          <w:fldChar w:fldCharType="begin"/>
        </w:r>
        <w:r>
          <w:instrText xml:space="preserve"> PAGEREF _Toc22683 \h </w:instrText>
        </w:r>
        <w:r>
          <w:fldChar w:fldCharType="separate"/>
        </w:r>
        <w:r>
          <w:t>23</w:t>
        </w:r>
        <w:r>
          <w:fldChar w:fldCharType="end"/>
        </w:r>
      </w:hyperlink>
    </w:p>
    <w:p>
      <w:pPr>
        <w:pStyle w:val="TOC2"/>
        <w:tabs>
          <w:tab w:val="right" w:leader="dot" w:pos="8306"/>
        </w:tabs>
      </w:pPr>
      <w:hyperlink w:anchor="_Toc12890" w:history="1">
        <w:r>
          <w:rPr>
            <w:rFonts w:ascii="仿宋" w:eastAsia="仿宋" w:hAnsi="仿宋" w:cs="仿宋" w:hint="eastAsia"/>
            <w:lang w:eastAsia="zh-CN"/>
          </w:rPr>
          <w:t>(一)、社会责任与义务</w:t>
        </w:r>
        <w:r>
          <w:tab/>
        </w:r>
        <w:r>
          <w:fldChar w:fldCharType="begin"/>
        </w:r>
        <w:r>
          <w:instrText xml:space="preserve"> PAGEREF _Toc12890 \h </w:instrText>
        </w:r>
        <w:r>
          <w:fldChar w:fldCharType="separate"/>
        </w:r>
        <w:r>
          <w:t>23</w:t>
        </w:r>
        <w:r>
          <w:fldChar w:fldCharType="end"/>
        </w:r>
      </w:hyperlink>
    </w:p>
    <w:p>
      <w:pPr>
        <w:pStyle w:val="TOC2"/>
        <w:tabs>
          <w:tab w:val="right" w:leader="dot" w:pos="8306"/>
        </w:tabs>
      </w:pPr>
      <w:hyperlink w:anchor="_Toc22814" w:history="1">
        <w:r>
          <w:rPr>
            <w:rFonts w:ascii="仿宋" w:eastAsia="仿宋" w:hAnsi="仿宋" w:cs="仿宋" w:hint="eastAsia"/>
            <w:lang w:eastAsia="zh-CN"/>
          </w:rPr>
          <w:t>(二)、社会参与与沟通</w:t>
        </w:r>
        <w:r>
          <w:tab/>
        </w:r>
        <w:r>
          <w:fldChar w:fldCharType="begin"/>
        </w:r>
        <w:r>
          <w:instrText xml:space="preserve"> PAGEREF _Toc22814 \h </w:instrText>
        </w:r>
        <w:r>
          <w:fldChar w:fldCharType="separate"/>
        </w:r>
        <w:r>
          <w:t>24</w:t>
        </w:r>
        <w:r>
          <w:fldChar w:fldCharType="end"/>
        </w:r>
      </w:hyperlink>
    </w:p>
    <w:p>
      <w:pPr>
        <w:pStyle w:val="TOC1"/>
        <w:tabs>
          <w:tab w:val="right" w:leader="dot" w:pos="8306"/>
        </w:tabs>
      </w:pPr>
      <w:hyperlink w:anchor="_Toc7293" w:history="1">
        <w:r>
          <w:rPr>
            <w:rFonts w:ascii="仿宋" w:eastAsia="仿宋" w:hAnsi="仿宋" w:cs="仿宋" w:hint="eastAsia"/>
            <w:lang w:eastAsia="zh-CN"/>
          </w:rPr>
          <w:t>八、微生物肥料项目财务管理</w:t>
        </w:r>
        <w:r>
          <w:tab/>
        </w:r>
        <w:r>
          <w:fldChar w:fldCharType="begin"/>
        </w:r>
        <w:r>
          <w:instrText xml:space="preserve"> PAGEREF _Toc7293 \h </w:instrText>
        </w:r>
        <w:r>
          <w:fldChar w:fldCharType="separate"/>
        </w:r>
        <w:r>
          <w:t>25</w:t>
        </w:r>
        <w:r>
          <w:fldChar w:fldCharType="end"/>
        </w:r>
      </w:hyperlink>
    </w:p>
    <w:p>
      <w:pPr>
        <w:pStyle w:val="TOC2"/>
        <w:tabs>
          <w:tab w:val="right" w:leader="dot" w:pos="8306"/>
        </w:tabs>
      </w:pPr>
      <w:hyperlink w:anchor="_Toc28748" w:history="1">
        <w:r>
          <w:rPr>
            <w:rFonts w:ascii="仿宋" w:eastAsia="仿宋" w:hAnsi="仿宋" w:cs="仿宋" w:hint="eastAsia"/>
            <w:lang w:eastAsia="zh-CN"/>
          </w:rPr>
          <w:t>(一)、资金需求大</w:t>
        </w:r>
        <w:r>
          <w:tab/>
        </w:r>
        <w:r>
          <w:fldChar w:fldCharType="begin"/>
        </w:r>
        <w:r>
          <w:instrText xml:space="preserve"> PAGEREF _Toc28748 \h </w:instrText>
        </w:r>
        <w:r>
          <w:fldChar w:fldCharType="separate"/>
        </w:r>
        <w:r>
          <w:t>25</w:t>
        </w:r>
        <w:r>
          <w:fldChar w:fldCharType="end"/>
        </w:r>
      </w:hyperlink>
    </w:p>
    <w:p>
      <w:pPr>
        <w:pStyle w:val="TOC2"/>
        <w:tabs>
          <w:tab w:val="right" w:leader="dot" w:pos="8306"/>
        </w:tabs>
      </w:pPr>
      <w:hyperlink w:anchor="_Toc3151" w:history="1">
        <w:r>
          <w:rPr>
            <w:rFonts w:ascii="仿宋" w:eastAsia="仿宋" w:hAnsi="仿宋" w:cs="仿宋" w:hint="eastAsia"/>
            <w:lang w:eastAsia="zh-CN"/>
          </w:rPr>
          <w:t>(二)、研发周期长</w:t>
        </w:r>
        <w:r>
          <w:tab/>
        </w:r>
        <w:r>
          <w:fldChar w:fldCharType="begin"/>
        </w:r>
        <w:r>
          <w:instrText xml:space="preserve"> PAGEREF _Toc3151 \h </w:instrText>
        </w:r>
        <w:r>
          <w:fldChar w:fldCharType="separate"/>
        </w:r>
        <w:r>
          <w:t>26</w:t>
        </w:r>
        <w:r>
          <w:fldChar w:fldCharType="end"/>
        </w:r>
      </w:hyperlink>
    </w:p>
    <w:p>
      <w:pPr>
        <w:pStyle w:val="TOC2"/>
        <w:tabs>
          <w:tab w:val="right" w:leader="dot" w:pos="8306"/>
        </w:tabs>
      </w:pPr>
      <w:hyperlink w:anchor="_Toc24164" w:history="1">
        <w:r>
          <w:rPr>
            <w:rFonts w:ascii="仿宋" w:eastAsia="仿宋" w:hAnsi="仿宋" w:cs="仿宋" w:hint="eastAsia"/>
            <w:lang w:eastAsia="zh-CN"/>
          </w:rPr>
          <w:t>(三)、市场风险大</w:t>
        </w:r>
        <w:r>
          <w:tab/>
        </w:r>
        <w:r>
          <w:fldChar w:fldCharType="begin"/>
        </w:r>
        <w:r>
          <w:instrText xml:space="preserve"> PAGEREF _Toc24164 \h </w:instrText>
        </w:r>
        <w:r>
          <w:fldChar w:fldCharType="separate"/>
        </w:r>
        <w:r>
          <w:t>27</w:t>
        </w:r>
        <w:r>
          <w:fldChar w:fldCharType="end"/>
        </w:r>
      </w:hyperlink>
    </w:p>
    <w:p>
      <w:pPr>
        <w:pStyle w:val="TOC2"/>
        <w:tabs>
          <w:tab w:val="right" w:leader="dot" w:pos="8306"/>
        </w:tabs>
      </w:pPr>
      <w:hyperlink w:anchor="_Toc28792" w:history="1">
        <w:r>
          <w:rPr>
            <w:rFonts w:ascii="仿宋" w:eastAsia="仿宋" w:hAnsi="仿宋" w:cs="仿宋" w:hint="eastAsia"/>
            <w:lang w:eastAsia="zh-CN"/>
          </w:rPr>
          <w:t>(四)、利润率高</w:t>
        </w:r>
        <w:r>
          <w:tab/>
        </w:r>
        <w:r>
          <w:fldChar w:fldCharType="begin"/>
        </w:r>
        <w:r>
          <w:instrText xml:space="preserve"> PAGEREF _Toc28792 \h </w:instrText>
        </w:r>
        <w:r>
          <w:fldChar w:fldCharType="separate"/>
        </w:r>
        <w:r>
          <w:t>30</w:t>
        </w:r>
        <w:r>
          <w:fldChar w:fldCharType="end"/>
        </w:r>
      </w:hyperlink>
    </w:p>
    <w:p>
      <w:pPr>
        <w:pStyle w:val="TOC1"/>
        <w:tabs>
          <w:tab w:val="right" w:leader="dot" w:pos="8306"/>
        </w:tabs>
      </w:pPr>
      <w:hyperlink w:anchor="_Toc28979" w:history="1">
        <w:r>
          <w:rPr>
            <w:rFonts w:ascii="仿宋" w:eastAsia="仿宋" w:hAnsi="仿宋" w:cs="仿宋" w:hint="eastAsia"/>
            <w:lang w:eastAsia="zh-CN"/>
          </w:rPr>
          <w:t>九、微生物肥料项目环境影响分析</w:t>
        </w:r>
        <w:r>
          <w:tab/>
        </w:r>
        <w:r>
          <w:fldChar w:fldCharType="begin"/>
        </w:r>
        <w:r>
          <w:instrText xml:space="preserve"> PAGEREF _Toc28979 \h </w:instrText>
        </w:r>
        <w:r>
          <w:fldChar w:fldCharType="separate"/>
        </w:r>
        <w:r>
          <w:t>32</w:t>
        </w:r>
        <w:r>
          <w:fldChar w:fldCharType="end"/>
        </w:r>
      </w:hyperlink>
    </w:p>
    <w:p>
      <w:pPr>
        <w:pStyle w:val="TOC2"/>
        <w:tabs>
          <w:tab w:val="right" w:leader="dot" w:pos="8306"/>
        </w:tabs>
      </w:pPr>
      <w:hyperlink w:anchor="_Toc6735" w:history="1">
        <w:r>
          <w:rPr>
            <w:rFonts w:ascii="仿宋" w:eastAsia="仿宋" w:hAnsi="仿宋" w:cs="仿宋" w:hint="eastAsia"/>
            <w:lang w:eastAsia="zh-CN"/>
          </w:rPr>
          <w:t>(一)、建设区域环境质量现状</w:t>
        </w:r>
        <w:r>
          <w:tab/>
        </w:r>
        <w:r>
          <w:fldChar w:fldCharType="begin"/>
        </w:r>
        <w:r>
          <w:instrText xml:space="preserve"> PAGEREF _Toc6735 \h </w:instrText>
        </w:r>
        <w:r>
          <w:fldChar w:fldCharType="separate"/>
        </w:r>
        <w:r>
          <w:t>32</w:t>
        </w:r>
        <w:r>
          <w:fldChar w:fldCharType="end"/>
        </w:r>
      </w:hyperlink>
    </w:p>
    <w:p>
      <w:pPr>
        <w:pStyle w:val="TOC2"/>
        <w:tabs>
          <w:tab w:val="right" w:leader="dot" w:pos="8306"/>
        </w:tabs>
      </w:pPr>
      <w:hyperlink w:anchor="_Toc27778" w:history="1">
        <w:r>
          <w:rPr>
            <w:rFonts w:ascii="仿宋" w:eastAsia="仿宋" w:hAnsi="仿宋" w:cs="仿宋" w:hint="eastAsia"/>
            <w:lang w:eastAsia="zh-CN"/>
          </w:rPr>
          <w:t>(二)、建设期环境保护</w:t>
        </w:r>
        <w:r>
          <w:tab/>
        </w:r>
        <w:r>
          <w:fldChar w:fldCharType="begin"/>
        </w:r>
        <w:r>
          <w:instrText xml:space="preserve"> PAGEREF _Toc27778 \h </w:instrText>
        </w:r>
        <w:r>
          <w:fldChar w:fldCharType="separate"/>
        </w:r>
        <w:r>
          <w:t>34</w:t>
        </w:r>
        <w:r>
          <w:fldChar w:fldCharType="end"/>
        </w:r>
      </w:hyperlink>
    </w:p>
    <w:p>
      <w:pPr>
        <w:pStyle w:val="TOC2"/>
        <w:tabs>
          <w:tab w:val="right" w:leader="dot" w:pos="8306"/>
        </w:tabs>
      </w:pPr>
      <w:hyperlink w:anchor="_Toc24319" w:history="1">
        <w:r>
          <w:rPr>
            <w:rFonts w:ascii="仿宋" w:eastAsia="仿宋" w:hAnsi="仿宋" w:cs="仿宋" w:hint="eastAsia"/>
            <w:lang w:eastAsia="zh-CN"/>
          </w:rPr>
          <w:t>(三)、运营期环境保护</w:t>
        </w:r>
        <w:r>
          <w:tab/>
        </w:r>
        <w:r>
          <w:fldChar w:fldCharType="begin"/>
        </w:r>
        <w:r>
          <w:instrText xml:space="preserve"> PAGEREF _Toc24319 \h </w:instrText>
        </w:r>
        <w:r>
          <w:fldChar w:fldCharType="separate"/>
        </w:r>
        <w:r>
          <w:t>35</w:t>
        </w:r>
        <w:r>
          <w:fldChar w:fldCharType="end"/>
        </w:r>
      </w:hyperlink>
    </w:p>
    <w:p>
      <w:pPr>
        <w:pStyle w:val="TOC2"/>
        <w:tabs>
          <w:tab w:val="right" w:leader="dot" w:pos="8306"/>
        </w:tabs>
      </w:pPr>
      <w:hyperlink w:anchor="_Toc5942" w:history="1">
        <w:r>
          <w:rPr>
            <w:rFonts w:ascii="仿宋" w:eastAsia="仿宋" w:hAnsi="仿宋" w:cs="仿宋" w:hint="eastAsia"/>
            <w:lang w:eastAsia="zh-CN"/>
          </w:rPr>
          <w:t>(四)、微生物肥料项目建设对区域经济的影响</w:t>
        </w:r>
        <w:r>
          <w:tab/>
        </w:r>
        <w:r>
          <w:fldChar w:fldCharType="begin"/>
        </w:r>
        <w:r>
          <w:instrText xml:space="preserve"> PAGEREF _Toc5942 \h </w:instrText>
        </w:r>
        <w:r>
          <w:fldChar w:fldCharType="separate"/>
        </w:r>
        <w:r>
          <w:t>36</w:t>
        </w:r>
        <w:r>
          <w:fldChar w:fldCharType="end"/>
        </w:r>
      </w:hyperlink>
    </w:p>
    <w:p>
      <w:pPr>
        <w:pStyle w:val="TOC2"/>
        <w:tabs>
          <w:tab w:val="right" w:leader="dot" w:pos="8306"/>
        </w:tabs>
      </w:pPr>
      <w:hyperlink w:anchor="_Toc7864" w:history="1">
        <w:r>
          <w:rPr>
            <w:rFonts w:ascii="仿宋" w:eastAsia="仿宋" w:hAnsi="仿宋" w:cs="仿宋" w:hint="eastAsia"/>
            <w:lang w:eastAsia="zh-CN"/>
          </w:rPr>
          <w:t>(五)、废弃物处理</w:t>
        </w:r>
        <w:r>
          <w:tab/>
        </w:r>
        <w:r>
          <w:fldChar w:fldCharType="begin"/>
        </w:r>
        <w:r>
          <w:instrText xml:space="preserve"> PAGEREF _Toc7864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05" w:history="1">
        <w:r>
          <w:rPr>
            <w:rFonts w:ascii="仿宋" w:eastAsia="仿宋" w:hAnsi="仿宋" w:cs="仿宋" w:hint="eastAsia"/>
            <w:lang w:eastAsia="zh-CN"/>
          </w:rPr>
          <w:t>(六)、特殊环境影响分析</w:t>
        </w:r>
        <w:r>
          <w:tab/>
        </w:r>
        <w:r>
          <w:fldChar w:fldCharType="begin"/>
        </w:r>
        <w:r>
          <w:instrText xml:space="preserve"> PAGEREF _Toc6705 \h </w:instrText>
        </w:r>
        <w:r>
          <w:fldChar w:fldCharType="separate"/>
        </w:r>
        <w:r>
          <w:t>39</w:t>
        </w:r>
        <w:r>
          <w:fldChar w:fldCharType="end"/>
        </w:r>
      </w:hyperlink>
    </w:p>
    <w:p>
      <w:pPr>
        <w:pStyle w:val="TOC2"/>
        <w:tabs>
          <w:tab w:val="right" w:leader="dot" w:pos="8306"/>
        </w:tabs>
      </w:pPr>
      <w:hyperlink w:anchor="_Toc19066" w:history="1">
        <w:r>
          <w:rPr>
            <w:rFonts w:ascii="仿宋" w:eastAsia="仿宋" w:hAnsi="仿宋" w:cs="仿宋" w:hint="eastAsia"/>
            <w:lang w:eastAsia="zh-CN"/>
          </w:rPr>
          <w:t>(七)、清洁生产</w:t>
        </w:r>
        <w:r>
          <w:tab/>
        </w:r>
        <w:r>
          <w:fldChar w:fldCharType="begin"/>
        </w:r>
        <w:r>
          <w:instrText xml:space="preserve"> PAGEREF _Toc19066 \h </w:instrText>
        </w:r>
        <w:r>
          <w:fldChar w:fldCharType="separate"/>
        </w:r>
        <w:r>
          <w:t>41</w:t>
        </w:r>
        <w:r>
          <w:fldChar w:fldCharType="end"/>
        </w:r>
      </w:hyperlink>
    </w:p>
    <w:p>
      <w:pPr>
        <w:pStyle w:val="TOC2"/>
        <w:tabs>
          <w:tab w:val="right" w:leader="dot" w:pos="8306"/>
        </w:tabs>
      </w:pPr>
      <w:hyperlink w:anchor="_Toc1905" w:history="1">
        <w:r>
          <w:rPr>
            <w:rFonts w:ascii="仿宋" w:eastAsia="仿宋" w:hAnsi="仿宋" w:cs="仿宋" w:hint="eastAsia"/>
            <w:lang w:eastAsia="zh-CN"/>
          </w:rPr>
          <w:t>(八)、环境保护综合评价</w:t>
        </w:r>
        <w:r>
          <w:tab/>
        </w:r>
        <w:r>
          <w:fldChar w:fldCharType="begin"/>
        </w:r>
        <w:r>
          <w:instrText xml:space="preserve"> PAGEREF _Toc1905 \h </w:instrText>
        </w:r>
        <w:r>
          <w:fldChar w:fldCharType="separate"/>
        </w:r>
        <w:r>
          <w:t>42</w:t>
        </w:r>
        <w:r>
          <w:fldChar w:fldCharType="end"/>
        </w:r>
      </w:hyperlink>
    </w:p>
    <w:p>
      <w:pPr>
        <w:pStyle w:val="TOC1"/>
        <w:tabs>
          <w:tab w:val="right" w:leader="dot" w:pos="8306"/>
        </w:tabs>
      </w:pPr>
      <w:hyperlink w:anchor="_Toc1350" w:history="1">
        <w:r>
          <w:rPr>
            <w:rFonts w:ascii="仿宋" w:eastAsia="仿宋" w:hAnsi="仿宋" w:cs="仿宋" w:hint="eastAsia"/>
            <w:lang w:eastAsia="zh-CN"/>
          </w:rPr>
          <w:t>十、微生物肥料项目人力资源培养与发展</w:t>
        </w:r>
        <w:r>
          <w:tab/>
        </w:r>
        <w:r>
          <w:fldChar w:fldCharType="begin"/>
        </w:r>
        <w:r>
          <w:instrText xml:space="preserve"> PAGEREF _Toc1350 \h </w:instrText>
        </w:r>
        <w:r>
          <w:fldChar w:fldCharType="separate"/>
        </w:r>
        <w:r>
          <w:t>43</w:t>
        </w:r>
        <w:r>
          <w:fldChar w:fldCharType="end"/>
        </w:r>
      </w:hyperlink>
    </w:p>
    <w:p>
      <w:pPr>
        <w:pStyle w:val="TOC2"/>
        <w:tabs>
          <w:tab w:val="right" w:leader="dot" w:pos="8306"/>
        </w:tabs>
      </w:pPr>
      <w:hyperlink w:anchor="_Toc21256" w:history="1">
        <w:r>
          <w:rPr>
            <w:rFonts w:ascii="仿宋" w:eastAsia="仿宋" w:hAnsi="仿宋" w:cs="仿宋" w:hint="eastAsia"/>
            <w:lang w:eastAsia="zh-CN"/>
          </w:rPr>
          <w:t>(一)、人才需求与规划</w:t>
        </w:r>
        <w:r>
          <w:tab/>
        </w:r>
        <w:r>
          <w:fldChar w:fldCharType="begin"/>
        </w:r>
        <w:r>
          <w:instrText xml:space="preserve"> PAGEREF _Toc21256 \h </w:instrText>
        </w:r>
        <w:r>
          <w:fldChar w:fldCharType="separate"/>
        </w:r>
        <w:r>
          <w:t>43</w:t>
        </w:r>
        <w:r>
          <w:fldChar w:fldCharType="end"/>
        </w:r>
      </w:hyperlink>
    </w:p>
    <w:p>
      <w:pPr>
        <w:pStyle w:val="TOC2"/>
        <w:tabs>
          <w:tab w:val="right" w:leader="dot" w:pos="8306"/>
        </w:tabs>
      </w:pPr>
      <w:hyperlink w:anchor="_Toc9137" w:history="1">
        <w:r>
          <w:rPr>
            <w:rFonts w:ascii="仿宋" w:eastAsia="仿宋" w:hAnsi="仿宋" w:cs="仿宋" w:hint="eastAsia"/>
            <w:lang w:eastAsia="zh-CN"/>
          </w:rPr>
          <w:t>(二)、培训与发展计划</w:t>
        </w:r>
        <w:r>
          <w:tab/>
        </w:r>
        <w:r>
          <w:fldChar w:fldCharType="begin"/>
        </w:r>
        <w:r>
          <w:instrText xml:space="preserve"> PAGEREF _Toc9137 \h </w:instrText>
        </w:r>
        <w:r>
          <w:fldChar w:fldCharType="separate"/>
        </w:r>
        <w:r>
          <w:t>43</w:t>
        </w:r>
        <w:r>
          <w:fldChar w:fldCharType="end"/>
        </w:r>
      </w:hyperlink>
    </w:p>
    <w:p>
      <w:pPr>
        <w:pStyle w:val="TOC1"/>
        <w:tabs>
          <w:tab w:val="right" w:leader="dot" w:pos="8306"/>
        </w:tabs>
      </w:pPr>
      <w:hyperlink w:anchor="_Toc5337" w:history="1">
        <w:r>
          <w:rPr>
            <w:rFonts w:ascii="仿宋" w:eastAsia="仿宋" w:hAnsi="仿宋" w:cs="仿宋" w:hint="eastAsia"/>
            <w:lang w:eastAsia="zh-CN"/>
          </w:rPr>
          <w:t>十一、生产安全保护</w:t>
        </w:r>
        <w:r>
          <w:tab/>
        </w:r>
        <w:r>
          <w:fldChar w:fldCharType="begin"/>
        </w:r>
        <w:r>
          <w:instrText xml:space="preserve"> PAGEREF _Toc5337 \h </w:instrText>
        </w:r>
        <w:r>
          <w:fldChar w:fldCharType="separate"/>
        </w:r>
        <w:r>
          <w:t>44</w:t>
        </w:r>
        <w:r>
          <w:fldChar w:fldCharType="end"/>
        </w:r>
      </w:hyperlink>
    </w:p>
    <w:p>
      <w:pPr>
        <w:pStyle w:val="TOC2"/>
        <w:tabs>
          <w:tab w:val="right" w:leader="dot" w:pos="8306"/>
        </w:tabs>
      </w:pPr>
      <w:hyperlink w:anchor="_Toc9515" w:history="1">
        <w:r>
          <w:rPr>
            <w:rFonts w:ascii="仿宋" w:eastAsia="仿宋" w:hAnsi="仿宋" w:cs="仿宋" w:hint="eastAsia"/>
            <w:lang w:eastAsia="zh-CN"/>
          </w:rPr>
          <w:t>(一)、消防安全</w:t>
        </w:r>
        <w:r>
          <w:tab/>
        </w:r>
        <w:r>
          <w:fldChar w:fldCharType="begin"/>
        </w:r>
        <w:r>
          <w:instrText xml:space="preserve"> PAGEREF _Toc9515 \h </w:instrText>
        </w:r>
        <w:r>
          <w:fldChar w:fldCharType="separate"/>
        </w:r>
        <w:r>
          <w:t>44</w:t>
        </w:r>
        <w:r>
          <w:fldChar w:fldCharType="end"/>
        </w:r>
      </w:hyperlink>
    </w:p>
    <w:p>
      <w:pPr>
        <w:pStyle w:val="TOC2"/>
        <w:tabs>
          <w:tab w:val="right" w:leader="dot" w:pos="8306"/>
        </w:tabs>
      </w:pPr>
      <w:hyperlink w:anchor="_Toc24899" w:history="1">
        <w:r>
          <w:rPr>
            <w:rFonts w:ascii="仿宋" w:eastAsia="仿宋" w:hAnsi="仿宋" w:cs="仿宋" w:hint="eastAsia"/>
            <w:lang w:eastAsia="zh-CN"/>
          </w:rPr>
          <w:t>(二)、防火防爆总图布置措施</w:t>
        </w:r>
        <w:r>
          <w:tab/>
        </w:r>
        <w:r>
          <w:fldChar w:fldCharType="begin"/>
        </w:r>
        <w:r>
          <w:instrText xml:space="preserve"> PAGEREF _Toc24899 \h </w:instrText>
        </w:r>
        <w:r>
          <w:fldChar w:fldCharType="separate"/>
        </w:r>
        <w:r>
          <w:t>45</w:t>
        </w:r>
        <w:r>
          <w:fldChar w:fldCharType="end"/>
        </w:r>
      </w:hyperlink>
    </w:p>
    <w:p>
      <w:pPr>
        <w:pStyle w:val="TOC2"/>
        <w:tabs>
          <w:tab w:val="right" w:leader="dot" w:pos="8306"/>
        </w:tabs>
      </w:pPr>
      <w:hyperlink w:anchor="_Toc23683" w:history="1">
        <w:r>
          <w:rPr>
            <w:rFonts w:ascii="仿宋" w:eastAsia="仿宋" w:hAnsi="仿宋" w:cs="仿宋" w:hint="eastAsia"/>
            <w:lang w:eastAsia="zh-CN"/>
          </w:rPr>
          <w:t>(三)、自然灾害防范措施</w:t>
        </w:r>
        <w:r>
          <w:tab/>
        </w:r>
        <w:r>
          <w:fldChar w:fldCharType="begin"/>
        </w:r>
        <w:r>
          <w:instrText xml:space="preserve"> PAGEREF _Toc23683 \h </w:instrText>
        </w:r>
        <w:r>
          <w:fldChar w:fldCharType="separate"/>
        </w:r>
        <w:r>
          <w:t>46</w:t>
        </w:r>
        <w:r>
          <w:fldChar w:fldCharType="end"/>
        </w:r>
      </w:hyperlink>
    </w:p>
    <w:p>
      <w:pPr>
        <w:pStyle w:val="TOC2"/>
        <w:tabs>
          <w:tab w:val="right" w:leader="dot" w:pos="8306"/>
        </w:tabs>
      </w:pPr>
      <w:hyperlink w:anchor="_Toc14367" w:history="1">
        <w:r>
          <w:rPr>
            <w:rFonts w:ascii="仿宋" w:eastAsia="仿宋" w:hAnsi="仿宋" w:cs="仿宋" w:hint="eastAsia"/>
            <w:lang w:eastAsia="zh-CN"/>
          </w:rPr>
          <w:t>(四)、安全色及安全标志使用要求</w:t>
        </w:r>
        <w:r>
          <w:tab/>
        </w:r>
        <w:r>
          <w:fldChar w:fldCharType="begin"/>
        </w:r>
        <w:r>
          <w:instrText xml:space="preserve"> PAGEREF _Toc14367 \h </w:instrText>
        </w:r>
        <w:r>
          <w:fldChar w:fldCharType="separate"/>
        </w:r>
        <w:r>
          <w:t>47</w:t>
        </w:r>
        <w:r>
          <w:fldChar w:fldCharType="end"/>
        </w:r>
      </w:hyperlink>
    </w:p>
    <w:p>
      <w:pPr>
        <w:pStyle w:val="TOC2"/>
        <w:tabs>
          <w:tab w:val="right" w:leader="dot" w:pos="8306"/>
        </w:tabs>
      </w:pPr>
      <w:hyperlink w:anchor="_Toc26978" w:history="1">
        <w:r>
          <w:rPr>
            <w:rFonts w:ascii="仿宋" w:eastAsia="仿宋" w:hAnsi="仿宋" w:cs="仿宋" w:hint="eastAsia"/>
            <w:lang w:eastAsia="zh-CN"/>
          </w:rPr>
          <w:t>(五)、防尘防毒措施</w:t>
        </w:r>
        <w:r>
          <w:tab/>
        </w:r>
        <w:r>
          <w:fldChar w:fldCharType="begin"/>
        </w:r>
        <w:r>
          <w:instrText xml:space="preserve"> PAGEREF _Toc26978 \h </w:instrText>
        </w:r>
        <w:r>
          <w:fldChar w:fldCharType="separate"/>
        </w:r>
        <w:r>
          <w:t>48</w:t>
        </w:r>
        <w:r>
          <w:fldChar w:fldCharType="end"/>
        </w:r>
      </w:hyperlink>
    </w:p>
    <w:p>
      <w:pPr>
        <w:pStyle w:val="TOC2"/>
        <w:tabs>
          <w:tab w:val="right" w:leader="dot" w:pos="8306"/>
        </w:tabs>
      </w:pPr>
      <w:hyperlink w:anchor="_Toc17602" w:history="1">
        <w:r>
          <w:rPr>
            <w:rFonts w:ascii="仿宋" w:eastAsia="仿宋" w:hAnsi="仿宋" w:cs="仿宋" w:hint="eastAsia"/>
            <w:lang w:eastAsia="zh-CN"/>
          </w:rPr>
          <w:t>(六)、防静电、触电防护及防雷措施</w:t>
        </w:r>
        <w:r>
          <w:tab/>
        </w:r>
        <w:r>
          <w:fldChar w:fldCharType="begin"/>
        </w:r>
        <w:r>
          <w:instrText xml:space="preserve"> PAGEREF _Toc17602 \h </w:instrText>
        </w:r>
        <w:r>
          <w:fldChar w:fldCharType="separate"/>
        </w:r>
        <w:r>
          <w:t>49</w:t>
        </w:r>
        <w:r>
          <w:fldChar w:fldCharType="end"/>
        </w:r>
      </w:hyperlink>
    </w:p>
    <w:p>
      <w:pPr>
        <w:pStyle w:val="TOC2"/>
        <w:tabs>
          <w:tab w:val="right" w:leader="dot" w:pos="8306"/>
        </w:tabs>
      </w:pPr>
      <w:hyperlink w:anchor="_Toc29402" w:history="1">
        <w:r>
          <w:rPr>
            <w:rFonts w:ascii="仿宋" w:eastAsia="仿宋" w:hAnsi="仿宋" w:cs="仿宋" w:hint="eastAsia"/>
            <w:lang w:eastAsia="zh-CN"/>
          </w:rPr>
          <w:t>(七)、机械设备安全保障措施</w:t>
        </w:r>
        <w:r>
          <w:tab/>
        </w:r>
        <w:r>
          <w:fldChar w:fldCharType="begin"/>
        </w:r>
        <w:r>
          <w:instrText xml:space="preserve"> PAGEREF _Toc29402 \h </w:instrText>
        </w:r>
        <w:r>
          <w:fldChar w:fldCharType="separate"/>
        </w:r>
        <w:r>
          <w:t>50</w:t>
        </w:r>
        <w:r>
          <w:fldChar w:fldCharType="end"/>
        </w:r>
      </w:hyperlink>
    </w:p>
    <w:p>
      <w:pPr>
        <w:pStyle w:val="TOC1"/>
        <w:tabs>
          <w:tab w:val="right" w:leader="dot" w:pos="8306"/>
        </w:tabs>
      </w:pPr>
      <w:hyperlink w:anchor="_Toc16088" w:history="1">
        <w:r>
          <w:rPr>
            <w:rFonts w:ascii="仿宋" w:eastAsia="仿宋" w:hAnsi="仿宋" w:cs="仿宋" w:hint="eastAsia"/>
            <w:lang w:eastAsia="zh-CN"/>
          </w:rPr>
          <w:t>十二、微生物肥料项目技术管理</w:t>
        </w:r>
        <w:r>
          <w:tab/>
        </w:r>
        <w:r>
          <w:fldChar w:fldCharType="begin"/>
        </w:r>
        <w:r>
          <w:instrText xml:space="preserve"> PAGEREF _Toc16088 \h </w:instrText>
        </w:r>
        <w:r>
          <w:fldChar w:fldCharType="separate"/>
        </w:r>
        <w:r>
          <w:t>52</w:t>
        </w:r>
        <w:r>
          <w:fldChar w:fldCharType="end"/>
        </w:r>
      </w:hyperlink>
    </w:p>
    <w:p>
      <w:pPr>
        <w:pStyle w:val="TOC2"/>
        <w:tabs>
          <w:tab w:val="right" w:leader="dot" w:pos="8306"/>
        </w:tabs>
      </w:pPr>
      <w:hyperlink w:anchor="_Toc21312" w:history="1">
        <w:r>
          <w:rPr>
            <w:rFonts w:ascii="仿宋" w:eastAsia="仿宋" w:hAnsi="仿宋" w:cs="仿宋" w:hint="eastAsia"/>
            <w:lang w:eastAsia="zh-CN"/>
          </w:rPr>
          <w:t>(一)、技术方案选用方向</w:t>
        </w:r>
        <w:r>
          <w:tab/>
        </w:r>
        <w:r>
          <w:fldChar w:fldCharType="begin"/>
        </w:r>
        <w:r>
          <w:instrText xml:space="preserve"> PAGEREF _Toc21312 \h </w:instrText>
        </w:r>
        <w:r>
          <w:fldChar w:fldCharType="separate"/>
        </w:r>
        <w:r>
          <w:t>52</w:t>
        </w:r>
        <w:r>
          <w:fldChar w:fldCharType="end"/>
        </w:r>
      </w:hyperlink>
    </w:p>
    <w:p>
      <w:pPr>
        <w:pStyle w:val="TOC2"/>
        <w:tabs>
          <w:tab w:val="right" w:leader="dot" w:pos="8306"/>
        </w:tabs>
      </w:pPr>
      <w:hyperlink w:anchor="_Toc31573" w:history="1">
        <w:r>
          <w:rPr>
            <w:rFonts w:ascii="仿宋" w:eastAsia="仿宋" w:hAnsi="仿宋" w:cs="仿宋" w:hint="eastAsia"/>
            <w:lang w:eastAsia="zh-CN"/>
          </w:rPr>
          <w:t>(二)、工艺技术方案选用原则</w:t>
        </w:r>
        <w:r>
          <w:tab/>
        </w:r>
        <w:r>
          <w:fldChar w:fldCharType="begin"/>
        </w:r>
        <w:r>
          <w:instrText xml:space="preserve"> PAGEREF _Toc31573 \h </w:instrText>
        </w:r>
        <w:r>
          <w:fldChar w:fldCharType="separate"/>
        </w:r>
        <w:r>
          <w:t>54</w:t>
        </w:r>
        <w:r>
          <w:fldChar w:fldCharType="end"/>
        </w:r>
      </w:hyperlink>
    </w:p>
    <w:p>
      <w:pPr>
        <w:pStyle w:val="TOC2"/>
        <w:tabs>
          <w:tab w:val="right" w:leader="dot" w:pos="8306"/>
        </w:tabs>
      </w:pPr>
      <w:hyperlink w:anchor="_Toc10206" w:history="1">
        <w:r>
          <w:rPr>
            <w:rFonts w:ascii="仿宋" w:eastAsia="仿宋" w:hAnsi="仿宋" w:cs="仿宋" w:hint="eastAsia"/>
            <w:lang w:eastAsia="zh-CN"/>
          </w:rPr>
          <w:t>(三)、工艺技术方案要求</w:t>
        </w:r>
        <w:r>
          <w:tab/>
        </w:r>
        <w:r>
          <w:fldChar w:fldCharType="begin"/>
        </w:r>
        <w:r>
          <w:instrText xml:space="preserve"> PAGEREF _Toc10206 \h </w:instrText>
        </w:r>
        <w:r>
          <w:fldChar w:fldCharType="separate"/>
        </w:r>
        <w:r>
          <w:t>56</w:t>
        </w:r>
        <w:r>
          <w:fldChar w:fldCharType="end"/>
        </w:r>
      </w:hyperlink>
    </w:p>
    <w:p>
      <w:pPr>
        <w:pStyle w:val="TOC1"/>
        <w:tabs>
          <w:tab w:val="right" w:leader="dot" w:pos="8306"/>
        </w:tabs>
      </w:pPr>
      <w:hyperlink w:anchor="_Toc30170" w:history="1">
        <w:r>
          <w:rPr>
            <w:rFonts w:ascii="仿宋" w:eastAsia="仿宋" w:hAnsi="仿宋" w:cs="仿宋" w:hint="eastAsia"/>
            <w:lang w:eastAsia="zh-CN"/>
          </w:rPr>
          <w:t>十三、微生物肥料项目实施时间节点</w:t>
        </w:r>
        <w:r>
          <w:tab/>
        </w:r>
        <w:r>
          <w:fldChar w:fldCharType="begin"/>
        </w:r>
        <w:r>
          <w:instrText xml:space="preserve"> PAGEREF _Toc30170 \h </w:instrText>
        </w:r>
        <w:r>
          <w:fldChar w:fldCharType="separate"/>
        </w:r>
        <w:r>
          <w:t>58</w:t>
        </w:r>
        <w:r>
          <w:fldChar w:fldCharType="end"/>
        </w:r>
      </w:hyperlink>
    </w:p>
    <w:p>
      <w:pPr>
        <w:pStyle w:val="TOC2"/>
        <w:tabs>
          <w:tab w:val="right" w:leader="dot" w:pos="8306"/>
        </w:tabs>
      </w:pPr>
      <w:hyperlink w:anchor="_Toc2892" w:history="1">
        <w:r>
          <w:rPr>
            <w:rFonts w:ascii="仿宋" w:eastAsia="仿宋" w:hAnsi="仿宋" w:cs="仿宋" w:hint="eastAsia"/>
            <w:lang w:eastAsia="zh-CN"/>
          </w:rPr>
          <w:t>(一)、微生物肥料项目启动阶段时间节点</w:t>
        </w:r>
        <w:r>
          <w:tab/>
        </w:r>
        <w:r>
          <w:fldChar w:fldCharType="begin"/>
        </w:r>
        <w:r>
          <w:instrText xml:space="preserve"> PAGEREF _Toc2892 \h </w:instrText>
        </w:r>
        <w:r>
          <w:fldChar w:fldCharType="separate"/>
        </w:r>
        <w:r>
          <w:t>58</w:t>
        </w:r>
        <w:r>
          <w:fldChar w:fldCharType="end"/>
        </w:r>
      </w:hyperlink>
    </w:p>
    <w:p>
      <w:pPr>
        <w:pStyle w:val="TOC2"/>
        <w:tabs>
          <w:tab w:val="right" w:leader="dot" w:pos="8306"/>
        </w:tabs>
      </w:pPr>
      <w:hyperlink w:anchor="_Toc7734" w:history="1">
        <w:r>
          <w:rPr>
            <w:rFonts w:ascii="仿宋" w:eastAsia="仿宋" w:hAnsi="仿宋" w:cs="仿宋" w:hint="eastAsia"/>
            <w:lang w:eastAsia="zh-CN"/>
          </w:rPr>
          <w:t>(二)、微生物肥料项目执行阶段时间节点</w:t>
        </w:r>
        <w:r>
          <w:tab/>
        </w:r>
        <w:r>
          <w:fldChar w:fldCharType="begin"/>
        </w:r>
        <w:r>
          <w:instrText xml:space="preserve"> PAGEREF _Toc7734 \h </w:instrText>
        </w:r>
        <w:r>
          <w:fldChar w:fldCharType="separate"/>
        </w:r>
        <w:r>
          <w:t>59</w:t>
        </w:r>
        <w:r>
          <w:fldChar w:fldCharType="end"/>
        </w:r>
      </w:hyperlink>
    </w:p>
    <w:p>
      <w:pPr>
        <w:pStyle w:val="TOC2"/>
        <w:tabs>
          <w:tab w:val="right" w:leader="dot" w:pos="8306"/>
        </w:tabs>
      </w:pPr>
      <w:hyperlink w:anchor="_Toc14185" w:history="1">
        <w:r>
          <w:rPr>
            <w:rFonts w:ascii="仿宋" w:eastAsia="仿宋" w:hAnsi="仿宋" w:cs="仿宋" w:hint="eastAsia"/>
            <w:lang w:eastAsia="zh-CN"/>
          </w:rPr>
          <w:t>(三)、微生物肥料项目完成阶段时间节点</w:t>
        </w:r>
        <w:r>
          <w:tab/>
        </w:r>
        <w:r>
          <w:fldChar w:fldCharType="begin"/>
        </w:r>
        <w:r>
          <w:instrText xml:space="preserve"> PAGEREF _Toc14185 \h </w:instrText>
        </w:r>
        <w:r>
          <w:fldChar w:fldCharType="separate"/>
        </w:r>
        <w:r>
          <w:t>60</w:t>
        </w:r>
        <w:r>
          <w:fldChar w:fldCharType="end"/>
        </w:r>
      </w:hyperlink>
    </w:p>
    <w:p>
      <w:pPr>
        <w:pStyle w:val="TOC1"/>
        <w:tabs>
          <w:tab w:val="right" w:leader="dot" w:pos="8306"/>
        </w:tabs>
      </w:pPr>
      <w:hyperlink w:anchor="_Toc21225" w:history="1">
        <w:r>
          <w:rPr>
            <w:rFonts w:ascii="仿宋" w:eastAsia="仿宋" w:hAnsi="仿宋" w:cs="仿宋" w:hint="eastAsia"/>
            <w:lang w:eastAsia="zh-CN"/>
          </w:rPr>
          <w:t>十四、利益相关者分析与沟通计划</w:t>
        </w:r>
        <w:r>
          <w:tab/>
        </w:r>
        <w:r>
          <w:fldChar w:fldCharType="begin"/>
        </w:r>
        <w:r>
          <w:instrText xml:space="preserve"> PAGEREF _Toc21225 \h </w:instrText>
        </w:r>
        <w:r>
          <w:fldChar w:fldCharType="separate"/>
        </w:r>
        <w:r>
          <w:t>61</w:t>
        </w:r>
        <w:r>
          <w:fldChar w:fldCharType="end"/>
        </w:r>
      </w:hyperlink>
    </w:p>
    <w:p>
      <w:pPr>
        <w:pStyle w:val="TOC2"/>
        <w:tabs>
          <w:tab w:val="right" w:leader="dot" w:pos="8306"/>
        </w:tabs>
      </w:pPr>
      <w:hyperlink w:anchor="_Toc29776" w:history="1">
        <w:r>
          <w:rPr>
            <w:rFonts w:ascii="仿宋" w:eastAsia="仿宋" w:hAnsi="仿宋" w:cs="仿宋" w:hint="eastAsia"/>
            <w:lang w:eastAsia="zh-CN"/>
          </w:rPr>
          <w:t>(一)、利益相关者分析</w:t>
        </w:r>
        <w:r>
          <w:tab/>
        </w:r>
        <w:r>
          <w:fldChar w:fldCharType="begin"/>
        </w:r>
        <w:r>
          <w:instrText xml:space="preserve"> PAGEREF _Toc29776 \h </w:instrText>
        </w:r>
        <w:r>
          <w:fldChar w:fldCharType="separate"/>
        </w:r>
        <w:r>
          <w:t>61</w:t>
        </w:r>
        <w:r>
          <w:fldChar w:fldCharType="end"/>
        </w:r>
      </w:hyperlink>
    </w:p>
    <w:p>
      <w:pPr>
        <w:pStyle w:val="TOC2"/>
        <w:tabs>
          <w:tab w:val="right" w:leader="dot" w:pos="8306"/>
        </w:tabs>
      </w:pPr>
      <w:hyperlink w:anchor="_Toc30935" w:history="1">
        <w:r>
          <w:rPr>
            <w:rFonts w:ascii="仿宋" w:eastAsia="仿宋" w:hAnsi="仿宋" w:cs="仿宋" w:hint="eastAsia"/>
            <w:lang w:eastAsia="zh-CN"/>
          </w:rPr>
          <w:t>(二)、沟通计划</w:t>
        </w:r>
        <w:r>
          <w:tab/>
        </w:r>
        <w:r>
          <w:fldChar w:fldCharType="begin"/>
        </w:r>
        <w:r>
          <w:instrText xml:space="preserve"> PAGEREF _Toc30935 \h </w:instrText>
        </w:r>
        <w:r>
          <w:fldChar w:fldCharType="separate"/>
        </w:r>
        <w:r>
          <w:t>63</w:t>
        </w:r>
        <w:r>
          <w:fldChar w:fldCharType="end"/>
        </w:r>
      </w:hyperlink>
    </w:p>
    <w:p>
      <w:pPr>
        <w:pStyle w:val="TOC1"/>
        <w:tabs>
          <w:tab w:val="right" w:leader="dot" w:pos="8306"/>
        </w:tabs>
      </w:pPr>
      <w:hyperlink w:anchor="_Toc9147" w:history="1">
        <w:r>
          <w:rPr>
            <w:rFonts w:ascii="仿宋" w:eastAsia="仿宋" w:hAnsi="仿宋" w:cs="仿宋" w:hint="eastAsia"/>
            <w:lang w:eastAsia="zh-CN"/>
          </w:rPr>
          <w:t>十五、微生物肥料项目变更管理</w:t>
        </w:r>
        <w:r>
          <w:tab/>
        </w:r>
        <w:r>
          <w:fldChar w:fldCharType="begin"/>
        </w:r>
        <w:r>
          <w:instrText xml:space="preserve"> PAGEREF _Toc9147 \h </w:instrText>
        </w:r>
        <w:r>
          <w:fldChar w:fldCharType="separate"/>
        </w:r>
        <w:r>
          <w:t>64</w:t>
        </w:r>
        <w:r>
          <w:fldChar w:fldCharType="end"/>
        </w:r>
      </w:hyperlink>
    </w:p>
    <w:p>
      <w:pPr>
        <w:pStyle w:val="TOC2"/>
        <w:tabs>
          <w:tab w:val="right" w:leader="dot" w:pos="8306"/>
        </w:tabs>
      </w:pPr>
      <w:hyperlink w:anchor="_Toc24979" w:history="1">
        <w:r>
          <w:rPr>
            <w:rFonts w:ascii="仿宋" w:eastAsia="仿宋" w:hAnsi="仿宋" w:cs="仿宋" w:hint="eastAsia"/>
            <w:lang w:eastAsia="zh-CN"/>
          </w:rPr>
          <w:t>(一)、变更申请与评估</w:t>
        </w:r>
        <w:r>
          <w:tab/>
        </w:r>
        <w:r>
          <w:fldChar w:fldCharType="begin"/>
        </w:r>
        <w:r>
          <w:instrText xml:space="preserve"> PAGEREF _Toc24979 \h </w:instrText>
        </w:r>
        <w:r>
          <w:fldChar w:fldCharType="separate"/>
        </w:r>
        <w:r>
          <w:t>64</w:t>
        </w:r>
        <w:r>
          <w:fldChar w:fldCharType="end"/>
        </w:r>
      </w:hyperlink>
    </w:p>
    <w:p>
      <w:pPr>
        <w:pStyle w:val="TOC2"/>
        <w:tabs>
          <w:tab w:val="right" w:leader="dot" w:pos="8306"/>
        </w:tabs>
      </w:pPr>
      <w:hyperlink w:anchor="_Toc29872" w:history="1">
        <w:r>
          <w:rPr>
            <w:rFonts w:ascii="仿宋" w:eastAsia="仿宋" w:hAnsi="仿宋" w:cs="仿宋" w:hint="eastAsia"/>
            <w:lang w:eastAsia="zh-CN"/>
          </w:rPr>
          <w:t>(二)、变更实施与控制</w:t>
        </w:r>
        <w:r>
          <w:tab/>
        </w:r>
        <w:r>
          <w:fldChar w:fldCharType="begin"/>
        </w:r>
        <w:r>
          <w:instrText xml:space="preserve"> PAGEREF _Toc29872 \h </w:instrText>
        </w:r>
        <w:r>
          <w:fldChar w:fldCharType="separate"/>
        </w:r>
        <w:r>
          <w:t>64</w:t>
        </w:r>
        <w:r>
          <w:fldChar w:fldCharType="end"/>
        </w:r>
      </w:hyperlink>
    </w:p>
    <w:p>
      <w:pPr>
        <w:pStyle w:val="TOC1"/>
        <w:tabs>
          <w:tab w:val="right" w:leader="dot" w:pos="8306"/>
        </w:tabs>
      </w:pPr>
      <w:hyperlink w:anchor="_Toc31966" w:history="1">
        <w:r>
          <w:rPr>
            <w:rFonts w:ascii="仿宋" w:eastAsia="仿宋" w:hAnsi="仿宋" w:cs="仿宋" w:hint="eastAsia"/>
            <w:lang w:eastAsia="zh-CN"/>
          </w:rPr>
          <w:t>十六、微生物肥料项目治理与监督</w:t>
        </w:r>
        <w:r>
          <w:tab/>
        </w:r>
        <w:r>
          <w:fldChar w:fldCharType="begin"/>
        </w:r>
        <w:r>
          <w:instrText xml:space="preserve"> PAGEREF _Toc31966 \h </w:instrText>
        </w:r>
        <w:r>
          <w:fldChar w:fldCharType="separate"/>
        </w:r>
        <w:r>
          <w:t>65</w:t>
        </w:r>
        <w:r>
          <w:fldChar w:fldCharType="end"/>
        </w:r>
      </w:hyperlink>
    </w:p>
    <w:p>
      <w:pPr>
        <w:pStyle w:val="TOC2"/>
        <w:tabs>
          <w:tab w:val="right" w:leader="dot" w:pos="8306"/>
        </w:tabs>
      </w:pPr>
      <w:hyperlink w:anchor="_Toc26992" w:history="1">
        <w:r>
          <w:rPr>
            <w:rFonts w:ascii="仿宋" w:eastAsia="仿宋" w:hAnsi="仿宋" w:cs="仿宋" w:hint="eastAsia"/>
            <w:lang w:eastAsia="zh-CN"/>
          </w:rPr>
          <w:t>(一)、微生物肥料项目治理结构</w:t>
        </w:r>
        <w:r>
          <w:tab/>
        </w:r>
        <w:r>
          <w:fldChar w:fldCharType="begin"/>
        </w:r>
        <w:r>
          <w:instrText xml:space="preserve"> PAGEREF _Toc26992 \h </w:instrText>
        </w:r>
        <w:r>
          <w:fldChar w:fldCharType="separate"/>
        </w:r>
        <w:r>
          <w:t>65</w:t>
        </w:r>
        <w:r>
          <w:fldChar w:fldCharType="end"/>
        </w:r>
      </w:hyperlink>
    </w:p>
    <w:p>
      <w:pPr>
        <w:pStyle w:val="TOC2"/>
        <w:tabs>
          <w:tab w:val="right" w:leader="dot" w:pos="8306"/>
        </w:tabs>
      </w:pPr>
      <w:hyperlink w:anchor="_Toc30552" w:history="1">
        <w:r>
          <w:rPr>
            <w:rFonts w:ascii="仿宋" w:eastAsia="仿宋" w:hAnsi="仿宋" w:cs="仿宋" w:hint="eastAsia"/>
            <w:lang w:eastAsia="zh-CN"/>
          </w:rPr>
          <w:t>(二)、监督与审计</w:t>
        </w:r>
        <w:r>
          <w:tab/>
        </w:r>
        <w:r>
          <w:fldChar w:fldCharType="begin"/>
        </w:r>
        <w:r>
          <w:instrText xml:space="preserve"> PAGEREF _Toc30552 \h </w:instrText>
        </w:r>
        <w:r>
          <w:fldChar w:fldCharType="separate"/>
        </w:r>
        <w:r>
          <w:t>66</w:t>
        </w:r>
        <w:r>
          <w:fldChar w:fldCharType="end"/>
        </w:r>
      </w:hyperlink>
    </w:p>
    <w:p>
      <w:pPr>
        <w:pStyle w:val="TOC1"/>
        <w:tabs>
          <w:tab w:val="right" w:leader="dot" w:pos="8306"/>
        </w:tabs>
      </w:pPr>
      <w:hyperlink w:anchor="_Toc27131" w:history="1">
        <w:r>
          <w:rPr>
            <w:rFonts w:ascii="仿宋" w:eastAsia="仿宋" w:hAnsi="仿宋" w:cs="仿宋" w:hint="eastAsia"/>
            <w:lang w:eastAsia="zh-CN"/>
          </w:rPr>
          <w:t>十七、供应链管理</w:t>
        </w:r>
        <w:r>
          <w:tab/>
        </w:r>
        <w:r>
          <w:fldChar w:fldCharType="begin"/>
        </w:r>
        <w:r>
          <w:instrText xml:space="preserve"> PAGEREF _Toc27131 \h </w:instrText>
        </w:r>
        <w:r>
          <w:fldChar w:fldCharType="separate"/>
        </w:r>
        <w:r>
          <w:t>68</w:t>
        </w:r>
        <w:r>
          <w:fldChar w:fldCharType="end"/>
        </w:r>
      </w:hyperlink>
    </w:p>
    <w:p>
      <w:pPr>
        <w:pStyle w:val="TOC2"/>
        <w:tabs>
          <w:tab w:val="right" w:leader="dot" w:pos="8306"/>
        </w:tabs>
      </w:pPr>
      <w:hyperlink w:anchor="_Toc14190" w:history="1">
        <w:r>
          <w:rPr>
            <w:rFonts w:ascii="仿宋" w:eastAsia="仿宋" w:hAnsi="仿宋" w:cs="仿宋" w:hint="eastAsia"/>
            <w:lang w:eastAsia="zh-CN"/>
          </w:rPr>
          <w:t>(一)、供应链战略规划</w:t>
        </w:r>
        <w:r>
          <w:tab/>
        </w:r>
        <w:r>
          <w:fldChar w:fldCharType="begin"/>
        </w:r>
        <w:r>
          <w:instrText xml:space="preserve"> PAGEREF _Toc14190 \h </w:instrText>
        </w:r>
        <w:r>
          <w:fldChar w:fldCharType="separate"/>
        </w:r>
        <w:r>
          <w:t>68</w:t>
        </w:r>
        <w:r>
          <w:fldChar w:fldCharType="end"/>
        </w:r>
      </w:hyperlink>
    </w:p>
    <w:p>
      <w:pPr>
        <w:pStyle w:val="TOC2"/>
        <w:tabs>
          <w:tab w:val="right" w:leader="dot" w:pos="8306"/>
        </w:tabs>
      </w:pPr>
      <w:hyperlink w:anchor="_Toc12207" w:history="1">
        <w:r>
          <w:rPr>
            <w:rFonts w:ascii="仿宋" w:eastAsia="仿宋" w:hAnsi="仿宋" w:cs="仿宋" w:hint="eastAsia"/>
            <w:lang w:eastAsia="zh-CN"/>
          </w:rPr>
          <w:t>(二)、供应商选择与合作</w:t>
        </w:r>
        <w:r>
          <w:tab/>
        </w:r>
        <w:r>
          <w:fldChar w:fldCharType="begin"/>
        </w:r>
        <w:r>
          <w:instrText xml:space="preserve"> PAGEREF _Toc12207 \h </w:instrText>
        </w:r>
        <w:r>
          <w:fldChar w:fldCharType="separate"/>
        </w:r>
        <w:r>
          <w:t>69</w:t>
        </w:r>
        <w:r>
          <w:fldChar w:fldCharType="end"/>
        </w:r>
      </w:hyperlink>
    </w:p>
    <w:p>
      <w:pPr>
        <w:pStyle w:val="TOC2"/>
        <w:tabs>
          <w:tab w:val="right" w:leader="dot" w:pos="8306"/>
        </w:tabs>
      </w:pPr>
      <w:hyperlink w:anchor="_Toc29454" w:history="1">
        <w:r>
          <w:rPr>
            <w:rFonts w:ascii="仿宋" w:eastAsia="仿宋" w:hAnsi="仿宋" w:cs="仿宋" w:hint="eastAsia"/>
            <w:lang w:eastAsia="zh-CN"/>
          </w:rPr>
          <w:t>(三)、物流与库存管理</w:t>
        </w:r>
        <w:r>
          <w:tab/>
        </w:r>
        <w:r>
          <w:fldChar w:fldCharType="begin"/>
        </w:r>
        <w:r>
          <w:instrText xml:space="preserve"> PAGEREF _Toc29454 \h </w:instrText>
        </w:r>
        <w:r>
          <w:fldChar w:fldCharType="separate"/>
        </w:r>
        <w:r>
          <w:t>70</w:t>
        </w:r>
        <w:r>
          <w:fldChar w:fldCharType="end"/>
        </w:r>
      </w:hyperlink>
    </w:p>
    <w:p>
      <w:pPr>
        <w:pStyle w:val="TOC1"/>
        <w:tabs>
          <w:tab w:val="right" w:leader="dot" w:pos="8306"/>
        </w:tabs>
      </w:pPr>
      <w:hyperlink w:anchor="_Toc31424" w:history="1">
        <w:r>
          <w:rPr>
            <w:rFonts w:ascii="仿宋" w:eastAsia="仿宋" w:hAnsi="仿宋" w:cs="仿宋" w:hint="eastAsia"/>
            <w:lang w:eastAsia="zh-CN"/>
          </w:rPr>
          <w:t>十八、质量管理体系</w:t>
        </w:r>
        <w:r>
          <w:tab/>
        </w:r>
        <w:r>
          <w:fldChar w:fldCharType="begin"/>
        </w:r>
        <w:r>
          <w:instrText xml:space="preserve"> PAGEREF _Toc31424 \h </w:instrText>
        </w:r>
        <w:r>
          <w:fldChar w:fldCharType="separate"/>
        </w:r>
        <w:r>
          <w:t>72</w:t>
        </w:r>
        <w:r>
          <w:fldChar w:fldCharType="end"/>
        </w:r>
      </w:hyperlink>
    </w:p>
    <w:p>
      <w:pPr>
        <w:pStyle w:val="TOC2"/>
        <w:tabs>
          <w:tab w:val="right" w:leader="dot" w:pos="8306"/>
        </w:tabs>
      </w:pPr>
      <w:hyperlink w:anchor="_Toc11177" w:history="1">
        <w:r>
          <w:rPr>
            <w:rFonts w:ascii="仿宋" w:eastAsia="仿宋" w:hAnsi="仿宋" w:cs="仿宋" w:hint="eastAsia"/>
            <w:lang w:eastAsia="zh-CN"/>
          </w:rPr>
          <w:t>(一)、质量目标与方针</w:t>
        </w:r>
        <w:r>
          <w:tab/>
        </w:r>
        <w:r>
          <w:fldChar w:fldCharType="begin"/>
        </w:r>
        <w:r>
          <w:instrText xml:space="preserve"> PAGEREF _Toc11177 \h </w:instrText>
        </w:r>
        <w:r>
          <w:fldChar w:fldCharType="separate"/>
        </w:r>
        <w:r>
          <w:t>72</w:t>
        </w:r>
        <w:r>
          <w:fldChar w:fldCharType="end"/>
        </w:r>
      </w:hyperlink>
    </w:p>
    <w:p>
      <w:pPr>
        <w:pStyle w:val="TOC2"/>
        <w:tabs>
          <w:tab w:val="right" w:leader="dot" w:pos="8306"/>
        </w:tabs>
      </w:pPr>
      <w:hyperlink w:anchor="_Toc18595" w:history="1">
        <w:r>
          <w:rPr>
            <w:rFonts w:ascii="仿宋" w:eastAsia="仿宋" w:hAnsi="仿宋" w:cs="仿宋" w:hint="eastAsia"/>
            <w:lang w:eastAsia="zh-CN"/>
          </w:rPr>
          <w:t>(二)、质量管理责任</w:t>
        </w:r>
        <w:r>
          <w:tab/>
        </w:r>
        <w:r>
          <w:fldChar w:fldCharType="begin"/>
        </w:r>
        <w:r>
          <w:instrText xml:space="preserve"> PAGEREF _Toc18595 \h </w:instrText>
        </w:r>
        <w:r>
          <w:fldChar w:fldCharType="separate"/>
        </w:r>
        <w:r>
          <w:t>73</w:t>
        </w:r>
        <w:r>
          <w:fldChar w:fldCharType="end"/>
        </w:r>
      </w:hyperlink>
    </w:p>
    <w:p>
      <w:pPr>
        <w:pStyle w:val="TOC2"/>
        <w:tabs>
          <w:tab w:val="right" w:leader="dot" w:pos="8306"/>
        </w:tabs>
      </w:pPr>
      <w:hyperlink w:anchor="_Toc2948" w:history="1">
        <w:r>
          <w:rPr>
            <w:rFonts w:ascii="仿宋" w:eastAsia="仿宋" w:hAnsi="仿宋" w:cs="仿宋" w:hint="eastAsia"/>
            <w:lang w:eastAsia="zh-CN"/>
          </w:rPr>
          <w:t>(三)、质量管理体系文件</w:t>
        </w:r>
        <w:r>
          <w:tab/>
        </w:r>
        <w:r>
          <w:fldChar w:fldCharType="begin"/>
        </w:r>
        <w:r>
          <w:instrText xml:space="preserve"> PAGEREF _Toc2948 \h </w:instrText>
        </w:r>
        <w:r>
          <w:fldChar w:fldCharType="separate"/>
        </w:r>
        <w:r>
          <w:t>74</w:t>
        </w:r>
        <w:r>
          <w:fldChar w:fldCharType="end"/>
        </w:r>
      </w:hyperlink>
    </w:p>
    <w:p>
      <w:pPr>
        <w:pStyle w:val="TOC2"/>
        <w:tabs>
          <w:tab w:val="right" w:leader="dot" w:pos="8306"/>
        </w:tabs>
      </w:pPr>
      <w:hyperlink w:anchor="_Toc15011" w:history="1">
        <w:r>
          <w:rPr>
            <w:rFonts w:ascii="仿宋" w:eastAsia="仿宋" w:hAnsi="仿宋" w:cs="仿宋" w:hint="eastAsia"/>
            <w:lang w:eastAsia="zh-CN"/>
          </w:rPr>
          <w:t>(四)、质量培训与教育</w:t>
        </w:r>
        <w:r>
          <w:tab/>
        </w:r>
        <w:r>
          <w:fldChar w:fldCharType="begin"/>
        </w:r>
        <w:r>
          <w:instrText xml:space="preserve"> PAGEREF _Toc15011 \h </w:instrText>
        </w:r>
        <w:r>
          <w:fldChar w:fldCharType="separate"/>
        </w:r>
        <w:r>
          <w:t>76</w:t>
        </w:r>
        <w:r>
          <w:fldChar w:fldCharType="end"/>
        </w:r>
      </w:hyperlink>
    </w:p>
    <w:p>
      <w:pPr>
        <w:pStyle w:val="TOC2"/>
        <w:tabs>
          <w:tab w:val="right" w:leader="dot" w:pos="8306"/>
        </w:tabs>
      </w:pPr>
      <w:hyperlink w:anchor="_Toc13939" w:history="1">
        <w:r>
          <w:rPr>
            <w:rFonts w:ascii="仿宋" w:eastAsia="仿宋" w:hAnsi="仿宋" w:cs="仿宋" w:hint="eastAsia"/>
            <w:lang w:eastAsia="zh-CN"/>
          </w:rPr>
          <w:t>(五)、质量审核与评价</w:t>
        </w:r>
        <w:r>
          <w:tab/>
        </w:r>
        <w:r>
          <w:fldChar w:fldCharType="begin"/>
        </w:r>
        <w:r>
          <w:instrText xml:space="preserve"> PAGEREF _Toc13939 \h </w:instrText>
        </w:r>
        <w:r>
          <w:fldChar w:fldCharType="separate"/>
        </w:r>
        <w:r>
          <w:t>77</w:t>
        </w:r>
        <w:r>
          <w:fldChar w:fldCharType="end"/>
        </w:r>
      </w:hyperlink>
    </w:p>
    <w:p>
      <w:pPr>
        <w:pStyle w:val="TOC2"/>
        <w:tabs>
          <w:tab w:val="right" w:leader="dot" w:pos="8306"/>
        </w:tabs>
      </w:pPr>
      <w:hyperlink w:anchor="_Toc5679" w:history="1">
        <w:r>
          <w:rPr>
            <w:rFonts w:ascii="仿宋" w:eastAsia="仿宋" w:hAnsi="仿宋" w:cs="仿宋" w:hint="eastAsia"/>
            <w:lang w:eastAsia="zh-CN"/>
          </w:rPr>
          <w:t>(六)、不符合与纠正措施</w:t>
        </w:r>
        <w:r>
          <w:tab/>
        </w:r>
        <w:r>
          <w:fldChar w:fldCharType="begin"/>
        </w:r>
        <w:r>
          <w:instrText xml:space="preserve"> PAGEREF _Toc5679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173"/>
      <w:r>
        <w:rPr>
          <w:rFonts w:ascii="仿宋" w:eastAsia="仿宋" w:hAnsi="仿宋" w:cs="仿宋" w:hint="eastAsia"/>
          <w:sz w:val="28"/>
          <w:lang w:eastAsia="zh-CN"/>
        </w:rPr>
        <w:t>一、微生物肥料项目文档管理</w:t>
      </w:r>
      <w:bookmarkEnd w:id="2"/>
    </w:p>
    <w:p>
      <w:pPr>
        <w:pStyle w:val="Heading2"/>
        <w:rPr>
          <w:rFonts w:ascii="仿宋" w:eastAsia="仿宋" w:hAnsi="仿宋" w:cs="仿宋" w:hint="eastAsia"/>
          <w:lang w:eastAsia="zh-CN"/>
        </w:rPr>
      </w:pPr>
      <w:bookmarkStart w:id="3" w:name="_Toc2891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微生物肥料项目高度重视文档的质量和准确性，以支持微生物肥料项目的各项活动和决策。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肥料项目文档的编制始于微生物肥料项目计划的初期，我们制定了详细的文档编制计划，明确了每个文档的内容、格式和编写责任人。在微生物肥料项目启动阶段，我们首先编制了微生物肥料项目章程，明确定义了微生物肥料项目的目标、范围、风险等关键要素。随后，微生物肥料项目团队根据计划陆续编制了需求文档、设计文档、测试文档等各类文档，确保微生物肥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微生物肥料项目管理中的重要环节，旨在确保微生物肥料项目文档符合质量标准和微生物肥料项目需求。在微生物肥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微生物肥料项目相关利益方和专业领域的专家对文档进行独立审查。这有助于获取更全面、客观的反馈，确保微生物肥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微生物肥料项目在文档编制与审查方面建立了严格的管理机制，通过规范的流程和多维度的审查，确保微生物肥料项目文档的质量、准确性和可靠性，为微生物肥料项目的顺利推进提供了有力支持。</w:t>
      </w:r>
    </w:p>
    <w:p>
      <w:pPr>
        <w:pStyle w:val="Heading2"/>
        <w:ind w:firstLine="560" w:firstLineChars="200"/>
        <w:rPr>
          <w:rFonts w:ascii="仿宋" w:eastAsia="仿宋" w:hAnsi="仿宋" w:cs="仿宋" w:hint="eastAsia"/>
          <w:sz w:val="28"/>
          <w:lang w:eastAsia="zh-CN"/>
        </w:rPr>
      </w:pPr>
      <w:bookmarkStart w:id="4" w:name="_Toc2605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在微生物肥料项目中，我们致力于优化文档发布与分发过程，以确保信息的高效传递和团队间协作的顺畅进行。以下是我们采取的关键优化策略：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我们通过多渠道发布文档，包括电子邮件、微生物肥料项目管理平台、内部网站等，以满足不同团队成员的偏好和需求。多渠道发布确保了信息的全面覆盖。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我们采用了精细的权限控制，确保只有授权人员可以访问敏感信息。这种安全措施保护了微生物肥料项目文档的机密性，防止了未经授权的信息泄露。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417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文档存档与归档是微生物肥料项目生命周期中一个至关重要的环节，直接关系到微生物肥料项目信息的长期保存和历史记录的完整性。在微生物肥料项目中，我们实施了一系列有效的文档存档与归档管理策略：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7988"/>
      <w:r>
        <w:rPr>
          <w:rFonts w:ascii="仿宋" w:eastAsia="仿宋" w:hAnsi="仿宋" w:cs="仿宋" w:hint="eastAsia"/>
          <w:sz w:val="28"/>
          <w:lang w:eastAsia="zh-CN"/>
        </w:rPr>
        <w:t>二、微生物肥料项目土建工程</w:t>
      </w:r>
      <w:bookmarkEnd w:id="6"/>
    </w:p>
    <w:p>
      <w:pPr>
        <w:pStyle w:val="Heading2"/>
        <w:rPr>
          <w:rFonts w:ascii="仿宋" w:eastAsia="仿宋" w:hAnsi="仿宋" w:cs="仿宋" w:hint="eastAsia"/>
          <w:lang w:eastAsia="zh-CN"/>
        </w:rPr>
      </w:pPr>
      <w:bookmarkStart w:id="7" w:name="_Toc6727"/>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在微生物肥料项目的建筑工程设计中，我们将秉承一系列重要的设计原则，以确保微生物肥料项目建筑在功能、美观、可持续性等方面达到最佳效果。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首要原则是确保建筑的功能性得到最大化的发挥。我们将充分理解微生物肥料项目的实际需求，合理布局各个功能区域，保证建筑在满足业务需求的同时，提供高效的工作环境。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在建筑设计中，我们将综合考虑建设和运营成本。通过精细的经济效益分析，确保设计方案在高效利用资源的同时，对微生物肥料项目的长期盈利能力有积极的贡献。</w:t>
      </w:r>
    </w:p>
    <w:p>
      <w:pPr>
        <w:pStyle w:val="Heading2"/>
        <w:ind w:firstLine="560" w:firstLineChars="200"/>
        <w:rPr>
          <w:rFonts w:ascii="仿宋" w:eastAsia="仿宋" w:hAnsi="仿宋" w:cs="仿宋" w:hint="eastAsia"/>
          <w:sz w:val="28"/>
          <w:lang w:eastAsia="zh-CN"/>
        </w:rPr>
      </w:pPr>
      <w:bookmarkStart w:id="8" w:name="_Toc31276"/>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生物肥料项目的土建工程设计中，我们将精准设定设计年限，结合微生物肥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微生物肥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9821"/>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微生物肥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微生物肥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微生物肥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7738"/>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本期工程微生物肥料项目预计总建筑面积XXX平方米，其中：计容建筑面积XXX平方米，计划建筑工程投资XX万元，占微生物肥料项目总投资的XX%。</w:t>
      </w:r>
    </w:p>
    <w:p>
      <w:pPr>
        <w:pStyle w:val="Heading1"/>
        <w:ind w:firstLine="560" w:firstLineChars="200"/>
        <w:rPr>
          <w:rFonts w:ascii="仿宋" w:eastAsia="仿宋" w:hAnsi="仿宋" w:cs="仿宋" w:hint="eastAsia"/>
          <w:sz w:val="28"/>
          <w:lang w:eastAsia="zh-CN"/>
        </w:rPr>
      </w:pPr>
      <w:bookmarkStart w:id="11" w:name="_Toc27010"/>
      <w:r>
        <w:rPr>
          <w:rFonts w:ascii="仿宋" w:eastAsia="仿宋" w:hAnsi="仿宋" w:cs="仿宋" w:hint="eastAsia"/>
          <w:sz w:val="28"/>
          <w:lang w:eastAsia="zh-CN"/>
        </w:rPr>
        <w:t>三、微生物肥料项目绩效评估</w:t>
      </w:r>
      <w:bookmarkEnd w:id="11"/>
    </w:p>
    <w:p>
      <w:pPr>
        <w:pStyle w:val="Heading2"/>
        <w:rPr>
          <w:rFonts w:ascii="仿宋" w:eastAsia="仿宋" w:hAnsi="仿宋" w:cs="仿宋" w:hint="eastAsia"/>
          <w:lang w:eastAsia="zh-CN"/>
        </w:rPr>
      </w:pPr>
      <w:bookmarkStart w:id="12" w:name="_Toc30557"/>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微生物肥料项目中，我们设计了一套全面的绩效评估指标，以确保微生物肥料项目的可控和成功交付。这些指标跨足微生物肥料项目目标、成本、进度和质量等多个维度，为我们提供了全面洞察微生物肥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肥料项目目标达成率是我们关注的首要指标。我们设定了明确的目标，并通过定期监测和评估，迅速发现并应对潜在的目标偏差。这为微生物肥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成本绩效是另一个核心关注点。通过实际成本与预算成本的对比分析，我们深入了解成本差异的原因，及时调整资源分配，保持微生物肥料项目在经济效益方面的合理水平。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肥料项目进度作为关键的绩效指标之一，得到了精心的关注。我们制定了详细的微生物肥料项目进度计划，并设立了进度符合度指标，确保实际进度与计划进度保持一致。这使我们能够快速发现和解决潜在的进度问题，保持微生物肥料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微生物肥料项目绩效的不可或缺的一环。我们引入了一系列的质量标准和客户满意度指标，以确保微生物肥料项目交付的成果在质量上达到或超越预期水平。通过持续监测这些指标，我们努力提升微生物肥料项目整体质量水平，为微生物肥料项目的成功交付提供有力保障。通过这些科学且全面的绩效评估，我们能够更好地引导微生物肥料项目的持续改进，确保微生物肥料项目目标的顺利达成。</w:t>
      </w:r>
    </w:p>
    <w:p>
      <w:pPr>
        <w:pStyle w:val="Heading2"/>
        <w:ind w:firstLine="560" w:firstLineChars="200"/>
        <w:rPr>
          <w:rFonts w:ascii="仿宋" w:eastAsia="仿宋" w:hAnsi="仿宋" w:cs="仿宋" w:hint="eastAsia"/>
          <w:sz w:val="28"/>
          <w:lang w:eastAsia="zh-CN"/>
        </w:rPr>
      </w:pPr>
      <w:bookmarkStart w:id="13" w:name="_Toc17522"/>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绩效评估是微生物肥料项目中的关键环节，为确保微生物肥料项目达到预期目标，我们采用了多层次、多维度的绩效评估方法。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微生物肥料项目的战略目标对齐，确保每个决策和行动都与微生物肥料项目整体目标保持一致。团队会定期召开战略对齐会议，审视当前工作与微生物肥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微生物肥料项目进度、质量、成本和风险等方面。这些指标通过数据收集和分析，为微生物肥料项目管理团队提供了客观的评估依据。例如，我们通过微生物肥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绩效评估不仅仅停留在微生物肥料项目内部，还考虑了微生物肥料项目对外部环境的影响。我们定期进行干系人满意度调查，以了解各利益相关方对微生物肥料项目的期望和满意度，并及时做出调整。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这种多层次、多角度的绩效评估方法，使得我们能够全面了解微生物肥料项目的运行状态，及时做出调整，确保微生物肥料项目在不断变化的环境中保持稳健前行。</w:t>
      </w:r>
    </w:p>
    <w:p>
      <w:pPr>
        <w:pStyle w:val="Heading2"/>
        <w:ind w:firstLine="560" w:firstLineChars="200"/>
        <w:rPr>
          <w:rFonts w:ascii="仿宋" w:eastAsia="仿宋" w:hAnsi="仿宋" w:cs="仿宋" w:hint="eastAsia"/>
          <w:sz w:val="28"/>
          <w:lang w:eastAsia="zh-CN"/>
        </w:rPr>
      </w:pPr>
      <w:bookmarkStart w:id="14" w:name="_Toc1719"/>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为了确保微生物肥料项目的有效管理和不断优化，我们采用了精心设计的绩效评估周期。这个周期旨在实现灵活、实时和全面的评估，以适应微生物肥料项目执行中的各种挑战。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微生物肥料项目的不同需求，分为短期、中期和长期。短期评估关注每个迭代或工作周期，以及时发现和解决当前任务中的问题。中期评估涵盖几个迭代，深入了解整体微生物肥料项目的趋势和性能。长期评估则着眼于整个微生物肥料项目阶段，确保微生物肥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微生物肥料项目管理工具和协作平台，团队成员能够随时更新和分享微生物肥料项目数据。这种实时性的反馈机制使我们能够及时察觉潜在问题，快速调整，保持微生物肥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微生物肥料项目的决策制定密不可分。每个周期的微生物肥料项目回顾会议成为集体总结经验、识别问题深层次原因并找到创新解决方案的平台。这种定期的反思与调整机制使微生物肥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3312"/>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400"/>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微生物肥料项目的技术管理特点体现在其创新导向。通过引入最先进的技术趋势和解决方案，微生物肥料项目致力于提升科技含量、提高质量和效率水平。这意味着我们将采用最新的工具和方法，确保微生物肥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微生物肥料项目技术管理的显著特征。通过整合不同领域的技术资源，我们实现了跨学科的协同工作。这有助于优化技术架构，提高整体效能。此外，整合性策略还促进了不同技术团队之间的紧密沟通和高效合作，确保微生物肥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微生物肥料项目所采用的技术。通过不断优化技术方案，微生物肥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微生物肥料项目团队将在微生物肥料项目初期识别可能的技术风险，并采取相应的预防和应对措施。通过建立健全的风险评估机制，微生物肥料项目能够在实施过程中及时发现并解决潜在的技术问题，保障微生物肥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微生物肥料项目中，技术将成为微生物肥料项目成功的有力支持。这一深度剖析揭示了技术管理在微生物肥料项目实施中的关键作用，为微生物肥料项目的技术基础奠定了坚实的基础。</w:t>
      </w:r>
    </w:p>
    <w:p>
      <w:pPr>
        <w:pStyle w:val="Heading2"/>
        <w:ind w:firstLine="560" w:firstLineChars="200"/>
        <w:rPr>
          <w:rFonts w:ascii="仿宋" w:eastAsia="仿宋" w:hAnsi="仿宋" w:cs="仿宋" w:hint="eastAsia"/>
          <w:sz w:val="28"/>
          <w:lang w:eastAsia="zh-CN"/>
        </w:rPr>
      </w:pPr>
      <w:bookmarkStart w:id="17" w:name="_Toc25878"/>
      <w:r>
        <w:rPr>
          <w:rFonts w:ascii="仿宋" w:eastAsia="仿宋" w:hAnsi="仿宋" w:cs="仿宋" w:hint="eastAsia"/>
          <w:sz w:val="28"/>
          <w:lang w:eastAsia="zh-CN"/>
        </w:rPr>
        <w:t>(二)、微生物肥料项目工艺技术设计方案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微生物肥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微生物肥料项目将严格按照相关行业规范要求进行组织。通过有效控制产品质量，微生物肥料项目将致力于为顾客提供优质的微生物肥料项目产品和良好的服务。这体现了微生物肥料项目对于生产活动合规性和质量标准的高度重视，为微生物肥料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微生物肥料项目注重生态效益和清洁生产原则。微生物肥料项目建设将紧密结合地方特色经济发展，与社会经济发展规划和区域环境保护规划方案相协调一致。通过与当地区域自然生态系统的结合，微生物肥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微生物肥料项目产品具有多样化的客户需求和个性化的特点。因此，微生物肥料项目产品规格品种多样，且单批生产数量较小。为满足这一特点，微生物肥料项目承办单位将建设先进的柔性制造生产线。通过广泛应用柔性制造技术，微生物肥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微生物肥料项目采用的技术具有较高的技术含量和自动化水平，处于国内先进水平。这一技术选用不仅体现了对生产效率、质量和环境友好性的高标准要求，同时为微生物肥料项目的可持续发展奠定了坚实的基础。</w:t>
      </w:r>
    </w:p>
    <w:p>
      <w:pPr>
        <w:pStyle w:val="Heading2"/>
        <w:ind w:firstLine="560" w:firstLineChars="200"/>
        <w:rPr>
          <w:rFonts w:ascii="仿宋" w:eastAsia="仿宋" w:hAnsi="仿宋" w:cs="仿宋" w:hint="eastAsia"/>
          <w:sz w:val="28"/>
          <w:lang w:eastAsia="zh-CN"/>
        </w:rPr>
      </w:pPr>
      <w:bookmarkStart w:id="18" w:name="_Toc27179"/>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为确保微生物肥料项目的高效生产和技术实施，我们制定了一套精心设计的设备选型方案，以满足微生物肥料项目生产、质量和环保的要求。该方案的主要特点如下：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微生物肥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针对微生物肥料项目产品的多样性和小批量生产的特点，我们将建设柔性制造生产线。通过在设备选型中考虑柔性制造技术，可以灵活应对不同产品规格和生产需求，实现生产线的高度灵活性和适应性。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https://d.book118.com/786120221100010053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微生物肥料项目规划设计纲要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微生物肥料项目规划设计纲要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微生物肥料项目规划设计纲要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微生物肥料项目规划设计纲要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微生物肥料项目规划设计纲要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微生物肥料项目规划设计纲要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微生物肥料项目规划设计纲要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微生物肥料项目规划设计纲要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微生物肥料项目规划设计纲要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微生物肥料项目规划设计纲要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微生物肥料项目规划设计纲要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微生物肥料项目规划设计纲要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微生物肥料项目规划设计纲要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微生物肥料项目规划设计纲要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微生物肥料项目规划设计纲要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微生物肥料项目规划设计纲要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微生物肥料项目规划设计纲要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E0598F"/>
    <w:rsid w:val="56E059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6120221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2024-02-20T18:01:00Z</dcterms:created>
  <dcterms:modified xsi:type="dcterms:W3CDTF">2024-02-20T18:01:18Z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72EC7A565321408FBC659AC28AA7CF32_11</vt:lpwstr>
  </property>
  <property fmtid="{D5CDD505-2E9C-101B-9397-08002B2CF9AE}" pid="3" name="KSOProductBuildVer">
    <vt:lpwstr>2052-12.1.0.16250</vt:lpwstr>
  </property>
</Properties>
</file>