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灭活疫苗项目规划设计纲要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70" w:history="1">
        <w:r>
          <w:rPr>
            <w:rFonts w:ascii="仿宋" w:eastAsia="仿宋" w:hAnsi="仿宋" w:cs="仿宋" w:hint="eastAsia"/>
            <w:lang w:eastAsia="zh-CN"/>
          </w:rPr>
          <w:t>前言</w:t>
        </w:r>
        <w:r>
          <w:tab/>
        </w:r>
        <w:r>
          <w:fldChar w:fldCharType="begin"/>
        </w:r>
        <w:r>
          <w:instrText xml:space="preserve"> PAGEREF _Toc13870 \h </w:instrText>
        </w:r>
        <w:r>
          <w:fldChar w:fldCharType="separate"/>
        </w:r>
        <w:r>
          <w:t>3</w:t>
        </w:r>
        <w:r>
          <w:fldChar w:fldCharType="end"/>
        </w:r>
      </w:hyperlink>
    </w:p>
    <w:p>
      <w:pPr>
        <w:pStyle w:val="TOC1"/>
        <w:tabs>
          <w:tab w:val="right" w:leader="dot" w:pos="8306"/>
        </w:tabs>
      </w:pPr>
      <w:hyperlink w:anchor="_Toc17328" w:history="1">
        <w:r>
          <w:rPr>
            <w:rFonts w:ascii="仿宋" w:eastAsia="仿宋" w:hAnsi="仿宋" w:cs="仿宋" w:hint="eastAsia"/>
            <w:lang w:eastAsia="zh-CN"/>
          </w:rPr>
          <w:t>一、灭活疫苗项目危机管理</w:t>
        </w:r>
        <w:r>
          <w:tab/>
        </w:r>
        <w:r>
          <w:fldChar w:fldCharType="begin"/>
        </w:r>
        <w:r>
          <w:instrText xml:space="preserve"> PAGEREF _Toc17328 \h </w:instrText>
        </w:r>
        <w:r>
          <w:fldChar w:fldCharType="separate"/>
        </w:r>
        <w:r>
          <w:t>3</w:t>
        </w:r>
        <w:r>
          <w:fldChar w:fldCharType="end"/>
        </w:r>
      </w:hyperlink>
    </w:p>
    <w:p>
      <w:pPr>
        <w:pStyle w:val="TOC2"/>
        <w:tabs>
          <w:tab w:val="right" w:leader="dot" w:pos="8306"/>
        </w:tabs>
      </w:pPr>
      <w:hyperlink w:anchor="_Toc4953" w:history="1">
        <w:r>
          <w:rPr>
            <w:rFonts w:ascii="仿宋" w:eastAsia="仿宋" w:hAnsi="仿宋" w:cs="仿宋" w:hint="eastAsia"/>
            <w:lang w:eastAsia="zh-CN"/>
          </w:rPr>
          <w:t>(一)、危机预警与识别</w:t>
        </w:r>
        <w:r>
          <w:tab/>
        </w:r>
        <w:r>
          <w:fldChar w:fldCharType="begin"/>
        </w:r>
        <w:r>
          <w:instrText xml:space="preserve"> PAGEREF _Toc4953 \h </w:instrText>
        </w:r>
        <w:r>
          <w:fldChar w:fldCharType="separate"/>
        </w:r>
        <w:r>
          <w:t>3</w:t>
        </w:r>
        <w:r>
          <w:fldChar w:fldCharType="end"/>
        </w:r>
      </w:hyperlink>
    </w:p>
    <w:p>
      <w:pPr>
        <w:pStyle w:val="TOC2"/>
        <w:tabs>
          <w:tab w:val="right" w:leader="dot" w:pos="8306"/>
        </w:tabs>
      </w:pPr>
      <w:hyperlink w:anchor="_Toc7616" w:history="1">
        <w:r>
          <w:rPr>
            <w:rFonts w:ascii="仿宋" w:eastAsia="仿宋" w:hAnsi="仿宋" w:cs="仿宋" w:hint="eastAsia"/>
            <w:lang w:eastAsia="zh-CN"/>
          </w:rPr>
          <w:t>(二)、危机应对与恢复</w:t>
        </w:r>
        <w:r>
          <w:tab/>
        </w:r>
        <w:r>
          <w:fldChar w:fldCharType="begin"/>
        </w:r>
        <w:r>
          <w:instrText xml:space="preserve"> PAGEREF _Toc7616 \h </w:instrText>
        </w:r>
        <w:r>
          <w:fldChar w:fldCharType="separate"/>
        </w:r>
        <w:r>
          <w:t>4</w:t>
        </w:r>
        <w:r>
          <w:fldChar w:fldCharType="end"/>
        </w:r>
      </w:hyperlink>
    </w:p>
    <w:p>
      <w:pPr>
        <w:pStyle w:val="TOC1"/>
        <w:tabs>
          <w:tab w:val="right" w:leader="dot" w:pos="8306"/>
        </w:tabs>
      </w:pPr>
      <w:hyperlink w:anchor="_Toc11415" w:history="1">
        <w:r>
          <w:rPr>
            <w:rFonts w:ascii="仿宋" w:eastAsia="仿宋" w:hAnsi="仿宋" w:cs="仿宋" w:hint="eastAsia"/>
            <w:lang w:eastAsia="zh-CN"/>
          </w:rPr>
          <w:t>二、工艺说明</w:t>
        </w:r>
        <w:r>
          <w:tab/>
        </w:r>
        <w:r>
          <w:fldChar w:fldCharType="begin"/>
        </w:r>
        <w:r>
          <w:instrText xml:space="preserve"> PAGEREF _Toc11415 \h </w:instrText>
        </w:r>
        <w:r>
          <w:fldChar w:fldCharType="separate"/>
        </w:r>
        <w:r>
          <w:t>5</w:t>
        </w:r>
        <w:r>
          <w:fldChar w:fldCharType="end"/>
        </w:r>
      </w:hyperlink>
    </w:p>
    <w:p>
      <w:pPr>
        <w:pStyle w:val="TOC2"/>
        <w:tabs>
          <w:tab w:val="right" w:leader="dot" w:pos="8306"/>
        </w:tabs>
      </w:pPr>
      <w:hyperlink w:anchor="_Toc26458" w:history="1">
        <w:r>
          <w:rPr>
            <w:rFonts w:ascii="仿宋" w:eastAsia="仿宋" w:hAnsi="仿宋" w:cs="仿宋" w:hint="eastAsia"/>
            <w:lang w:eastAsia="zh-CN"/>
          </w:rPr>
          <w:t>(一)、技术管理特点</w:t>
        </w:r>
        <w:r>
          <w:tab/>
        </w:r>
        <w:r>
          <w:fldChar w:fldCharType="begin"/>
        </w:r>
        <w:r>
          <w:instrText xml:space="preserve"> PAGEREF _Toc26458 \h </w:instrText>
        </w:r>
        <w:r>
          <w:fldChar w:fldCharType="separate"/>
        </w:r>
        <w:r>
          <w:t>5</w:t>
        </w:r>
        <w:r>
          <w:fldChar w:fldCharType="end"/>
        </w:r>
      </w:hyperlink>
    </w:p>
    <w:p>
      <w:pPr>
        <w:pStyle w:val="TOC2"/>
        <w:tabs>
          <w:tab w:val="right" w:leader="dot" w:pos="8306"/>
        </w:tabs>
      </w:pPr>
      <w:hyperlink w:anchor="_Toc27885" w:history="1">
        <w:r>
          <w:rPr>
            <w:rFonts w:ascii="仿宋" w:eastAsia="仿宋" w:hAnsi="仿宋" w:cs="仿宋" w:hint="eastAsia"/>
            <w:lang w:eastAsia="zh-CN"/>
          </w:rPr>
          <w:t>(二)、灭活疫苗项目工艺技术设计方案</w:t>
        </w:r>
        <w:r>
          <w:tab/>
        </w:r>
        <w:r>
          <w:fldChar w:fldCharType="begin"/>
        </w:r>
        <w:r>
          <w:instrText xml:space="preserve"> PAGEREF _Toc27885 \h </w:instrText>
        </w:r>
        <w:r>
          <w:fldChar w:fldCharType="separate"/>
        </w:r>
        <w:r>
          <w:t>6</w:t>
        </w:r>
        <w:r>
          <w:fldChar w:fldCharType="end"/>
        </w:r>
      </w:hyperlink>
    </w:p>
    <w:p>
      <w:pPr>
        <w:pStyle w:val="TOC2"/>
        <w:tabs>
          <w:tab w:val="right" w:leader="dot" w:pos="8306"/>
        </w:tabs>
      </w:pPr>
      <w:hyperlink w:anchor="_Toc14227" w:history="1">
        <w:r>
          <w:rPr>
            <w:rFonts w:ascii="仿宋" w:eastAsia="仿宋" w:hAnsi="仿宋" w:cs="仿宋" w:hint="eastAsia"/>
            <w:lang w:eastAsia="zh-CN"/>
          </w:rPr>
          <w:t>(三)、设备选型方案</w:t>
        </w:r>
        <w:r>
          <w:tab/>
        </w:r>
        <w:r>
          <w:fldChar w:fldCharType="begin"/>
        </w:r>
        <w:r>
          <w:instrText xml:space="preserve"> PAGEREF _Toc14227 \h </w:instrText>
        </w:r>
        <w:r>
          <w:fldChar w:fldCharType="separate"/>
        </w:r>
        <w:r>
          <w:t>8</w:t>
        </w:r>
        <w:r>
          <w:fldChar w:fldCharType="end"/>
        </w:r>
      </w:hyperlink>
    </w:p>
    <w:p>
      <w:pPr>
        <w:pStyle w:val="TOC1"/>
        <w:tabs>
          <w:tab w:val="right" w:leader="dot" w:pos="8306"/>
        </w:tabs>
      </w:pPr>
      <w:hyperlink w:anchor="_Toc3759" w:history="1">
        <w:r>
          <w:rPr>
            <w:rFonts w:ascii="仿宋" w:eastAsia="仿宋" w:hAnsi="仿宋" w:cs="仿宋" w:hint="eastAsia"/>
            <w:lang w:eastAsia="zh-CN"/>
          </w:rPr>
          <w:t>三、灭活疫苗项目土建工程</w:t>
        </w:r>
        <w:r>
          <w:tab/>
        </w:r>
        <w:r>
          <w:fldChar w:fldCharType="begin"/>
        </w:r>
        <w:r>
          <w:instrText xml:space="preserve"> PAGEREF _Toc3759 \h </w:instrText>
        </w:r>
        <w:r>
          <w:fldChar w:fldCharType="separate"/>
        </w:r>
        <w:r>
          <w:t>9</w:t>
        </w:r>
        <w:r>
          <w:fldChar w:fldCharType="end"/>
        </w:r>
      </w:hyperlink>
    </w:p>
    <w:p>
      <w:pPr>
        <w:pStyle w:val="TOC2"/>
        <w:tabs>
          <w:tab w:val="right" w:leader="dot" w:pos="8306"/>
        </w:tabs>
      </w:pPr>
      <w:hyperlink w:anchor="_Toc18594" w:history="1">
        <w:r>
          <w:rPr>
            <w:rFonts w:ascii="仿宋" w:eastAsia="仿宋" w:hAnsi="仿宋" w:cs="仿宋" w:hint="eastAsia"/>
            <w:lang w:eastAsia="zh-CN"/>
          </w:rPr>
          <w:t>(一)、建筑工程设计原则</w:t>
        </w:r>
        <w:r>
          <w:tab/>
        </w:r>
        <w:r>
          <w:fldChar w:fldCharType="begin"/>
        </w:r>
        <w:r>
          <w:instrText xml:space="preserve"> PAGEREF _Toc18594 \h </w:instrText>
        </w:r>
        <w:r>
          <w:fldChar w:fldCharType="separate"/>
        </w:r>
        <w:r>
          <w:t>9</w:t>
        </w:r>
        <w:r>
          <w:fldChar w:fldCharType="end"/>
        </w:r>
      </w:hyperlink>
    </w:p>
    <w:p>
      <w:pPr>
        <w:pStyle w:val="TOC2"/>
        <w:tabs>
          <w:tab w:val="right" w:leader="dot" w:pos="8306"/>
        </w:tabs>
      </w:pPr>
      <w:hyperlink w:anchor="_Toc28586" w:history="1">
        <w:r>
          <w:rPr>
            <w:rFonts w:ascii="仿宋" w:eastAsia="仿宋" w:hAnsi="仿宋" w:cs="仿宋" w:hint="eastAsia"/>
            <w:lang w:eastAsia="zh-CN"/>
          </w:rPr>
          <w:t>(二)、土建工程设计年限及安全等级</w:t>
        </w:r>
        <w:r>
          <w:tab/>
        </w:r>
        <w:r>
          <w:fldChar w:fldCharType="begin"/>
        </w:r>
        <w:r>
          <w:instrText xml:space="preserve"> PAGEREF _Toc28586 \h </w:instrText>
        </w:r>
        <w:r>
          <w:fldChar w:fldCharType="separate"/>
        </w:r>
        <w:r>
          <w:t>10</w:t>
        </w:r>
        <w:r>
          <w:fldChar w:fldCharType="end"/>
        </w:r>
      </w:hyperlink>
    </w:p>
    <w:p>
      <w:pPr>
        <w:pStyle w:val="TOC2"/>
        <w:tabs>
          <w:tab w:val="right" w:leader="dot" w:pos="8306"/>
        </w:tabs>
      </w:pPr>
      <w:hyperlink w:anchor="_Toc989" w:history="1">
        <w:r>
          <w:rPr>
            <w:rFonts w:ascii="仿宋" w:eastAsia="仿宋" w:hAnsi="仿宋" w:cs="仿宋" w:hint="eastAsia"/>
            <w:lang w:eastAsia="zh-CN"/>
          </w:rPr>
          <w:t>(三)、建筑工程设计总体要求</w:t>
        </w:r>
        <w:r>
          <w:tab/>
        </w:r>
        <w:r>
          <w:fldChar w:fldCharType="begin"/>
        </w:r>
        <w:r>
          <w:instrText xml:space="preserve"> PAGEREF _Toc989 \h </w:instrText>
        </w:r>
        <w:r>
          <w:fldChar w:fldCharType="separate"/>
        </w:r>
        <w:r>
          <w:t>11</w:t>
        </w:r>
        <w:r>
          <w:fldChar w:fldCharType="end"/>
        </w:r>
      </w:hyperlink>
    </w:p>
    <w:p>
      <w:pPr>
        <w:pStyle w:val="TOC2"/>
        <w:tabs>
          <w:tab w:val="right" w:leader="dot" w:pos="8306"/>
        </w:tabs>
      </w:pPr>
      <w:hyperlink w:anchor="_Toc21391" w:history="1">
        <w:r>
          <w:rPr>
            <w:rFonts w:ascii="仿宋" w:eastAsia="仿宋" w:hAnsi="仿宋" w:cs="仿宋" w:hint="eastAsia"/>
            <w:lang w:eastAsia="zh-CN"/>
          </w:rPr>
          <w:t>(四)、土建工程建设指标</w:t>
        </w:r>
        <w:r>
          <w:tab/>
        </w:r>
        <w:r>
          <w:fldChar w:fldCharType="begin"/>
        </w:r>
        <w:r>
          <w:instrText xml:space="preserve"> PAGEREF _Toc21391 \h </w:instrText>
        </w:r>
        <w:r>
          <w:fldChar w:fldCharType="separate"/>
        </w:r>
        <w:r>
          <w:t>12</w:t>
        </w:r>
        <w:r>
          <w:fldChar w:fldCharType="end"/>
        </w:r>
      </w:hyperlink>
    </w:p>
    <w:p>
      <w:pPr>
        <w:pStyle w:val="TOC1"/>
        <w:tabs>
          <w:tab w:val="right" w:leader="dot" w:pos="8306"/>
        </w:tabs>
      </w:pPr>
      <w:hyperlink w:anchor="_Toc1799" w:history="1">
        <w:r>
          <w:rPr>
            <w:rFonts w:ascii="仿宋" w:eastAsia="仿宋" w:hAnsi="仿宋" w:cs="仿宋" w:hint="eastAsia"/>
            <w:lang w:eastAsia="zh-CN"/>
          </w:rPr>
          <w:t>四、灭活疫苗项目可持续发展</w:t>
        </w:r>
        <w:r>
          <w:tab/>
        </w:r>
        <w:r>
          <w:fldChar w:fldCharType="begin"/>
        </w:r>
        <w:r>
          <w:instrText xml:space="preserve"> PAGEREF _Toc1799 \h </w:instrText>
        </w:r>
        <w:r>
          <w:fldChar w:fldCharType="separate"/>
        </w:r>
        <w:r>
          <w:t>12</w:t>
        </w:r>
        <w:r>
          <w:fldChar w:fldCharType="end"/>
        </w:r>
      </w:hyperlink>
    </w:p>
    <w:p>
      <w:pPr>
        <w:pStyle w:val="TOC2"/>
        <w:tabs>
          <w:tab w:val="right" w:leader="dot" w:pos="8306"/>
        </w:tabs>
      </w:pPr>
      <w:hyperlink w:anchor="_Toc28322" w:history="1">
        <w:r>
          <w:rPr>
            <w:rFonts w:ascii="仿宋" w:eastAsia="仿宋" w:hAnsi="仿宋" w:cs="仿宋" w:hint="eastAsia"/>
            <w:lang w:eastAsia="zh-CN"/>
          </w:rPr>
          <w:t>(一)、可持续战略与实践</w:t>
        </w:r>
        <w:r>
          <w:tab/>
        </w:r>
        <w:r>
          <w:fldChar w:fldCharType="begin"/>
        </w:r>
        <w:r>
          <w:instrText xml:space="preserve"> PAGEREF _Toc28322 \h </w:instrText>
        </w:r>
        <w:r>
          <w:fldChar w:fldCharType="separate"/>
        </w:r>
        <w:r>
          <w:t>12</w:t>
        </w:r>
        <w:r>
          <w:fldChar w:fldCharType="end"/>
        </w:r>
      </w:hyperlink>
    </w:p>
    <w:p>
      <w:pPr>
        <w:pStyle w:val="TOC2"/>
        <w:tabs>
          <w:tab w:val="right" w:leader="dot" w:pos="8306"/>
        </w:tabs>
      </w:pPr>
      <w:hyperlink w:anchor="_Toc13494" w:history="1">
        <w:r>
          <w:rPr>
            <w:rFonts w:ascii="仿宋" w:eastAsia="仿宋" w:hAnsi="仿宋" w:cs="仿宋" w:hint="eastAsia"/>
            <w:lang w:eastAsia="zh-CN"/>
          </w:rPr>
          <w:t>(二)、环保与社会责任</w:t>
        </w:r>
        <w:r>
          <w:tab/>
        </w:r>
        <w:r>
          <w:fldChar w:fldCharType="begin"/>
        </w:r>
        <w:r>
          <w:instrText xml:space="preserve"> PAGEREF _Toc13494 \h </w:instrText>
        </w:r>
        <w:r>
          <w:fldChar w:fldCharType="separate"/>
        </w:r>
        <w:r>
          <w:t>13</w:t>
        </w:r>
        <w:r>
          <w:fldChar w:fldCharType="end"/>
        </w:r>
      </w:hyperlink>
    </w:p>
    <w:p>
      <w:pPr>
        <w:pStyle w:val="TOC1"/>
        <w:tabs>
          <w:tab w:val="right" w:leader="dot" w:pos="8306"/>
        </w:tabs>
      </w:pPr>
      <w:hyperlink w:anchor="_Toc8960" w:history="1">
        <w:r>
          <w:rPr>
            <w:rFonts w:ascii="仿宋" w:eastAsia="仿宋" w:hAnsi="仿宋" w:cs="仿宋" w:hint="eastAsia"/>
            <w:lang w:eastAsia="zh-CN"/>
          </w:rPr>
          <w:t>五、灭活疫苗项目建设背景及必要性分析</w:t>
        </w:r>
        <w:r>
          <w:tab/>
        </w:r>
        <w:r>
          <w:fldChar w:fldCharType="begin"/>
        </w:r>
        <w:r>
          <w:instrText xml:space="preserve"> PAGEREF _Toc8960 \h </w:instrText>
        </w:r>
        <w:r>
          <w:fldChar w:fldCharType="separate"/>
        </w:r>
        <w:r>
          <w:t>14</w:t>
        </w:r>
        <w:r>
          <w:fldChar w:fldCharType="end"/>
        </w:r>
      </w:hyperlink>
    </w:p>
    <w:p>
      <w:pPr>
        <w:pStyle w:val="TOC2"/>
        <w:tabs>
          <w:tab w:val="right" w:leader="dot" w:pos="8306"/>
        </w:tabs>
      </w:pPr>
      <w:hyperlink w:anchor="_Toc12550" w:history="1">
        <w:r>
          <w:rPr>
            <w:rFonts w:ascii="仿宋" w:eastAsia="仿宋" w:hAnsi="仿宋" w:cs="仿宋" w:hint="eastAsia"/>
            <w:lang w:eastAsia="zh-CN"/>
          </w:rPr>
          <w:t>(一)、灭活疫苗项目背景分析</w:t>
        </w:r>
        <w:r>
          <w:tab/>
        </w:r>
        <w:r>
          <w:fldChar w:fldCharType="begin"/>
        </w:r>
        <w:r>
          <w:instrText xml:space="preserve"> PAGEREF _Toc12550 \h </w:instrText>
        </w:r>
        <w:r>
          <w:fldChar w:fldCharType="separate"/>
        </w:r>
        <w:r>
          <w:t>14</w:t>
        </w:r>
        <w:r>
          <w:fldChar w:fldCharType="end"/>
        </w:r>
      </w:hyperlink>
    </w:p>
    <w:p>
      <w:pPr>
        <w:pStyle w:val="TOC2"/>
        <w:tabs>
          <w:tab w:val="right" w:leader="dot" w:pos="8306"/>
        </w:tabs>
      </w:pPr>
      <w:hyperlink w:anchor="_Toc27895" w:history="1">
        <w:r>
          <w:rPr>
            <w:rFonts w:ascii="仿宋" w:eastAsia="仿宋" w:hAnsi="仿宋" w:cs="仿宋" w:hint="eastAsia"/>
            <w:lang w:eastAsia="zh-CN"/>
          </w:rPr>
          <w:t>(二)、灭活疫苗项目建设必要性分析</w:t>
        </w:r>
        <w:r>
          <w:tab/>
        </w:r>
        <w:r>
          <w:fldChar w:fldCharType="begin"/>
        </w:r>
        <w:r>
          <w:instrText xml:space="preserve"> PAGEREF _Toc27895 \h </w:instrText>
        </w:r>
        <w:r>
          <w:fldChar w:fldCharType="separate"/>
        </w:r>
        <w:r>
          <w:t>16</w:t>
        </w:r>
        <w:r>
          <w:fldChar w:fldCharType="end"/>
        </w:r>
      </w:hyperlink>
    </w:p>
    <w:p>
      <w:pPr>
        <w:pStyle w:val="TOC1"/>
        <w:tabs>
          <w:tab w:val="right" w:leader="dot" w:pos="8306"/>
        </w:tabs>
      </w:pPr>
      <w:hyperlink w:anchor="_Toc29963" w:history="1">
        <w:r>
          <w:rPr>
            <w:rFonts w:ascii="仿宋" w:eastAsia="仿宋" w:hAnsi="仿宋" w:cs="仿宋" w:hint="eastAsia"/>
            <w:lang w:eastAsia="zh-CN"/>
          </w:rPr>
          <w:t>六、灭活疫苗项目选址可行性分析</w:t>
        </w:r>
        <w:r>
          <w:tab/>
        </w:r>
        <w:r>
          <w:fldChar w:fldCharType="begin"/>
        </w:r>
        <w:r>
          <w:instrText xml:space="preserve"> PAGEREF _Toc29963 \h </w:instrText>
        </w:r>
        <w:r>
          <w:fldChar w:fldCharType="separate"/>
        </w:r>
        <w:r>
          <w:t>17</w:t>
        </w:r>
        <w:r>
          <w:fldChar w:fldCharType="end"/>
        </w:r>
      </w:hyperlink>
    </w:p>
    <w:p>
      <w:pPr>
        <w:pStyle w:val="TOC2"/>
        <w:tabs>
          <w:tab w:val="right" w:leader="dot" w:pos="8306"/>
        </w:tabs>
      </w:pPr>
      <w:hyperlink w:anchor="_Toc8008" w:history="1">
        <w:r>
          <w:rPr>
            <w:rFonts w:ascii="仿宋" w:eastAsia="仿宋" w:hAnsi="仿宋" w:cs="仿宋" w:hint="eastAsia"/>
            <w:lang w:eastAsia="zh-CN"/>
          </w:rPr>
          <w:t>(一)、灭活疫苗项目选址</w:t>
        </w:r>
        <w:r>
          <w:tab/>
        </w:r>
        <w:r>
          <w:fldChar w:fldCharType="begin"/>
        </w:r>
        <w:r>
          <w:instrText xml:space="preserve"> PAGEREF _Toc8008 \h </w:instrText>
        </w:r>
        <w:r>
          <w:fldChar w:fldCharType="separate"/>
        </w:r>
        <w:r>
          <w:t>17</w:t>
        </w:r>
        <w:r>
          <w:fldChar w:fldCharType="end"/>
        </w:r>
      </w:hyperlink>
    </w:p>
    <w:p>
      <w:pPr>
        <w:pStyle w:val="TOC2"/>
        <w:tabs>
          <w:tab w:val="right" w:leader="dot" w:pos="8306"/>
        </w:tabs>
      </w:pPr>
      <w:hyperlink w:anchor="_Toc13974" w:history="1">
        <w:r>
          <w:rPr>
            <w:rFonts w:ascii="仿宋" w:eastAsia="仿宋" w:hAnsi="仿宋" w:cs="仿宋" w:hint="eastAsia"/>
            <w:lang w:eastAsia="zh-CN"/>
          </w:rPr>
          <w:t>(二)、用地控制指标</w:t>
        </w:r>
        <w:r>
          <w:tab/>
        </w:r>
        <w:r>
          <w:fldChar w:fldCharType="begin"/>
        </w:r>
        <w:r>
          <w:instrText xml:space="preserve"> PAGEREF _Toc13974 \h </w:instrText>
        </w:r>
        <w:r>
          <w:fldChar w:fldCharType="separate"/>
        </w:r>
        <w:r>
          <w:t>17</w:t>
        </w:r>
        <w:r>
          <w:fldChar w:fldCharType="end"/>
        </w:r>
      </w:hyperlink>
    </w:p>
    <w:p>
      <w:pPr>
        <w:pStyle w:val="TOC2"/>
        <w:tabs>
          <w:tab w:val="right" w:leader="dot" w:pos="8306"/>
        </w:tabs>
      </w:pPr>
      <w:hyperlink w:anchor="_Toc22091" w:history="1">
        <w:r>
          <w:rPr>
            <w:rFonts w:ascii="仿宋" w:eastAsia="仿宋" w:hAnsi="仿宋" w:cs="仿宋" w:hint="eastAsia"/>
            <w:lang w:eastAsia="zh-CN"/>
          </w:rPr>
          <w:t>(三)、节约用地措施</w:t>
        </w:r>
        <w:r>
          <w:tab/>
        </w:r>
        <w:r>
          <w:fldChar w:fldCharType="begin"/>
        </w:r>
        <w:r>
          <w:instrText xml:space="preserve"> PAGEREF _Toc22091 \h </w:instrText>
        </w:r>
        <w:r>
          <w:fldChar w:fldCharType="separate"/>
        </w:r>
        <w:r>
          <w:t>19</w:t>
        </w:r>
        <w:r>
          <w:fldChar w:fldCharType="end"/>
        </w:r>
      </w:hyperlink>
    </w:p>
    <w:p>
      <w:pPr>
        <w:pStyle w:val="TOC2"/>
        <w:tabs>
          <w:tab w:val="right" w:leader="dot" w:pos="8306"/>
        </w:tabs>
      </w:pPr>
      <w:hyperlink w:anchor="_Toc3907" w:history="1">
        <w:r>
          <w:rPr>
            <w:rFonts w:ascii="仿宋" w:eastAsia="仿宋" w:hAnsi="仿宋" w:cs="仿宋" w:hint="eastAsia"/>
            <w:lang w:eastAsia="zh-CN"/>
          </w:rPr>
          <w:t>(四)、总图布置方案</w:t>
        </w:r>
        <w:r>
          <w:tab/>
        </w:r>
        <w:r>
          <w:fldChar w:fldCharType="begin"/>
        </w:r>
        <w:r>
          <w:instrText xml:space="preserve"> PAGEREF _Toc3907 \h </w:instrText>
        </w:r>
        <w:r>
          <w:fldChar w:fldCharType="separate"/>
        </w:r>
        <w:r>
          <w:t>20</w:t>
        </w:r>
        <w:r>
          <w:fldChar w:fldCharType="end"/>
        </w:r>
      </w:hyperlink>
    </w:p>
    <w:p>
      <w:pPr>
        <w:pStyle w:val="TOC2"/>
        <w:tabs>
          <w:tab w:val="right" w:leader="dot" w:pos="8306"/>
        </w:tabs>
      </w:pPr>
      <w:hyperlink w:anchor="_Toc324" w:history="1">
        <w:r>
          <w:rPr>
            <w:rFonts w:ascii="仿宋" w:eastAsia="仿宋" w:hAnsi="仿宋" w:cs="仿宋" w:hint="eastAsia"/>
            <w:lang w:eastAsia="zh-CN"/>
          </w:rPr>
          <w:t>(五)、选址综合评价</w:t>
        </w:r>
        <w:r>
          <w:tab/>
        </w:r>
        <w:r>
          <w:fldChar w:fldCharType="begin"/>
        </w:r>
        <w:r>
          <w:instrText xml:space="preserve"> PAGEREF _Toc324 \h </w:instrText>
        </w:r>
        <w:r>
          <w:fldChar w:fldCharType="separate"/>
        </w:r>
        <w:r>
          <w:t>21</w:t>
        </w:r>
        <w:r>
          <w:fldChar w:fldCharType="end"/>
        </w:r>
      </w:hyperlink>
    </w:p>
    <w:p>
      <w:pPr>
        <w:pStyle w:val="TOC1"/>
        <w:tabs>
          <w:tab w:val="right" w:leader="dot" w:pos="8306"/>
        </w:tabs>
      </w:pPr>
      <w:hyperlink w:anchor="_Toc25845" w:history="1">
        <w:r>
          <w:rPr>
            <w:rFonts w:ascii="仿宋" w:eastAsia="仿宋" w:hAnsi="仿宋" w:cs="仿宋" w:hint="eastAsia"/>
            <w:lang w:eastAsia="zh-CN"/>
          </w:rPr>
          <w:t>七、灭活疫苗项目风险管理</w:t>
        </w:r>
        <w:r>
          <w:tab/>
        </w:r>
        <w:r>
          <w:fldChar w:fldCharType="begin"/>
        </w:r>
        <w:r>
          <w:instrText xml:space="preserve"> PAGEREF _Toc25845 \h </w:instrText>
        </w:r>
        <w:r>
          <w:fldChar w:fldCharType="separate"/>
        </w:r>
        <w:r>
          <w:t>22</w:t>
        </w:r>
        <w:r>
          <w:fldChar w:fldCharType="end"/>
        </w:r>
      </w:hyperlink>
    </w:p>
    <w:p>
      <w:pPr>
        <w:pStyle w:val="TOC2"/>
        <w:tabs>
          <w:tab w:val="right" w:leader="dot" w:pos="8306"/>
        </w:tabs>
      </w:pPr>
      <w:hyperlink w:anchor="_Toc7031" w:history="1">
        <w:r>
          <w:rPr>
            <w:rFonts w:ascii="仿宋" w:eastAsia="仿宋" w:hAnsi="仿宋" w:cs="仿宋" w:hint="eastAsia"/>
            <w:lang w:eastAsia="zh-CN"/>
          </w:rPr>
          <w:t>(一)、风险识别与评估</w:t>
        </w:r>
        <w:r>
          <w:tab/>
        </w:r>
        <w:r>
          <w:fldChar w:fldCharType="begin"/>
        </w:r>
        <w:r>
          <w:instrText xml:space="preserve"> PAGEREF _Toc7031 \h </w:instrText>
        </w:r>
        <w:r>
          <w:fldChar w:fldCharType="separate"/>
        </w:r>
        <w:r>
          <w:t>22</w:t>
        </w:r>
        <w:r>
          <w:fldChar w:fldCharType="end"/>
        </w:r>
      </w:hyperlink>
    </w:p>
    <w:p>
      <w:pPr>
        <w:pStyle w:val="TOC2"/>
        <w:tabs>
          <w:tab w:val="right" w:leader="dot" w:pos="8306"/>
        </w:tabs>
      </w:pPr>
      <w:hyperlink w:anchor="_Toc26402" w:history="1">
        <w:r>
          <w:rPr>
            <w:rFonts w:ascii="仿宋" w:eastAsia="仿宋" w:hAnsi="仿宋" w:cs="仿宋" w:hint="eastAsia"/>
            <w:lang w:eastAsia="zh-CN"/>
          </w:rPr>
          <w:t>(二)、风险应对策略</w:t>
        </w:r>
        <w:r>
          <w:tab/>
        </w:r>
        <w:r>
          <w:fldChar w:fldCharType="begin"/>
        </w:r>
        <w:r>
          <w:instrText xml:space="preserve"> PAGEREF _Toc26402 \h </w:instrText>
        </w:r>
        <w:r>
          <w:fldChar w:fldCharType="separate"/>
        </w:r>
        <w:r>
          <w:t>23</w:t>
        </w:r>
        <w:r>
          <w:fldChar w:fldCharType="end"/>
        </w:r>
      </w:hyperlink>
    </w:p>
    <w:p>
      <w:pPr>
        <w:pStyle w:val="TOC2"/>
        <w:tabs>
          <w:tab w:val="right" w:leader="dot" w:pos="8306"/>
        </w:tabs>
      </w:pPr>
      <w:hyperlink w:anchor="_Toc15031" w:history="1">
        <w:r>
          <w:rPr>
            <w:rFonts w:ascii="仿宋" w:eastAsia="仿宋" w:hAnsi="仿宋" w:cs="仿宋" w:hint="eastAsia"/>
            <w:lang w:eastAsia="zh-CN"/>
          </w:rPr>
          <w:t>(三)、风险监控与控制</w:t>
        </w:r>
        <w:r>
          <w:tab/>
        </w:r>
        <w:r>
          <w:fldChar w:fldCharType="begin"/>
        </w:r>
        <w:r>
          <w:instrText xml:space="preserve"> PAGEREF _Toc15031 \h </w:instrText>
        </w:r>
        <w:r>
          <w:fldChar w:fldCharType="separate"/>
        </w:r>
        <w:r>
          <w:t>25</w:t>
        </w:r>
        <w:r>
          <w:fldChar w:fldCharType="end"/>
        </w:r>
      </w:hyperlink>
    </w:p>
    <w:p>
      <w:pPr>
        <w:pStyle w:val="TOC1"/>
        <w:tabs>
          <w:tab w:val="right" w:leader="dot" w:pos="8306"/>
        </w:tabs>
      </w:pPr>
      <w:hyperlink w:anchor="_Toc20390" w:history="1">
        <w:r>
          <w:rPr>
            <w:rFonts w:ascii="仿宋" w:eastAsia="仿宋" w:hAnsi="仿宋" w:cs="仿宋" w:hint="eastAsia"/>
            <w:lang w:eastAsia="zh-CN"/>
          </w:rPr>
          <w:t>八、灭活疫苗项目创新与研发</w:t>
        </w:r>
        <w:r>
          <w:tab/>
        </w:r>
        <w:r>
          <w:fldChar w:fldCharType="begin"/>
        </w:r>
        <w:r>
          <w:instrText xml:space="preserve"> PAGEREF _Toc20390 \h </w:instrText>
        </w:r>
        <w:r>
          <w:fldChar w:fldCharType="separate"/>
        </w:r>
        <w:r>
          <w:t>26</w:t>
        </w:r>
        <w:r>
          <w:fldChar w:fldCharType="end"/>
        </w:r>
      </w:hyperlink>
    </w:p>
    <w:p>
      <w:pPr>
        <w:pStyle w:val="TOC2"/>
        <w:tabs>
          <w:tab w:val="right" w:leader="dot" w:pos="8306"/>
        </w:tabs>
      </w:pPr>
      <w:hyperlink w:anchor="_Toc1920" w:history="1">
        <w:r>
          <w:rPr>
            <w:rFonts w:ascii="仿宋" w:eastAsia="仿宋" w:hAnsi="仿宋" w:cs="仿宋" w:hint="eastAsia"/>
            <w:lang w:eastAsia="zh-CN"/>
          </w:rPr>
          <w:t>(一)、创新策略与方向</w:t>
        </w:r>
        <w:r>
          <w:tab/>
        </w:r>
        <w:r>
          <w:fldChar w:fldCharType="begin"/>
        </w:r>
        <w:r>
          <w:instrText xml:space="preserve"> PAGEREF _Toc1920 \h </w:instrText>
        </w:r>
        <w:r>
          <w:fldChar w:fldCharType="separate"/>
        </w:r>
        <w:r>
          <w:t>26</w:t>
        </w:r>
        <w:r>
          <w:fldChar w:fldCharType="end"/>
        </w:r>
      </w:hyperlink>
    </w:p>
    <w:p>
      <w:pPr>
        <w:pStyle w:val="TOC2"/>
        <w:tabs>
          <w:tab w:val="right" w:leader="dot" w:pos="8306"/>
        </w:tabs>
      </w:pPr>
      <w:hyperlink w:anchor="_Toc19182" w:history="1">
        <w:r>
          <w:rPr>
            <w:rFonts w:ascii="仿宋" w:eastAsia="仿宋" w:hAnsi="仿宋" w:cs="仿宋" w:hint="eastAsia"/>
            <w:lang w:eastAsia="zh-CN"/>
          </w:rPr>
          <w:t>(二)、研发规划与投入</w:t>
        </w:r>
        <w:r>
          <w:tab/>
        </w:r>
        <w:r>
          <w:fldChar w:fldCharType="begin"/>
        </w:r>
        <w:r>
          <w:instrText xml:space="preserve"> PAGEREF _Toc19182 \h </w:instrText>
        </w:r>
        <w:r>
          <w:fldChar w:fldCharType="separate"/>
        </w:r>
        <w:r>
          <w:t>27</w:t>
        </w:r>
        <w:r>
          <w:fldChar w:fldCharType="end"/>
        </w:r>
      </w:hyperlink>
    </w:p>
    <w:p>
      <w:pPr>
        <w:pStyle w:val="TOC1"/>
        <w:tabs>
          <w:tab w:val="right" w:leader="dot" w:pos="8306"/>
        </w:tabs>
      </w:pPr>
      <w:hyperlink w:anchor="_Toc4834" w:history="1">
        <w:r>
          <w:rPr>
            <w:rFonts w:ascii="仿宋" w:eastAsia="仿宋" w:hAnsi="仿宋" w:cs="仿宋" w:hint="eastAsia"/>
            <w:lang w:eastAsia="zh-CN"/>
          </w:rPr>
          <w:t>九、灭活疫苗项目社会影响</w:t>
        </w:r>
        <w:r>
          <w:tab/>
        </w:r>
        <w:r>
          <w:fldChar w:fldCharType="begin"/>
        </w:r>
        <w:r>
          <w:instrText xml:space="preserve"> PAGEREF _Toc4834 \h </w:instrText>
        </w:r>
        <w:r>
          <w:fldChar w:fldCharType="separate"/>
        </w:r>
        <w:r>
          <w:t>29</w:t>
        </w:r>
        <w:r>
          <w:fldChar w:fldCharType="end"/>
        </w:r>
      </w:hyperlink>
    </w:p>
    <w:p>
      <w:pPr>
        <w:pStyle w:val="TOC2"/>
        <w:tabs>
          <w:tab w:val="right" w:leader="dot" w:pos="8306"/>
        </w:tabs>
      </w:pPr>
      <w:hyperlink w:anchor="_Toc19131" w:history="1">
        <w:r>
          <w:rPr>
            <w:rFonts w:ascii="仿宋" w:eastAsia="仿宋" w:hAnsi="仿宋" w:cs="仿宋" w:hint="eastAsia"/>
            <w:lang w:eastAsia="zh-CN"/>
          </w:rPr>
          <w:t>(一)、社会责任与义务</w:t>
        </w:r>
        <w:r>
          <w:tab/>
        </w:r>
        <w:r>
          <w:fldChar w:fldCharType="begin"/>
        </w:r>
        <w:r>
          <w:instrText xml:space="preserve"> PAGEREF _Toc19131 \h </w:instrText>
        </w:r>
        <w:r>
          <w:fldChar w:fldCharType="separate"/>
        </w:r>
        <w:r>
          <w:t>29</w:t>
        </w:r>
        <w:r>
          <w:fldChar w:fldCharType="end"/>
        </w:r>
      </w:hyperlink>
    </w:p>
    <w:p>
      <w:pPr>
        <w:pStyle w:val="TOC2"/>
        <w:tabs>
          <w:tab w:val="right" w:leader="dot" w:pos="8306"/>
        </w:tabs>
      </w:pPr>
      <w:hyperlink w:anchor="_Toc24775" w:history="1">
        <w:r>
          <w:rPr>
            <w:rFonts w:ascii="仿宋" w:eastAsia="仿宋" w:hAnsi="仿宋" w:cs="仿宋" w:hint="eastAsia"/>
            <w:lang w:eastAsia="zh-CN"/>
          </w:rPr>
          <w:t>(二)、社会参与与沟通</w:t>
        </w:r>
        <w:r>
          <w:tab/>
        </w:r>
        <w:r>
          <w:fldChar w:fldCharType="begin"/>
        </w:r>
        <w:r>
          <w:instrText xml:space="preserve"> PAGEREF _Toc24775 \h </w:instrText>
        </w:r>
        <w:r>
          <w:fldChar w:fldCharType="separate"/>
        </w:r>
        <w:r>
          <w:t>30</w:t>
        </w:r>
        <w:r>
          <w:fldChar w:fldCharType="end"/>
        </w:r>
      </w:hyperlink>
    </w:p>
    <w:p>
      <w:pPr>
        <w:pStyle w:val="TOC1"/>
        <w:tabs>
          <w:tab w:val="right" w:leader="dot" w:pos="8306"/>
        </w:tabs>
      </w:pPr>
      <w:hyperlink w:anchor="_Toc24529" w:history="1">
        <w:r>
          <w:rPr>
            <w:rFonts w:ascii="仿宋" w:eastAsia="仿宋" w:hAnsi="仿宋" w:cs="仿宋" w:hint="eastAsia"/>
            <w:lang w:eastAsia="zh-CN"/>
          </w:rPr>
          <w:t>十、灭活疫苗项目经营效益</w:t>
        </w:r>
        <w:r>
          <w:tab/>
        </w:r>
        <w:r>
          <w:fldChar w:fldCharType="begin"/>
        </w:r>
        <w:r>
          <w:instrText xml:space="preserve"> PAGEREF _Toc24529 \h </w:instrText>
        </w:r>
        <w:r>
          <w:fldChar w:fldCharType="separate"/>
        </w:r>
        <w:r>
          <w:t>31</w:t>
        </w:r>
        <w:r>
          <w:fldChar w:fldCharType="end"/>
        </w:r>
      </w:hyperlink>
    </w:p>
    <w:p>
      <w:pPr>
        <w:pStyle w:val="TOC2"/>
        <w:tabs>
          <w:tab w:val="right" w:leader="dot" w:pos="8306"/>
        </w:tabs>
      </w:pPr>
      <w:hyperlink w:anchor="_Toc29013" w:history="1">
        <w:r>
          <w:rPr>
            <w:rFonts w:ascii="仿宋" w:eastAsia="仿宋" w:hAnsi="仿宋" w:cs="仿宋" w:hint="eastAsia"/>
            <w:lang w:eastAsia="zh-CN"/>
          </w:rPr>
          <w:t>(一)、经济评价财务测算</w:t>
        </w:r>
        <w:r>
          <w:tab/>
        </w:r>
        <w:r>
          <w:fldChar w:fldCharType="begin"/>
        </w:r>
        <w:r>
          <w:instrText xml:space="preserve"> PAGEREF _Toc29013 \h </w:instrText>
        </w:r>
        <w:r>
          <w:fldChar w:fldCharType="separate"/>
        </w:r>
        <w:r>
          <w:t>31</w:t>
        </w:r>
        <w:r>
          <w:fldChar w:fldCharType="end"/>
        </w:r>
      </w:hyperlink>
    </w:p>
    <w:p>
      <w:pPr>
        <w:pStyle w:val="TOC2"/>
        <w:tabs>
          <w:tab w:val="right" w:leader="dot" w:pos="8306"/>
        </w:tabs>
      </w:pPr>
      <w:hyperlink w:anchor="_Toc23120" w:history="1">
        <w:r>
          <w:rPr>
            <w:rFonts w:ascii="仿宋" w:eastAsia="仿宋" w:hAnsi="仿宋" w:cs="仿宋" w:hint="eastAsia"/>
            <w:lang w:eastAsia="zh-CN"/>
          </w:rPr>
          <w:t>(二)、灭活疫苗项目盈利能力分析</w:t>
        </w:r>
        <w:r>
          <w:tab/>
        </w:r>
        <w:r>
          <w:fldChar w:fldCharType="begin"/>
        </w:r>
        <w:r>
          <w:instrText xml:space="preserve"> PAGEREF _Toc23120 \h </w:instrText>
        </w:r>
        <w:r>
          <w:fldChar w:fldCharType="separate"/>
        </w:r>
        <w:r>
          <w:t>32</w:t>
        </w:r>
        <w:r>
          <w:fldChar w:fldCharType="end"/>
        </w:r>
      </w:hyperlink>
    </w:p>
    <w:p>
      <w:pPr>
        <w:pStyle w:val="TOC1"/>
        <w:tabs>
          <w:tab w:val="right" w:leader="dot" w:pos="8306"/>
        </w:tabs>
      </w:pPr>
      <w:hyperlink w:anchor="_Toc10879" w:history="1">
        <w:r>
          <w:rPr>
            <w:rFonts w:ascii="仿宋" w:eastAsia="仿宋" w:hAnsi="仿宋" w:cs="仿宋" w:hint="eastAsia"/>
            <w:lang w:eastAsia="zh-CN"/>
          </w:rPr>
          <w:t>十一、灭活疫苗项目投资规划</w:t>
        </w:r>
        <w:r>
          <w:tab/>
        </w:r>
        <w:r>
          <w:fldChar w:fldCharType="begin"/>
        </w:r>
        <w:r>
          <w:instrText xml:space="preserve"> PAGEREF _Toc10879 \h </w:instrText>
        </w:r>
        <w:r>
          <w:fldChar w:fldCharType="separate"/>
        </w:r>
        <w:r>
          <w:t>33</w:t>
        </w:r>
        <w:r>
          <w:fldChar w:fldCharType="end"/>
        </w:r>
      </w:hyperlink>
    </w:p>
    <w:p>
      <w:pPr>
        <w:pStyle w:val="TOC2"/>
        <w:tabs>
          <w:tab w:val="right" w:leader="dot" w:pos="8306"/>
        </w:tabs>
      </w:pPr>
      <w:hyperlink w:anchor="_Toc11647" w:history="1">
        <w:r>
          <w:rPr>
            <w:rFonts w:ascii="仿宋" w:eastAsia="仿宋" w:hAnsi="仿宋" w:cs="仿宋" w:hint="eastAsia"/>
            <w:lang w:eastAsia="zh-CN"/>
          </w:rPr>
          <w:t>(一)、灭活疫苗项目总投资估算</w:t>
        </w:r>
        <w:r>
          <w:tab/>
        </w:r>
        <w:r>
          <w:fldChar w:fldCharType="begin"/>
        </w:r>
        <w:r>
          <w:instrText xml:space="preserve"> PAGEREF _Toc11647 \h </w:instrText>
        </w:r>
        <w:r>
          <w:fldChar w:fldCharType="separate"/>
        </w:r>
        <w:r>
          <w:t>33</w:t>
        </w:r>
        <w:r>
          <w:fldChar w:fldCharType="end"/>
        </w:r>
      </w:hyperlink>
    </w:p>
    <w:p>
      <w:pPr>
        <w:pStyle w:val="TOC2"/>
        <w:tabs>
          <w:tab w:val="right" w:leader="dot" w:pos="8306"/>
        </w:tabs>
      </w:pPr>
      <w:hyperlink w:anchor="_Toc19204" w:history="1">
        <w:r>
          <w:rPr>
            <w:rFonts w:ascii="仿宋" w:eastAsia="仿宋" w:hAnsi="仿宋" w:cs="仿宋" w:hint="eastAsia"/>
            <w:lang w:eastAsia="zh-CN"/>
          </w:rPr>
          <w:t>(二)、资金筹措</w:t>
        </w:r>
        <w:r>
          <w:tab/>
        </w:r>
        <w:r>
          <w:fldChar w:fldCharType="begin"/>
        </w:r>
        <w:r>
          <w:instrText xml:space="preserve"> PAGEREF _Toc19204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92" w:history="1">
        <w:r>
          <w:rPr>
            <w:rFonts w:ascii="仿宋" w:eastAsia="仿宋" w:hAnsi="仿宋" w:cs="仿宋" w:hint="eastAsia"/>
            <w:lang w:eastAsia="zh-CN"/>
          </w:rPr>
          <w:t>十二、灭活疫苗项目技术管理</w:t>
        </w:r>
        <w:r>
          <w:tab/>
        </w:r>
        <w:r>
          <w:fldChar w:fldCharType="begin"/>
        </w:r>
        <w:r>
          <w:instrText xml:space="preserve"> PAGEREF _Toc15192 \h </w:instrText>
        </w:r>
        <w:r>
          <w:fldChar w:fldCharType="separate"/>
        </w:r>
        <w:r>
          <w:t>35</w:t>
        </w:r>
        <w:r>
          <w:fldChar w:fldCharType="end"/>
        </w:r>
      </w:hyperlink>
    </w:p>
    <w:p>
      <w:pPr>
        <w:pStyle w:val="TOC2"/>
        <w:tabs>
          <w:tab w:val="right" w:leader="dot" w:pos="8306"/>
        </w:tabs>
      </w:pPr>
      <w:hyperlink w:anchor="_Toc6756" w:history="1">
        <w:r>
          <w:rPr>
            <w:rFonts w:ascii="仿宋" w:eastAsia="仿宋" w:hAnsi="仿宋" w:cs="仿宋" w:hint="eastAsia"/>
            <w:lang w:eastAsia="zh-CN"/>
          </w:rPr>
          <w:t>(一)、技术方案选用方向</w:t>
        </w:r>
        <w:r>
          <w:tab/>
        </w:r>
        <w:r>
          <w:fldChar w:fldCharType="begin"/>
        </w:r>
        <w:r>
          <w:instrText xml:space="preserve"> PAGEREF _Toc6756 \h </w:instrText>
        </w:r>
        <w:r>
          <w:fldChar w:fldCharType="separate"/>
        </w:r>
        <w:r>
          <w:t>35</w:t>
        </w:r>
        <w:r>
          <w:fldChar w:fldCharType="end"/>
        </w:r>
      </w:hyperlink>
    </w:p>
    <w:p>
      <w:pPr>
        <w:pStyle w:val="TOC2"/>
        <w:tabs>
          <w:tab w:val="right" w:leader="dot" w:pos="8306"/>
        </w:tabs>
      </w:pPr>
      <w:hyperlink w:anchor="_Toc3352" w:history="1">
        <w:r>
          <w:rPr>
            <w:rFonts w:ascii="仿宋" w:eastAsia="仿宋" w:hAnsi="仿宋" w:cs="仿宋" w:hint="eastAsia"/>
            <w:lang w:eastAsia="zh-CN"/>
          </w:rPr>
          <w:t>(二)、工艺技术方案选用原则</w:t>
        </w:r>
        <w:r>
          <w:tab/>
        </w:r>
        <w:r>
          <w:fldChar w:fldCharType="begin"/>
        </w:r>
        <w:r>
          <w:instrText xml:space="preserve"> PAGEREF _Toc3352 \h </w:instrText>
        </w:r>
        <w:r>
          <w:fldChar w:fldCharType="separate"/>
        </w:r>
        <w:r>
          <w:t>37</w:t>
        </w:r>
        <w:r>
          <w:fldChar w:fldCharType="end"/>
        </w:r>
      </w:hyperlink>
    </w:p>
    <w:p>
      <w:pPr>
        <w:pStyle w:val="TOC2"/>
        <w:tabs>
          <w:tab w:val="right" w:leader="dot" w:pos="8306"/>
        </w:tabs>
      </w:pPr>
      <w:hyperlink w:anchor="_Toc26013" w:history="1">
        <w:r>
          <w:rPr>
            <w:rFonts w:ascii="仿宋" w:eastAsia="仿宋" w:hAnsi="仿宋" w:cs="仿宋" w:hint="eastAsia"/>
            <w:lang w:eastAsia="zh-CN"/>
          </w:rPr>
          <w:t>(三)、工艺技术方案要求</w:t>
        </w:r>
        <w:r>
          <w:tab/>
        </w:r>
        <w:r>
          <w:fldChar w:fldCharType="begin"/>
        </w:r>
        <w:r>
          <w:instrText xml:space="preserve"> PAGEREF _Toc26013 \h </w:instrText>
        </w:r>
        <w:r>
          <w:fldChar w:fldCharType="separate"/>
        </w:r>
        <w:r>
          <w:t>39</w:t>
        </w:r>
        <w:r>
          <w:fldChar w:fldCharType="end"/>
        </w:r>
      </w:hyperlink>
    </w:p>
    <w:p>
      <w:pPr>
        <w:pStyle w:val="TOC1"/>
        <w:tabs>
          <w:tab w:val="right" w:leader="dot" w:pos="8306"/>
        </w:tabs>
      </w:pPr>
      <w:hyperlink w:anchor="_Toc27036" w:history="1">
        <w:r>
          <w:rPr>
            <w:rFonts w:ascii="仿宋" w:eastAsia="仿宋" w:hAnsi="仿宋" w:cs="仿宋" w:hint="eastAsia"/>
            <w:lang w:eastAsia="zh-CN"/>
          </w:rPr>
          <w:t>十三、营销与推广策略</w:t>
        </w:r>
        <w:r>
          <w:tab/>
        </w:r>
        <w:r>
          <w:fldChar w:fldCharType="begin"/>
        </w:r>
        <w:r>
          <w:instrText xml:space="preserve"> PAGEREF _Toc27036 \h </w:instrText>
        </w:r>
        <w:r>
          <w:fldChar w:fldCharType="separate"/>
        </w:r>
        <w:r>
          <w:t>41</w:t>
        </w:r>
        <w:r>
          <w:fldChar w:fldCharType="end"/>
        </w:r>
      </w:hyperlink>
    </w:p>
    <w:p>
      <w:pPr>
        <w:pStyle w:val="TOC2"/>
        <w:tabs>
          <w:tab w:val="right" w:leader="dot" w:pos="8306"/>
        </w:tabs>
      </w:pPr>
      <w:hyperlink w:anchor="_Toc5802" w:history="1">
        <w:r>
          <w:rPr>
            <w:rFonts w:ascii="仿宋" w:eastAsia="仿宋" w:hAnsi="仿宋" w:cs="仿宋" w:hint="eastAsia"/>
            <w:lang w:eastAsia="zh-CN"/>
          </w:rPr>
          <w:t>(一)、产品/服务定位与特点</w:t>
        </w:r>
        <w:r>
          <w:tab/>
        </w:r>
        <w:r>
          <w:fldChar w:fldCharType="begin"/>
        </w:r>
        <w:r>
          <w:instrText xml:space="preserve"> PAGEREF _Toc5802 \h </w:instrText>
        </w:r>
        <w:r>
          <w:fldChar w:fldCharType="separate"/>
        </w:r>
        <w:r>
          <w:t>41</w:t>
        </w:r>
        <w:r>
          <w:fldChar w:fldCharType="end"/>
        </w:r>
      </w:hyperlink>
    </w:p>
    <w:p>
      <w:pPr>
        <w:pStyle w:val="TOC2"/>
        <w:tabs>
          <w:tab w:val="right" w:leader="dot" w:pos="8306"/>
        </w:tabs>
      </w:pPr>
      <w:hyperlink w:anchor="_Toc32592" w:history="1">
        <w:r>
          <w:rPr>
            <w:rFonts w:ascii="仿宋" w:eastAsia="仿宋" w:hAnsi="仿宋" w:cs="仿宋" w:hint="eastAsia"/>
            <w:lang w:eastAsia="zh-CN"/>
          </w:rPr>
          <w:t>(二)、市场定位与竞争分析</w:t>
        </w:r>
        <w:r>
          <w:tab/>
        </w:r>
        <w:r>
          <w:fldChar w:fldCharType="begin"/>
        </w:r>
        <w:r>
          <w:instrText xml:space="preserve"> PAGEREF _Toc32592 \h </w:instrText>
        </w:r>
        <w:r>
          <w:fldChar w:fldCharType="separate"/>
        </w:r>
        <w:r>
          <w:t>42</w:t>
        </w:r>
        <w:r>
          <w:fldChar w:fldCharType="end"/>
        </w:r>
      </w:hyperlink>
    </w:p>
    <w:p>
      <w:pPr>
        <w:pStyle w:val="TOC2"/>
        <w:tabs>
          <w:tab w:val="right" w:leader="dot" w:pos="8306"/>
        </w:tabs>
      </w:pPr>
      <w:hyperlink w:anchor="_Toc25881" w:history="1">
        <w:r>
          <w:rPr>
            <w:rFonts w:ascii="仿宋" w:eastAsia="仿宋" w:hAnsi="仿宋" w:cs="仿宋" w:hint="eastAsia"/>
            <w:lang w:eastAsia="zh-CN"/>
          </w:rPr>
          <w:t>(三)、营销渠道与策略</w:t>
        </w:r>
        <w:r>
          <w:tab/>
        </w:r>
        <w:r>
          <w:fldChar w:fldCharType="begin"/>
        </w:r>
        <w:r>
          <w:instrText xml:space="preserve"> PAGEREF _Toc25881 \h </w:instrText>
        </w:r>
        <w:r>
          <w:fldChar w:fldCharType="separate"/>
        </w:r>
        <w:r>
          <w:t>44</w:t>
        </w:r>
        <w:r>
          <w:fldChar w:fldCharType="end"/>
        </w:r>
      </w:hyperlink>
    </w:p>
    <w:p>
      <w:pPr>
        <w:pStyle w:val="TOC2"/>
        <w:tabs>
          <w:tab w:val="right" w:leader="dot" w:pos="8306"/>
        </w:tabs>
      </w:pPr>
      <w:hyperlink w:anchor="_Toc18176" w:history="1">
        <w:r>
          <w:rPr>
            <w:rFonts w:ascii="仿宋" w:eastAsia="仿宋" w:hAnsi="仿宋" w:cs="仿宋" w:hint="eastAsia"/>
            <w:lang w:eastAsia="zh-CN"/>
          </w:rPr>
          <w:t>(四)、推广与宣传活动</w:t>
        </w:r>
        <w:r>
          <w:tab/>
        </w:r>
        <w:r>
          <w:fldChar w:fldCharType="begin"/>
        </w:r>
        <w:r>
          <w:instrText xml:space="preserve"> PAGEREF _Toc18176 \h </w:instrText>
        </w:r>
        <w:r>
          <w:fldChar w:fldCharType="separate"/>
        </w:r>
        <w:r>
          <w:t>45</w:t>
        </w:r>
        <w:r>
          <w:fldChar w:fldCharType="end"/>
        </w:r>
      </w:hyperlink>
    </w:p>
    <w:p>
      <w:pPr>
        <w:pStyle w:val="TOC1"/>
        <w:tabs>
          <w:tab w:val="right" w:leader="dot" w:pos="8306"/>
        </w:tabs>
      </w:pPr>
      <w:hyperlink w:anchor="_Toc20532" w:history="1">
        <w:r>
          <w:rPr>
            <w:rFonts w:ascii="仿宋" w:eastAsia="仿宋" w:hAnsi="仿宋" w:cs="仿宋" w:hint="eastAsia"/>
            <w:lang w:eastAsia="zh-CN"/>
          </w:rPr>
          <w:t>十四、灭活疫苗项目实施保障措施</w:t>
        </w:r>
        <w:r>
          <w:tab/>
        </w:r>
        <w:r>
          <w:fldChar w:fldCharType="begin"/>
        </w:r>
        <w:r>
          <w:instrText xml:space="preserve"> PAGEREF _Toc20532 \h </w:instrText>
        </w:r>
        <w:r>
          <w:fldChar w:fldCharType="separate"/>
        </w:r>
        <w:r>
          <w:t>50</w:t>
        </w:r>
        <w:r>
          <w:fldChar w:fldCharType="end"/>
        </w:r>
      </w:hyperlink>
    </w:p>
    <w:p>
      <w:pPr>
        <w:pStyle w:val="TOC2"/>
        <w:tabs>
          <w:tab w:val="right" w:leader="dot" w:pos="8306"/>
        </w:tabs>
      </w:pPr>
      <w:hyperlink w:anchor="_Toc11725" w:history="1">
        <w:r>
          <w:rPr>
            <w:rFonts w:ascii="仿宋" w:eastAsia="仿宋" w:hAnsi="仿宋" w:cs="仿宋" w:hint="eastAsia"/>
            <w:lang w:eastAsia="zh-CN"/>
          </w:rPr>
          <w:t>(一)、灭活疫苗项目实施保障机制</w:t>
        </w:r>
        <w:r>
          <w:tab/>
        </w:r>
        <w:r>
          <w:fldChar w:fldCharType="begin"/>
        </w:r>
        <w:r>
          <w:instrText xml:space="preserve"> PAGEREF _Toc11725 \h </w:instrText>
        </w:r>
        <w:r>
          <w:fldChar w:fldCharType="separate"/>
        </w:r>
        <w:r>
          <w:t>50</w:t>
        </w:r>
        <w:r>
          <w:fldChar w:fldCharType="end"/>
        </w:r>
      </w:hyperlink>
    </w:p>
    <w:p>
      <w:pPr>
        <w:pStyle w:val="TOC2"/>
        <w:tabs>
          <w:tab w:val="right" w:leader="dot" w:pos="8306"/>
        </w:tabs>
      </w:pPr>
      <w:hyperlink w:anchor="_Toc22418" w:history="1">
        <w:r>
          <w:rPr>
            <w:rFonts w:ascii="仿宋" w:eastAsia="仿宋" w:hAnsi="仿宋" w:cs="仿宋" w:hint="eastAsia"/>
            <w:lang w:eastAsia="zh-CN"/>
          </w:rPr>
          <w:t>(二)、灭活疫苗项目法律合规要求</w:t>
        </w:r>
        <w:r>
          <w:tab/>
        </w:r>
        <w:r>
          <w:fldChar w:fldCharType="begin"/>
        </w:r>
        <w:r>
          <w:instrText xml:space="preserve"> PAGEREF _Toc22418 \h </w:instrText>
        </w:r>
        <w:r>
          <w:fldChar w:fldCharType="separate"/>
        </w:r>
        <w:r>
          <w:t>53</w:t>
        </w:r>
        <w:r>
          <w:fldChar w:fldCharType="end"/>
        </w:r>
      </w:hyperlink>
    </w:p>
    <w:p>
      <w:pPr>
        <w:pStyle w:val="TOC2"/>
        <w:tabs>
          <w:tab w:val="right" w:leader="dot" w:pos="8306"/>
        </w:tabs>
      </w:pPr>
      <w:hyperlink w:anchor="_Toc18440" w:history="1">
        <w:r>
          <w:rPr>
            <w:rFonts w:ascii="仿宋" w:eastAsia="仿宋" w:hAnsi="仿宋" w:cs="仿宋" w:hint="eastAsia"/>
            <w:lang w:eastAsia="zh-CN"/>
          </w:rPr>
          <w:t>(三)、灭活疫苗项目合同管理与法律事务</w:t>
        </w:r>
        <w:r>
          <w:tab/>
        </w:r>
        <w:r>
          <w:fldChar w:fldCharType="begin"/>
        </w:r>
        <w:r>
          <w:instrText xml:space="preserve"> PAGEREF _Toc18440 \h </w:instrText>
        </w:r>
        <w:r>
          <w:fldChar w:fldCharType="separate"/>
        </w:r>
        <w:r>
          <w:t>58</w:t>
        </w:r>
        <w:r>
          <w:fldChar w:fldCharType="end"/>
        </w:r>
      </w:hyperlink>
    </w:p>
    <w:p>
      <w:pPr>
        <w:pStyle w:val="TOC2"/>
        <w:tabs>
          <w:tab w:val="right" w:leader="dot" w:pos="8306"/>
        </w:tabs>
      </w:pPr>
      <w:hyperlink w:anchor="_Toc19719" w:history="1">
        <w:r>
          <w:rPr>
            <w:rFonts w:ascii="仿宋" w:eastAsia="仿宋" w:hAnsi="仿宋" w:cs="仿宋" w:hint="eastAsia"/>
            <w:lang w:eastAsia="zh-CN"/>
          </w:rPr>
          <w:t>(四)、灭活疫苗项目知识产权保护策略</w:t>
        </w:r>
        <w:r>
          <w:tab/>
        </w:r>
        <w:r>
          <w:fldChar w:fldCharType="begin"/>
        </w:r>
        <w:r>
          <w:instrText xml:space="preserve"> PAGEREF _Toc19719 \h </w:instrText>
        </w:r>
        <w:r>
          <w:fldChar w:fldCharType="separate"/>
        </w:r>
        <w:r>
          <w:t>64</w:t>
        </w:r>
        <w:r>
          <w:fldChar w:fldCharType="end"/>
        </w:r>
      </w:hyperlink>
    </w:p>
    <w:p>
      <w:pPr>
        <w:pStyle w:val="TOC1"/>
        <w:tabs>
          <w:tab w:val="right" w:leader="dot" w:pos="8306"/>
        </w:tabs>
      </w:pPr>
      <w:hyperlink w:anchor="_Toc7121" w:history="1">
        <w:r>
          <w:rPr>
            <w:rFonts w:ascii="仿宋" w:eastAsia="仿宋" w:hAnsi="仿宋" w:cs="仿宋" w:hint="eastAsia"/>
            <w:lang w:eastAsia="zh-CN"/>
          </w:rPr>
          <w:t>十五、风险识别与分类</w:t>
        </w:r>
        <w:r>
          <w:tab/>
        </w:r>
        <w:r>
          <w:fldChar w:fldCharType="begin"/>
        </w:r>
        <w:r>
          <w:instrText xml:space="preserve"> PAGEREF _Toc7121 \h </w:instrText>
        </w:r>
        <w:r>
          <w:fldChar w:fldCharType="separate"/>
        </w:r>
        <w:r>
          <w:t>66</w:t>
        </w:r>
        <w:r>
          <w:fldChar w:fldCharType="end"/>
        </w:r>
      </w:hyperlink>
    </w:p>
    <w:p>
      <w:pPr>
        <w:pStyle w:val="TOC2"/>
        <w:tabs>
          <w:tab w:val="right" w:leader="dot" w:pos="8306"/>
        </w:tabs>
      </w:pPr>
      <w:hyperlink w:anchor="_Toc13140" w:history="1">
        <w:r>
          <w:rPr>
            <w:rFonts w:ascii="仿宋" w:eastAsia="仿宋" w:hAnsi="仿宋" w:cs="仿宋" w:hint="eastAsia"/>
            <w:lang w:eastAsia="zh-CN"/>
          </w:rPr>
          <w:t>(一)、风险识别</w:t>
        </w:r>
        <w:r>
          <w:tab/>
        </w:r>
        <w:r>
          <w:fldChar w:fldCharType="begin"/>
        </w:r>
        <w:r>
          <w:instrText xml:space="preserve"> PAGEREF _Toc13140 \h </w:instrText>
        </w:r>
        <w:r>
          <w:fldChar w:fldCharType="separate"/>
        </w:r>
        <w:r>
          <w:t>66</w:t>
        </w:r>
        <w:r>
          <w:fldChar w:fldCharType="end"/>
        </w:r>
      </w:hyperlink>
    </w:p>
    <w:p>
      <w:pPr>
        <w:pStyle w:val="TOC2"/>
        <w:tabs>
          <w:tab w:val="right" w:leader="dot" w:pos="8306"/>
        </w:tabs>
      </w:pPr>
      <w:hyperlink w:anchor="_Toc18844" w:history="1">
        <w:r>
          <w:rPr>
            <w:rFonts w:ascii="仿宋" w:eastAsia="仿宋" w:hAnsi="仿宋" w:cs="仿宋" w:hint="eastAsia"/>
            <w:lang w:eastAsia="zh-CN"/>
          </w:rPr>
          <w:t>(二)、风险分类</w:t>
        </w:r>
        <w:r>
          <w:tab/>
        </w:r>
        <w:r>
          <w:fldChar w:fldCharType="begin"/>
        </w:r>
        <w:r>
          <w:instrText xml:space="preserve"> PAGEREF _Toc18844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328"/>
      <w:r>
        <w:rPr>
          <w:rFonts w:ascii="仿宋" w:eastAsia="仿宋" w:hAnsi="仿宋" w:cs="仿宋" w:hint="eastAsia"/>
          <w:sz w:val="28"/>
          <w:lang w:eastAsia="zh-CN"/>
        </w:rPr>
        <w:t>一、灭活疫苗项目危机管理</w:t>
      </w:r>
      <w:bookmarkEnd w:id="2"/>
    </w:p>
    <w:p>
      <w:pPr>
        <w:pStyle w:val="Heading2"/>
        <w:rPr>
          <w:rFonts w:ascii="仿宋" w:eastAsia="仿宋" w:hAnsi="仿宋" w:cs="仿宋" w:hint="eastAsia"/>
          <w:lang w:eastAsia="zh-CN"/>
        </w:rPr>
      </w:pPr>
      <w:bookmarkStart w:id="3" w:name="_Toc495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灭活疫苗项目危机管理中，危机预警与识别是确保灭活疫苗项目稳健运行的核心步骤。通过建立全面的监测机制，灭活疫苗项目团队旨在及时发现和理解潜在的风险和危机因素，以便采取及时的预防和应对措施，确保灭活疫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首先，通过深入的风险评估，灭活疫苗项目团队全面分析了整个灭活疫苗项目和各个阶段可能存在的威胁。这包括准确评估每个潜在风险的发生概率和可能影响的程度，为后续危机预警提供了有力支持。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灭活疫苗项目团队着重于明确定义灭活疫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灭活疫苗项目进展的持续监控，团队能够及时发现潜在问题并作出迅速反应。灭活疫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在这一阶段，团队的专业素养和反应速度将发挥至关重要的作用，以确保潜在危机能够在初期得到有效的处理，最大程度地减轻负面影响。通过危机预警与识别，灭活疫苗项目得以更有序、可控地推进。</w:t>
      </w:r>
    </w:p>
    <w:p>
      <w:pPr>
        <w:pStyle w:val="Heading2"/>
        <w:ind w:firstLine="560" w:firstLineChars="200"/>
        <w:rPr>
          <w:rFonts w:ascii="仿宋" w:eastAsia="仿宋" w:hAnsi="仿宋" w:cs="仿宋" w:hint="eastAsia"/>
          <w:sz w:val="28"/>
          <w:lang w:eastAsia="zh-CN"/>
        </w:rPr>
      </w:pPr>
      <w:bookmarkStart w:id="4" w:name="_Toc761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在危机发生时，灭活疫苗项目团队立即行动，成立了应急小组。该小组的任务是迅速制定并实施紧急应对措施，以最小化潜在损失。以下是采取的主要措施：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暂停灭活疫苗项目进度：为遏制危机蔓延，灭活疫苗项目暂时停止进行，以便全面评估当前状况。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资源重新分配：重新评估灭活疫苗项目资源的分配，确保最大限度地减小损失。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实时沟通：与关键利益相关者建立实时沟通机制，向他们传递灭活疫苗项目危机的实际状况，保障灭活疫苗项目核心利益。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在紧急应对的同时，灭活疫苗项目团队强调了团队协作和有效沟通的重要性。以下是团队协作的关键举措：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信息共享机制：建立了信息共享平台，确保团队成员能够及时获取灭活疫苗项目危机的实时信息。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领导者沟通：灭活疫苗项目领导者通过定期会议和即时沟通工具，指导团队应对危机，保持团队稳定运行。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随着危机得到初步控制，灭活疫苗项目团队转向制定恢复计划，以确保灭活疫苗项目能够从中迅速恢复。主要恢复计划包括：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修复受损的进度计划：重新评估灭活疫苗项目进度，制定修复计划，确保灭活疫苗项目尽快回归正常进程。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重新调整资源分配：优化资源分配，确保灭活疫苗项目在有限资源下高效运转。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风险管理机制加强：对灭活疫苗项目风险进行全面评估，制定更强化的风险管理策略，以预防未来可能的危机。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141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6458"/>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的技术管理特点体现在其创新导向。通过引入最先进的技术趋势和解决方案，灭活疫苗项目致力于提升科技含量、提高质量和效率水平。这意味着我们将采用最新的工具和方法，确保灭活疫苗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灭活疫苗项目技术管理的显著特征。通过整合不同领域的技术资源，我们实现了跨学科的协同工作。这有助于优化技术架构，提高整体效能。此外，整合性策略还促进了不同技术团队之间的紧密沟通和高效合作，确保灭活疫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灭活疫苗项目所采用的技术。通过不断优化技术方案，灭活疫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灭活疫苗项目团队将在灭活疫苗项目初期识别可能的技术风险，并采取相应的预防和应对措施。通过建立健全的风险评估机制，灭活疫苗项目能够在实施过程中及时发现并解决潜在的技术问题，保障灭活疫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灭活疫苗项目中，技术将成为灭活疫苗项目成功的有力支持。这一深度剖析揭示了技术管理在灭活疫苗项目实施中的关键作用，为灭活疫苗项目的技术基础奠定了坚实的基础。</w:t>
      </w:r>
    </w:p>
    <w:p>
      <w:pPr>
        <w:pStyle w:val="Heading2"/>
        <w:ind w:firstLine="560" w:firstLineChars="200"/>
        <w:rPr>
          <w:rFonts w:ascii="仿宋" w:eastAsia="仿宋" w:hAnsi="仿宋" w:cs="仿宋" w:hint="eastAsia"/>
          <w:sz w:val="28"/>
          <w:lang w:eastAsia="zh-CN"/>
        </w:rPr>
      </w:pPr>
      <w:bookmarkStart w:id="7" w:name="_Toc27885"/>
      <w:r>
        <w:rPr>
          <w:rFonts w:ascii="仿宋" w:eastAsia="仿宋" w:hAnsi="仿宋" w:cs="仿宋" w:hint="eastAsia"/>
          <w:sz w:val="28"/>
          <w:lang w:eastAsia="zh-CN"/>
        </w:rPr>
        <w:t>(二)、灭活疫苗项目工艺技术设计方案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灭活疫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灭活疫苗项目将严格按照相关行业规范要求进行组织。通过有效控制产品质量，灭活疫苗项目将致力于为顾客提供优质的灭活疫苗项目产品和良好的服务。这体现了灭活疫苗项目对于生产活动合规性和质量标准的高度重视，为灭活疫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灭活疫苗项目注重生态效益和清洁生产原则。灭活疫苗项目建设将紧密结合地方特色经济发展，与社会经济发展规划和区域环境保护规划方案相协调一致。通过与当地区域自然生态系统的结合，灭活疫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灭活疫苗项目产品具有多样化的客户需求和个性化的特点。因此，灭活疫苗项目产品规格品种多样，且单批生产数量较小。为满足这一特点，灭活疫苗项目承办单位将建设先进的柔性制造生产线。通过广泛应用柔性制造技术，灭活疫苗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灭活疫苗项目采用的技术具有较高的技术含量和自动化水平，处于国内先进水平。这一技术选用不仅体现了对生产效率、质量和环境友好性的高标准要求，同时为灭活疫苗项目的可持续发展奠定了坚实的基础。</w:t>
      </w:r>
    </w:p>
    <w:p>
      <w:pPr>
        <w:pStyle w:val="Heading2"/>
        <w:ind w:firstLine="560" w:firstLineChars="200"/>
        <w:rPr>
          <w:rFonts w:ascii="仿宋" w:eastAsia="仿宋" w:hAnsi="仿宋" w:cs="仿宋" w:hint="eastAsia"/>
          <w:sz w:val="28"/>
          <w:lang w:eastAsia="zh-CN"/>
        </w:rPr>
      </w:pPr>
      <w:bookmarkStart w:id="8" w:name="_Toc1422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为确保灭活疫苗项目的高效生产和技术实施，我们制定了一套精心设计的设备选型方案，以满足灭活疫苗项目生产、质量和环保的要求。该方案的主要特点如下：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灭活疫苗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针对灭活疫苗项目产品的多样性和小批量生产的特点，我们将建设柔性制造生产线。通过在设备选型中考虑柔性制造技术，可以灵活应对不同产品规格和生产需求，实现生产线的高度灵活性和适应性。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759"/>
      <w:r>
        <w:rPr>
          <w:rFonts w:ascii="仿宋" w:eastAsia="仿宋" w:hAnsi="仿宋" w:cs="仿宋" w:hint="eastAsia"/>
          <w:sz w:val="28"/>
          <w:lang w:eastAsia="zh-CN"/>
        </w:rPr>
        <w:t>三、灭活疫苗项目土建工程</w:t>
      </w:r>
      <w:bookmarkEnd w:id="9"/>
    </w:p>
    <w:p>
      <w:pPr>
        <w:pStyle w:val="Heading2"/>
        <w:rPr>
          <w:rFonts w:ascii="仿宋" w:eastAsia="仿宋" w:hAnsi="仿宋" w:cs="仿宋" w:hint="eastAsia"/>
          <w:lang w:eastAsia="zh-CN"/>
        </w:rPr>
      </w:pPr>
      <w:bookmarkStart w:id="10" w:name="_Toc18594"/>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在灭活疫苗项目的建筑工程设计中，我们将秉承一系列重要的设计原则，以确保灭活疫苗项目建筑在功能、美观、可持续性等方面达到最佳效果。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首要原则是确保建筑的功能性得到最大化的发挥。我们将充分理解灭活疫苗项目的实际需求，合理布局各个功能区域，保证建筑在满足业务需求的同时，提供高效的工作环境。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在建筑设计中，我们将综合考虑建设和运营成本。通过精细的经济效益分析，确保设计方案在高效利用资源的同时，对灭活疫苗项目的长期盈利能力有积极的贡献。</w:t>
      </w:r>
    </w:p>
    <w:p>
      <w:pPr>
        <w:pStyle w:val="Heading2"/>
        <w:ind w:firstLine="560" w:firstLineChars="200"/>
        <w:rPr>
          <w:rFonts w:ascii="仿宋" w:eastAsia="仿宋" w:hAnsi="仿宋" w:cs="仿宋" w:hint="eastAsia"/>
          <w:sz w:val="28"/>
          <w:lang w:eastAsia="zh-CN"/>
        </w:rPr>
      </w:pPr>
      <w:bookmarkStart w:id="11" w:name="_Toc2858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灭活疫苗项目的土建工程设计中，我们将精准设定设计年限，结合灭活疫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灭活疫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989"/>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灭活疫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灭活疫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灭活疫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1391"/>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本期工程灭活疫苗项目预计总建筑面积XXX平方米，其中：计容建筑面积XXX平方米，计划建筑工程投资XX万元，占灭活疫苗项目总投资的XX%。</w:t>
      </w:r>
    </w:p>
    <w:p>
      <w:pPr>
        <w:pStyle w:val="Heading1"/>
        <w:ind w:firstLine="560" w:firstLineChars="200"/>
        <w:rPr>
          <w:rFonts w:ascii="仿宋" w:eastAsia="仿宋" w:hAnsi="仿宋" w:cs="仿宋" w:hint="eastAsia"/>
          <w:sz w:val="28"/>
          <w:lang w:eastAsia="zh-CN"/>
        </w:rPr>
      </w:pPr>
      <w:bookmarkStart w:id="14" w:name="_Toc1799"/>
      <w:r>
        <w:rPr>
          <w:rFonts w:ascii="仿宋" w:eastAsia="仿宋" w:hAnsi="仿宋" w:cs="仿宋" w:hint="eastAsia"/>
          <w:sz w:val="28"/>
          <w:lang w:eastAsia="zh-CN"/>
        </w:rPr>
        <w:t>四、灭活疫苗项目可持续发展</w:t>
      </w:r>
      <w:bookmarkEnd w:id="14"/>
    </w:p>
    <w:p>
      <w:pPr>
        <w:pStyle w:val="Heading2"/>
        <w:rPr>
          <w:rFonts w:ascii="仿宋" w:eastAsia="仿宋" w:hAnsi="仿宋" w:cs="仿宋" w:hint="eastAsia"/>
          <w:lang w:eastAsia="zh-CN"/>
        </w:rPr>
      </w:pPr>
      <w:bookmarkStart w:id="15" w:name="_Toc28322"/>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灭活疫苗项目中，灭活疫苗项目团队着眼于未来，明确了可持续发展的战略方向。制定的具体可持续发展目标包括降低资源使用、采用环保技术、最大化社会效益等。这一步骤不仅有助于灭活疫苗项目在环保和社会责任方面达到最高标准，也为未来提供了明确的指引，确保灭活疫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可持续实践的融入灭活疫苗项目管理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灭活疫苗项目管理周期。从灭活疫苗项目规划开始，灭活疫苗项目团队就考虑了环境和社会的因素。在执行阶段，灭活疫苗项目团队积极推动绿色技术的应用，优化资源利用。此外，关注员工的社会责任，通过培训和沟通活动提高员工对可持续发展的认知，使他们能够在日常工作中践行可持续实践。这些举措不仅为灭活疫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3494"/>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扎根于灭活疫苗项目的可持续发展理念，我们深信环保与社会责任是灭活疫苗项目成功的关键支柱。在灭活疫苗项目的每一步，我们都致力于通过创新和实践，履行对环境和社会的坚定责任。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团队通过引入先进的环保技术、建立高效的废物处理系统以及推动能源节约措施，积极履行环保责任。定期的环保监测和评估确保灭活疫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不仅致力于自身可持续发展，还注重对社会的回馈。通过支持社区灭活疫苗项目、参与慈善事业、提供培训机会等方式，灭活疫苗项目积极履行社会责任。与当地社区建立积极互动，关注员工的工作与生活平衡，以及员工的身心健康，是灭活疫苗项目在社会责任层面的关键举措。这样的实践不仅增强了灭活疫苗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8960"/>
      <w:r>
        <w:rPr>
          <w:rFonts w:ascii="仿宋" w:eastAsia="仿宋" w:hAnsi="仿宋" w:cs="仿宋" w:hint="eastAsia"/>
          <w:sz w:val="28"/>
          <w:lang w:eastAsia="zh-CN"/>
        </w:rPr>
        <w:t>五、灭活疫苗项目建设背景及必要性分析</w:t>
      </w:r>
      <w:bookmarkEnd w:id="17"/>
    </w:p>
    <w:p>
      <w:pPr>
        <w:pStyle w:val="Heading2"/>
        <w:rPr>
          <w:rFonts w:ascii="仿宋" w:eastAsia="仿宋" w:hAnsi="仿宋" w:cs="仿宋" w:hint="eastAsia"/>
          <w:lang w:eastAsia="zh-CN"/>
        </w:rPr>
      </w:pPr>
      <w:bookmarkStart w:id="18" w:name="_Toc12550"/>
      <w:r>
        <w:rPr>
          <w:rFonts w:ascii="仿宋" w:eastAsia="仿宋" w:hAnsi="仿宋" w:cs="仿宋" w:hint="eastAsia"/>
          <w:lang w:eastAsia="zh-CN"/>
        </w:rPr>
        <w:t>(一)、灭活疫苗项目背景分析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灭活疫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灭活疫苗项目在这个潮流中的定位。同时，我们将关注行业内涌现的新兴机遇，以便灭活疫苗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灭活疫苗项目提供了强大的发展动力。我们将聚焦于行业内最新的技术发展趋势，包括但不限于人工智能、大数据分析、物联网等领域。通过深度的技术研究，我们将确保灭活疫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灭活疫苗项目发展的源泉。我们将投入更多的精力对市场需求进行深入剖析，超越表面的需求，深入挖掘潜在的市场痛点和机遇。通过对市场需求的细致了解，灭活疫苗项目将更有针对性地设计解决方案，满足市场的多样化需求，从而更好地促进灭活疫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灭活疫苗项目战略至关重要。我们将对竞争态势进行更为深入的分析，包括但不限于市场份额、产品特点、客户满意度等多个维度。通过深度的竞争分析，灭活疫苗项目将能够更准确地把握市场脉搏，制定具有竞争力的灭活疫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行业内的法规和政策环境对灭活疫苗项目的发展具有直接的影响。我们将进行更为全面的法规和政策分析，了解行业发展中的潜在法律风险和合规挑战。通过充分了解和遵守相关法规，灭活疫苗项目将确保在法律框架内合法合规运营，为灭活疫苗项目的稳健发展提供有力支持。</w:t>
      </w:r>
    </w:p>
    <w:p>
      <w:pPr>
        <w:pStyle w:val="Heading2"/>
        <w:ind w:firstLine="560" w:firstLineChars="200"/>
        <w:rPr>
          <w:rFonts w:ascii="仿宋" w:eastAsia="仿宋" w:hAnsi="仿宋" w:cs="仿宋" w:hint="eastAsia"/>
          <w:sz w:val="28"/>
          <w:lang w:eastAsia="zh-CN"/>
        </w:rPr>
      </w:pPr>
      <w:bookmarkStart w:id="19" w:name="_Toc27895"/>
      <w:r>
        <w:rPr>
          <w:rFonts w:ascii="仿宋" w:eastAsia="仿宋" w:hAnsi="仿宋" w:cs="仿宋" w:hint="eastAsia"/>
          <w:sz w:val="28"/>
          <w:lang w:eastAsia="zh-CN"/>
        </w:rPr>
        <w:t>(二)、灭活疫苗项目建设必要性分析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建设的迫切性源于对行业发展趋势的深刻洞察。我们正处于一个行业变革的时代，科技创新、数字化转型成为企业发展的关键动力。灭活疫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灭活疫苗项目建设不仅仅是为了跟上潮流，更是为了通过技术创新推动企业的持续发展。通过引入先进的技术和解决方案，灭活疫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灭活疫苗项目的建设成为必然选择，通过提高产品质量、拓展服务领域，从而在竞争中获得更多的机会。灭活疫苗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灭活疫苗项目建设的必要性体现在对客户需求更精准的满足。通过灭活疫苗项目建设，企业将更好地理解客户的期望，调整和优化产品和服务，提供更符合市场需求的解决方案，从而赢得客户的信任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https://d.book118.com/786130155032010044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灭活疫苗项目规划设计纲要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6A449B"/>
    <w:rsid w:val="426A44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613015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2024-02-02T21:26:00Z</dcterms:created>
  <dcterms:modified xsi:type="dcterms:W3CDTF">2024-02-02T21:27:02Z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349C9B34E69B40C2816F2ABE2AEE29DD_11</vt:lpwstr>
  </property>
  <property fmtid="{D5CDD505-2E9C-101B-9397-08002B2CF9AE}" pid="3" name="KSOProductBuildVer">
    <vt:lpwstr>2052-12.1.0.16250</vt:lpwstr>
  </property>
</Properties>
</file>