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widowControl/>
        <w:jc w:val="center"/>
        <w:rPr>
          <w:rFonts w:ascii="幼圆" w:eastAsia="幼圆" w:hAnsi="幼圆" w:cs="幼圆" w:hint="eastAsia"/>
          <w:b/>
          <w:kern w:val="0"/>
          <w:sz w:val="44"/>
          <w:szCs w:val="44"/>
        </w:rPr>
      </w:pPr>
      <w:bookmarkStart w:id="0" w:name="_Toc7006"/>
      <w:r>
        <w:rPr>
          <w:rFonts w:ascii="幼圆" w:eastAsia="幼圆" w:hAnsi="幼圆" w:cs="幼圆" w:hint="eastAsia"/>
          <w:b/>
          <w:kern w:val="0"/>
          <w:sz w:val="44"/>
          <w:szCs w:val="44"/>
          <w:lang w:eastAsia="zh-CN"/>
        </w:rPr>
        <w:t>惠州极米科技公司</w:t>
      </w:r>
      <w:r>
        <w:rPr>
          <w:rFonts w:ascii="幼圆" w:eastAsia="幼圆" w:hAnsi="幼圆" w:cs="幼圆" w:hint="eastAsia"/>
          <w:b/>
          <w:kern w:val="0"/>
          <w:sz w:val="44"/>
          <w:szCs w:val="44"/>
        </w:rPr>
        <w:t>薪酬管理改进策略研究</w:t>
      </w:r>
    </w:p>
    <w:p>
      <w:pPr>
        <w:widowControl/>
        <w:snapToGrid w:val="0"/>
        <w:spacing w:before="233" w:beforeLines="50" w:after="233" w:afterLines="50" w:line="360" w:lineRule="auto"/>
        <w:jc w:val="center"/>
        <w:rPr>
          <w:rFonts w:ascii="幼圆" w:eastAsia="幼圆" w:hAnsi="幼圆" w:cs="幼圆" w:hint="eastAsia"/>
          <w:b/>
          <w:bCs/>
          <w:sz w:val="36"/>
          <w:szCs w:val="36"/>
        </w:rPr>
      </w:pPr>
      <w:bookmarkStart w:id="1" w:name="_Toc28006"/>
      <w:r>
        <w:rPr>
          <w:rFonts w:ascii="幼圆" w:eastAsia="幼圆" w:hAnsi="幼圆" w:cs="幼圆" w:hint="eastAsia"/>
          <w:b/>
          <w:bCs/>
          <w:sz w:val="36"/>
          <w:szCs w:val="36"/>
        </w:rPr>
        <w:t>目     录</w:t>
      </w:r>
    </w:p>
    <w:p>
      <w:pPr>
        <w:pStyle w:val="TOC1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r>
        <w:rPr>
          <w:rFonts w:ascii="幼圆" w:eastAsia="幼圆" w:hAnsi="幼圆" w:cs="幼圆" w:hint="eastAsia"/>
          <w:sz w:val="24"/>
          <w:szCs w:val="24"/>
        </w:rPr>
        <w:fldChar w:fldCharType="begin"/>
      </w:r>
      <w:r>
        <w:rPr>
          <w:rFonts w:ascii="幼圆" w:eastAsia="幼圆" w:hAnsi="幼圆" w:cs="幼圆" w:hint="eastAsia"/>
          <w:sz w:val="24"/>
          <w:szCs w:val="24"/>
        </w:rPr>
        <w:instrText xml:space="preserve">TOC \o "1-3" \h \u </w:instrText>
      </w:r>
      <w:r>
        <w:rPr>
          <w:rFonts w:ascii="幼圆" w:eastAsia="幼圆" w:hAnsi="幼圆" w:cs="幼圆" w:hint="eastAsia"/>
          <w:sz w:val="24"/>
          <w:szCs w:val="24"/>
        </w:rPr>
        <w:fldChar w:fldCharType="separate"/>
      </w:r>
      <w:hyperlink w:anchor="_Toc12952" w:history="1">
        <w:r>
          <w:rPr>
            <w:rFonts w:ascii="幼圆" w:eastAsia="幼圆" w:hAnsi="幼圆" w:cs="幼圆" w:hint="eastAsia"/>
            <w:kern w:val="0"/>
            <w:sz w:val="24"/>
            <w:szCs w:val="24"/>
          </w:rPr>
          <w:t>一、绪论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_Toc12952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1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11495" w:history="1">
        <w:r>
          <w:rPr>
            <w:rFonts w:ascii="幼圆" w:eastAsia="幼圆" w:hAnsi="幼圆" w:cs="幼圆" w:hint="eastAsia"/>
            <w:bCs/>
            <w:kern w:val="0"/>
            <w:sz w:val="24"/>
            <w:szCs w:val="24"/>
          </w:rPr>
          <w:t>（一）研究背景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_Toc11495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1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10534" w:history="1">
        <w:r>
          <w:rPr>
            <w:rFonts w:ascii="幼圆" w:eastAsia="幼圆" w:hAnsi="幼圆" w:cs="幼圆" w:hint="eastAsia"/>
            <w:bCs/>
            <w:kern w:val="0"/>
            <w:sz w:val="24"/>
            <w:szCs w:val="24"/>
          </w:rPr>
          <w:t>（二）研究意义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_Toc10534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1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24982" w:history="1">
        <w:r>
          <w:rPr>
            <w:rFonts w:ascii="幼圆" w:eastAsia="幼圆" w:hAnsi="幼圆" w:cs="幼圆" w:hint="eastAsia"/>
            <w:bCs/>
            <w:kern w:val="0"/>
            <w:sz w:val="24"/>
            <w:szCs w:val="24"/>
          </w:rPr>
          <w:t>（三）国外内文献综述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_Toc24982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2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12305" w:history="1">
        <w:r>
          <w:rPr>
            <w:rFonts w:ascii="幼圆" w:eastAsia="幼圆" w:hAnsi="幼圆" w:cs="幼圆" w:hint="eastAsia"/>
            <w:bCs/>
            <w:kern w:val="0"/>
            <w:sz w:val="24"/>
            <w:szCs w:val="24"/>
          </w:rPr>
          <w:t>1.国外文献综述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_Toc12305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2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28819" w:history="1">
        <w:r>
          <w:rPr>
            <w:rFonts w:ascii="幼圆" w:eastAsia="幼圆" w:hAnsi="幼圆" w:cs="幼圆" w:hint="eastAsia"/>
            <w:bCs/>
            <w:kern w:val="0"/>
            <w:sz w:val="24"/>
            <w:szCs w:val="24"/>
          </w:rPr>
          <w:t>2.国内文献综述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_Toc28819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2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14528" w:history="1">
        <w:r>
          <w:rPr>
            <w:rFonts w:ascii="幼圆" w:eastAsia="幼圆" w:hAnsi="幼圆" w:cs="幼圆" w:hint="eastAsia"/>
            <w:bCs/>
            <w:kern w:val="0"/>
            <w:sz w:val="24"/>
            <w:szCs w:val="24"/>
          </w:rPr>
          <w:t>3.文献述评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_Toc14528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3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30287" w:history="1">
        <w:r>
          <w:rPr>
            <w:rFonts w:ascii="幼圆" w:eastAsia="幼圆" w:hAnsi="幼圆" w:cs="幼圆" w:hint="eastAsia"/>
            <w:bCs/>
            <w:kern w:val="0"/>
            <w:sz w:val="24"/>
            <w:szCs w:val="24"/>
          </w:rPr>
          <w:t>（四）研究思路和方法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_Toc30287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4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8655" w:history="1">
        <w:r>
          <w:rPr>
            <w:rFonts w:ascii="幼圆" w:eastAsia="幼圆" w:hAnsi="幼圆" w:cs="幼圆" w:hint="eastAsia"/>
            <w:bCs/>
            <w:kern w:val="0"/>
            <w:sz w:val="24"/>
            <w:szCs w:val="24"/>
          </w:rPr>
          <w:t>1.研究思路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_Toc8655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4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16252" w:history="1">
        <w:r>
          <w:rPr>
            <w:rFonts w:ascii="幼圆" w:eastAsia="幼圆" w:hAnsi="幼圆" w:cs="幼圆" w:hint="eastAsia"/>
            <w:bCs/>
            <w:kern w:val="0"/>
            <w:sz w:val="24"/>
            <w:szCs w:val="24"/>
          </w:rPr>
          <w:t>2.本文研究方法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_Toc16252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4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1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24540" w:history="1">
        <w:r>
          <w:rPr>
            <w:rFonts w:ascii="幼圆" w:eastAsia="幼圆" w:hAnsi="幼圆" w:cs="幼圆" w:hint="eastAsia"/>
            <w:kern w:val="0"/>
            <w:sz w:val="24"/>
            <w:szCs w:val="24"/>
          </w:rPr>
          <w:t>二、薪酬管理相关概念</w:t>
        </w:r>
        <w:r>
          <w:rPr>
            <w:rFonts w:ascii="幼圆" w:eastAsia="幼圆" w:hAnsi="幼圆" w:cs="幼圆" w:hint="eastAsia"/>
            <w:kern w:val="0"/>
            <w:sz w:val="24"/>
            <w:szCs w:val="24"/>
            <w:lang w:eastAsia="zh-CN"/>
          </w:rPr>
          <w:t>及理论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_Toc24540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5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17590" w:history="1">
        <w:r>
          <w:rPr>
            <w:rFonts w:ascii="幼圆" w:eastAsia="幼圆" w:hAnsi="幼圆" w:cs="幼圆" w:hint="eastAsia"/>
            <w:bCs/>
            <w:kern w:val="0"/>
            <w:sz w:val="24"/>
            <w:szCs w:val="24"/>
          </w:rPr>
          <w:t>（一）薪酬含义分析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_Toc17590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5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28070" w:history="1">
        <w:r>
          <w:rPr>
            <w:rFonts w:ascii="幼圆" w:eastAsia="幼圆" w:hAnsi="幼圆" w:cs="幼圆" w:hint="eastAsia"/>
            <w:bCs/>
            <w:kern w:val="0"/>
            <w:sz w:val="24"/>
            <w:szCs w:val="24"/>
          </w:rPr>
          <w:t>（二）薪酬功能分析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_Toc28070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6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12301" w:history="1">
        <w:r>
          <w:rPr>
            <w:rFonts w:ascii="幼圆" w:eastAsia="幼圆" w:hAnsi="幼圆" w:cs="幼圆" w:hint="eastAsia"/>
            <w:bCs/>
            <w:kern w:val="0"/>
            <w:sz w:val="24"/>
            <w:szCs w:val="24"/>
            <w:lang w:eastAsia="zh-CN"/>
          </w:rPr>
          <w:t>（三）</w:t>
        </w:r>
        <w:r>
          <w:rPr>
            <w:rFonts w:ascii="幼圆" w:eastAsia="幼圆" w:hAnsi="幼圆" w:cs="幼圆" w:hint="eastAsia"/>
            <w:bCs/>
            <w:kern w:val="0"/>
            <w:sz w:val="24"/>
            <w:szCs w:val="24"/>
          </w:rPr>
          <w:t>薪酬分配理论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_Toc12301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6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1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9760" w:history="1">
        <w:r>
          <w:rPr>
            <w:rFonts w:ascii="幼圆" w:eastAsia="幼圆" w:hAnsi="幼圆" w:cs="幼圆" w:hint="eastAsia"/>
            <w:kern w:val="0"/>
            <w:sz w:val="24"/>
            <w:szCs w:val="24"/>
          </w:rPr>
          <w:t>三、</w:t>
        </w:r>
        <w:r>
          <w:rPr>
            <w:rFonts w:ascii="幼圆" w:eastAsia="幼圆" w:hAnsi="幼圆" w:cs="幼圆" w:hint="eastAsia"/>
            <w:kern w:val="0"/>
            <w:sz w:val="24"/>
            <w:szCs w:val="24"/>
            <w:lang w:eastAsia="zh-CN"/>
          </w:rPr>
          <w:t>惠州极米科技公司</w:t>
        </w:r>
        <w:r>
          <w:rPr>
            <w:rFonts w:ascii="幼圆" w:eastAsia="幼圆" w:hAnsi="幼圆" w:cs="幼圆" w:hint="eastAsia"/>
            <w:kern w:val="0"/>
            <w:sz w:val="24"/>
            <w:szCs w:val="24"/>
          </w:rPr>
          <w:t>薪酬管理现状分析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_Toc9760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8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27972" w:history="1">
        <w:r>
          <w:rPr>
            <w:rFonts w:ascii="幼圆" w:eastAsia="幼圆" w:hAnsi="幼圆" w:cs="幼圆" w:hint="eastAsia"/>
            <w:bCs/>
            <w:kern w:val="0"/>
            <w:sz w:val="24"/>
            <w:szCs w:val="24"/>
          </w:rPr>
          <w:t>（一）</w:t>
        </w:r>
        <w:r>
          <w:rPr>
            <w:rFonts w:ascii="幼圆" w:eastAsia="幼圆" w:hAnsi="幼圆" w:cs="幼圆" w:hint="eastAsia"/>
            <w:bCs/>
            <w:kern w:val="0"/>
            <w:sz w:val="24"/>
            <w:szCs w:val="24"/>
            <w:lang w:eastAsia="zh-CN"/>
          </w:rPr>
          <w:t>惠州极米科技公司</w:t>
        </w:r>
        <w:r>
          <w:rPr>
            <w:rFonts w:ascii="幼圆" w:eastAsia="幼圆" w:hAnsi="幼圆" w:cs="幼圆" w:hint="eastAsia"/>
            <w:bCs/>
            <w:kern w:val="0"/>
            <w:sz w:val="24"/>
            <w:szCs w:val="24"/>
          </w:rPr>
          <w:t>简介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_Toc27972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8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14385" w:history="1">
        <w:r>
          <w:rPr>
            <w:rFonts w:ascii="幼圆" w:eastAsia="幼圆" w:hAnsi="幼圆" w:cs="幼圆" w:hint="eastAsia"/>
            <w:bCs/>
            <w:kern w:val="0"/>
            <w:sz w:val="24"/>
            <w:szCs w:val="24"/>
          </w:rPr>
          <w:t>（二）</w:t>
        </w:r>
        <w:r>
          <w:rPr>
            <w:rFonts w:ascii="幼圆" w:eastAsia="幼圆" w:hAnsi="幼圆" w:cs="幼圆" w:hint="eastAsia"/>
            <w:bCs/>
            <w:kern w:val="0"/>
            <w:sz w:val="24"/>
            <w:szCs w:val="24"/>
            <w:lang w:eastAsia="zh-CN"/>
          </w:rPr>
          <w:t>惠州极米科技公司</w:t>
        </w:r>
        <w:r>
          <w:rPr>
            <w:rFonts w:ascii="幼圆" w:eastAsia="幼圆" w:hAnsi="幼圆" w:cs="幼圆" w:hint="eastAsia"/>
            <w:bCs/>
            <w:kern w:val="0"/>
            <w:sz w:val="24"/>
            <w:szCs w:val="24"/>
          </w:rPr>
          <w:t>组织架构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_Toc14385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8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24841" w:history="1">
        <w:r>
          <w:rPr>
            <w:rFonts w:ascii="幼圆" w:eastAsia="幼圆" w:hAnsi="幼圆" w:cs="幼圆" w:hint="eastAsia"/>
            <w:bCs/>
            <w:kern w:val="0"/>
            <w:sz w:val="24"/>
            <w:szCs w:val="24"/>
          </w:rPr>
          <w:t>（</w:t>
        </w:r>
        <w:r>
          <w:rPr>
            <w:rFonts w:ascii="幼圆" w:eastAsia="幼圆" w:hAnsi="幼圆" w:cs="幼圆" w:hint="eastAsia"/>
            <w:bCs/>
            <w:kern w:val="0"/>
            <w:sz w:val="24"/>
            <w:szCs w:val="24"/>
            <w:lang w:eastAsia="zh-CN"/>
          </w:rPr>
          <w:t>三</w:t>
        </w:r>
        <w:r>
          <w:rPr>
            <w:rFonts w:ascii="幼圆" w:eastAsia="幼圆" w:hAnsi="幼圆" w:cs="幼圆" w:hint="eastAsia"/>
            <w:bCs/>
            <w:kern w:val="0"/>
            <w:sz w:val="24"/>
            <w:szCs w:val="24"/>
          </w:rPr>
          <w:t>）</w:t>
        </w:r>
        <w:r>
          <w:rPr>
            <w:rFonts w:ascii="幼圆" w:eastAsia="幼圆" w:hAnsi="幼圆" w:cs="幼圆" w:hint="eastAsia"/>
            <w:bCs/>
            <w:kern w:val="0"/>
            <w:sz w:val="24"/>
            <w:szCs w:val="24"/>
            <w:lang w:eastAsia="zh-CN"/>
          </w:rPr>
          <w:t>惠州极米科技公司</w:t>
        </w:r>
        <w:r>
          <w:rPr>
            <w:rFonts w:ascii="幼圆" w:eastAsia="幼圆" w:hAnsi="幼圆" w:cs="幼圆" w:hint="eastAsia"/>
            <w:bCs/>
            <w:kern w:val="0"/>
            <w:sz w:val="24"/>
            <w:szCs w:val="24"/>
          </w:rPr>
          <w:t>薪酬管理体系现状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_Toc24841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9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18835" w:history="1">
        <w:r>
          <w:rPr>
            <w:rFonts w:ascii="幼圆" w:eastAsia="幼圆" w:hAnsi="幼圆" w:cs="幼圆" w:hint="eastAsia"/>
            <w:bCs/>
            <w:kern w:val="0"/>
            <w:sz w:val="24"/>
            <w:szCs w:val="24"/>
          </w:rPr>
          <w:t>1.薪酬体系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_Toc18835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9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9967" w:history="1">
        <w:r>
          <w:rPr>
            <w:rFonts w:ascii="幼圆" w:eastAsia="幼圆" w:hAnsi="幼圆" w:cs="幼圆" w:hint="eastAsia"/>
            <w:bCs/>
            <w:kern w:val="0"/>
            <w:sz w:val="24"/>
            <w:szCs w:val="24"/>
          </w:rPr>
          <w:t>2.薪酬结构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_Toc9967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9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18785" w:history="1">
        <w:r>
          <w:rPr>
            <w:rFonts w:ascii="幼圆" w:eastAsia="幼圆" w:hAnsi="幼圆" w:cs="幼圆" w:hint="eastAsia"/>
            <w:bCs/>
            <w:kern w:val="0"/>
            <w:sz w:val="24"/>
            <w:szCs w:val="24"/>
          </w:rPr>
          <w:t>3.薪酬水平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_Toc18785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10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29741" w:history="1">
        <w:r>
          <w:rPr>
            <w:rFonts w:ascii="幼圆" w:eastAsia="幼圆" w:hAnsi="幼圆" w:cs="幼圆" w:hint="eastAsia"/>
            <w:bCs/>
            <w:kern w:val="0"/>
            <w:sz w:val="24"/>
            <w:szCs w:val="24"/>
          </w:rPr>
          <w:t>4.薪酬管理制度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_Toc29741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10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1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14417" w:history="1">
        <w:r>
          <w:rPr>
            <w:rFonts w:ascii="幼圆" w:eastAsia="幼圆" w:hAnsi="幼圆" w:cs="幼圆" w:hint="eastAsia"/>
            <w:kern w:val="0"/>
            <w:sz w:val="24"/>
            <w:szCs w:val="24"/>
          </w:rPr>
          <w:t>四、</w:t>
        </w:r>
        <w:r>
          <w:rPr>
            <w:rFonts w:ascii="幼圆" w:eastAsia="幼圆" w:hAnsi="幼圆" w:cs="幼圆" w:hint="eastAsia"/>
            <w:kern w:val="0"/>
            <w:sz w:val="24"/>
            <w:szCs w:val="24"/>
            <w:lang w:eastAsia="zh-CN"/>
          </w:rPr>
          <w:t>惠州极米科技公司</w:t>
        </w:r>
        <w:r>
          <w:rPr>
            <w:rFonts w:ascii="幼圆" w:eastAsia="幼圆" w:hAnsi="幼圆" w:cs="幼圆" w:hint="eastAsia"/>
            <w:kern w:val="0"/>
            <w:sz w:val="24"/>
            <w:szCs w:val="24"/>
          </w:rPr>
          <w:t>薪酬管理中存在的问题及分析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_Toc14417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11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28023" w:history="1">
        <w:r>
          <w:rPr>
            <w:rFonts w:ascii="幼圆" w:eastAsia="幼圆" w:hAnsi="幼圆" w:cs="幼圆" w:hint="eastAsia"/>
            <w:bCs/>
            <w:kern w:val="0"/>
            <w:sz w:val="24"/>
            <w:szCs w:val="24"/>
          </w:rPr>
          <w:t>（一）现行薪酬体系公平性失衡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_Toc28023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11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  <w:sectPr>
          <w:headerReference w:type="default" r:id="rId5"/>
          <w:footerReference w:type="default" r:id="rId6"/>
          <w:pgSz w:w="11906" w:h="16838"/>
          <w:pgMar w:top="1418" w:right="1134" w:bottom="1418" w:left="1701" w:header="851" w:footer="992" w:gutter="0"/>
          <w:cols w:space="708"/>
          <w:docGrid w:type="linesAndChars" w:linePitch="466" w:charSpace="323"/>
        </w:sectPr>
      </w:pPr>
      <w:hyperlink w:anchor="_Toc7105" w:history="1">
        <w:r>
          <w:rPr>
            <w:rFonts w:ascii="幼圆" w:eastAsia="幼圆" w:hAnsi="幼圆" w:cs="幼圆" w:hint="eastAsia"/>
            <w:bCs/>
            <w:kern w:val="0"/>
            <w:sz w:val="24"/>
            <w:szCs w:val="24"/>
          </w:rPr>
          <w:t>（二）密薪制适用于公司部分员工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_Toc7105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11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28771" w:history="1">
        <w:r>
          <w:rPr>
            <w:rFonts w:ascii="幼圆" w:eastAsia="幼圆" w:hAnsi="幼圆" w:cs="幼圆" w:hint="eastAsia"/>
            <w:bCs/>
            <w:kern w:val="0"/>
            <w:sz w:val="24"/>
            <w:szCs w:val="24"/>
          </w:rPr>
          <w:t>（三）现行薪酬计算方式模糊不清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_Toc28771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12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14826" w:history="1">
        <w:r>
          <w:rPr>
            <w:rFonts w:ascii="幼圆" w:eastAsia="幼圆" w:hAnsi="幼圆" w:cs="幼圆" w:hint="eastAsia"/>
            <w:bCs/>
            <w:kern w:val="0"/>
            <w:sz w:val="24"/>
            <w:szCs w:val="24"/>
          </w:rPr>
          <w:t>（四）薪酬激励方式过于单一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_Toc14826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12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1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5438" w:history="1">
        <w:r>
          <w:rPr>
            <w:rFonts w:ascii="幼圆" w:eastAsia="幼圆" w:hAnsi="幼圆" w:cs="幼圆" w:hint="eastAsia"/>
            <w:kern w:val="0"/>
            <w:sz w:val="24"/>
            <w:szCs w:val="24"/>
          </w:rPr>
          <w:t>五、</w:t>
        </w:r>
        <w:r>
          <w:rPr>
            <w:rFonts w:ascii="幼圆" w:eastAsia="幼圆" w:hAnsi="幼圆" w:cs="幼圆" w:hint="eastAsia"/>
            <w:kern w:val="0"/>
            <w:sz w:val="24"/>
            <w:szCs w:val="24"/>
            <w:lang w:eastAsia="zh-CN"/>
          </w:rPr>
          <w:t>惠州极米科技公司</w:t>
        </w:r>
        <w:r>
          <w:rPr>
            <w:rFonts w:ascii="幼圆" w:eastAsia="幼圆" w:hAnsi="幼圆" w:cs="幼圆" w:hint="eastAsia"/>
            <w:kern w:val="0"/>
            <w:sz w:val="24"/>
            <w:szCs w:val="24"/>
          </w:rPr>
          <w:t>薪酬管理的薪酬管理改进策略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_Toc5438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13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28926" w:history="1">
        <w:r>
          <w:rPr>
            <w:rFonts w:ascii="幼圆" w:eastAsia="幼圆" w:hAnsi="幼圆" w:cs="幼圆" w:hint="eastAsia"/>
            <w:bCs/>
            <w:kern w:val="0"/>
            <w:sz w:val="24"/>
            <w:szCs w:val="24"/>
          </w:rPr>
          <w:t>（一）薪酬管理改进方案的实施和沟通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_Toc28926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13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5177" w:history="1">
        <w:r>
          <w:rPr>
            <w:rFonts w:ascii="幼圆" w:eastAsia="幼圆" w:hAnsi="幼圆" w:cs="幼圆" w:hint="eastAsia"/>
            <w:bCs/>
            <w:kern w:val="0"/>
            <w:sz w:val="24"/>
            <w:szCs w:val="24"/>
          </w:rPr>
          <w:t>（二）积极转变思想观念，优化认知结构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_Toc5177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13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18437" w:history="1">
        <w:r>
          <w:rPr>
            <w:rFonts w:ascii="幼圆" w:eastAsia="幼圆" w:hAnsi="幼圆" w:cs="幼圆" w:hint="eastAsia"/>
            <w:bCs/>
            <w:kern w:val="0"/>
            <w:sz w:val="24"/>
            <w:szCs w:val="24"/>
          </w:rPr>
          <w:t>（三）完善制度，构建薪酬方案实施平台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_Toc18437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14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20825" w:history="1">
        <w:r>
          <w:rPr>
            <w:rFonts w:ascii="幼圆" w:eastAsia="幼圆" w:hAnsi="幼圆" w:cs="幼圆" w:hint="eastAsia"/>
            <w:bCs/>
            <w:kern w:val="0"/>
            <w:sz w:val="24"/>
            <w:szCs w:val="24"/>
          </w:rPr>
          <w:t>（四）强化绩效考核，为绩效</w:t>
        </w:r>
        <w:r>
          <w:rPr>
            <w:rFonts w:ascii="幼圆" w:eastAsia="幼圆" w:hAnsi="幼圆" w:cs="幼圆" w:hint="eastAsia"/>
            <w:bCs/>
            <w:kern w:val="0"/>
            <w:sz w:val="24"/>
            <w:szCs w:val="24"/>
            <w:lang w:eastAsia="zh-CN"/>
          </w:rPr>
          <w:t>薪酬</w:t>
        </w:r>
        <w:r>
          <w:rPr>
            <w:rFonts w:ascii="幼圆" w:eastAsia="幼圆" w:hAnsi="幼圆" w:cs="幼圆" w:hint="eastAsia"/>
            <w:bCs/>
            <w:kern w:val="0"/>
            <w:sz w:val="24"/>
            <w:szCs w:val="24"/>
          </w:rPr>
          <w:t>的发放提供依据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_Toc20825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15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1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4006" w:history="1">
        <w:r>
          <w:rPr>
            <w:rFonts w:ascii="幼圆" w:eastAsia="幼圆" w:hAnsi="幼圆" w:cs="幼圆" w:hint="eastAsia"/>
            <w:kern w:val="0"/>
            <w:sz w:val="24"/>
            <w:szCs w:val="24"/>
          </w:rPr>
          <w:t>结论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_Toc4006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16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1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11409" w:history="1">
        <w:r>
          <w:rPr>
            <w:rFonts w:ascii="幼圆" w:eastAsia="幼圆" w:hAnsi="幼圆" w:cs="幼圆" w:hint="eastAsia"/>
            <w:kern w:val="0"/>
            <w:sz w:val="24"/>
            <w:szCs w:val="24"/>
          </w:rPr>
          <w:t>参考文献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_Toc11409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17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TOC1"/>
        <w:tabs>
          <w:tab w:val="right" w:leader="dot" w:pos="9071"/>
        </w:tabs>
        <w:rPr>
          <w:rFonts w:ascii="幼圆" w:eastAsia="幼圆" w:hAnsi="幼圆" w:cs="幼圆" w:hint="eastAsia"/>
          <w:sz w:val="24"/>
          <w:szCs w:val="24"/>
        </w:rPr>
      </w:pPr>
      <w:hyperlink w:anchor="_Toc24551" w:history="1">
        <w:r>
          <w:rPr>
            <w:rFonts w:ascii="幼圆" w:eastAsia="幼圆" w:hAnsi="幼圆" w:cs="幼圆" w:hint="eastAsia"/>
            <w:sz w:val="24"/>
            <w:szCs w:val="24"/>
            <w:lang w:eastAsia="zh-CN"/>
          </w:rPr>
          <w:t>附录</w:t>
        </w:r>
        <w:r>
          <w:rPr>
            <w:rFonts w:ascii="幼圆" w:eastAsia="幼圆" w:hAnsi="幼圆" w:cs="幼圆" w:hint="eastAsia"/>
            <w:sz w:val="24"/>
            <w:szCs w:val="24"/>
          </w:rPr>
          <w:tab/>
        </w:r>
        <w:r>
          <w:rPr>
            <w:rFonts w:ascii="幼圆" w:eastAsia="幼圆" w:hAnsi="幼圆" w:cs="幼圆" w:hint="eastAsia"/>
            <w:sz w:val="24"/>
            <w:szCs w:val="24"/>
          </w:rPr>
          <w:fldChar w:fldCharType="begin"/>
        </w:r>
        <w:r>
          <w:rPr>
            <w:rFonts w:ascii="幼圆" w:eastAsia="幼圆" w:hAnsi="幼圆" w:cs="幼圆" w:hint="eastAsia"/>
            <w:sz w:val="24"/>
            <w:szCs w:val="24"/>
          </w:rPr>
          <w:instrText xml:space="preserve"> PAGEREF _Toc24551 \h </w:instrText>
        </w:r>
        <w:r>
          <w:rPr>
            <w:rFonts w:ascii="幼圆" w:eastAsia="幼圆" w:hAnsi="幼圆" w:cs="幼圆" w:hint="eastAsia"/>
            <w:sz w:val="24"/>
            <w:szCs w:val="24"/>
          </w:rPr>
          <w:fldChar w:fldCharType="separate"/>
        </w:r>
        <w:r>
          <w:rPr>
            <w:rFonts w:ascii="幼圆" w:eastAsia="幼圆" w:hAnsi="幼圆" w:cs="幼圆" w:hint="eastAsia"/>
            <w:sz w:val="24"/>
            <w:szCs w:val="24"/>
          </w:rPr>
          <w:t>19</w:t>
        </w:r>
        <w:r>
          <w:rPr>
            <w:rFonts w:ascii="幼圆" w:eastAsia="幼圆" w:hAnsi="幼圆" w:cs="幼圆" w:hint="eastAsia"/>
            <w:sz w:val="24"/>
            <w:szCs w:val="24"/>
          </w:rPr>
          <w:fldChar w:fldCharType="end"/>
        </w:r>
      </w:hyperlink>
    </w:p>
    <w:p>
      <w:pPr>
        <w:pStyle w:val="BodyText"/>
        <w:ind w:firstLine="483"/>
        <w:rPr>
          <w:rFonts w:ascii="幼圆" w:eastAsia="幼圆" w:hAnsi="幼圆" w:cs="幼圆" w:hint="eastAsia"/>
          <w:b/>
          <w:kern w:val="0"/>
          <w:sz w:val="28"/>
          <w:szCs w:val="28"/>
        </w:rPr>
      </w:pPr>
      <w:r>
        <w:rPr>
          <w:rFonts w:ascii="幼圆" w:eastAsia="幼圆" w:hAnsi="幼圆" w:cs="幼圆" w:hint="eastAsia"/>
          <w:sz w:val="24"/>
          <w:szCs w:val="24"/>
        </w:rPr>
        <w:fldChar w:fldCharType="end"/>
      </w:r>
      <w:bookmarkStart w:id="2" w:name="_Toc12952"/>
      <w:bookmarkStart w:id="3" w:name="_Toc4672"/>
      <w:r>
        <w:rPr>
          <w:rFonts w:ascii="幼圆" w:eastAsia="幼圆" w:hAnsi="幼圆" w:cs="幼圆" w:hint="eastAsia"/>
          <w:b/>
          <w:kern w:val="0"/>
          <w:sz w:val="28"/>
          <w:szCs w:val="28"/>
        </w:rPr>
        <w:t>一、绪论</w:t>
      </w:r>
      <w:bookmarkEnd w:id="0"/>
      <w:bookmarkEnd w:id="1"/>
      <w:bookmarkEnd w:id="2"/>
      <w:bookmarkEnd w:id="3"/>
    </w:p>
    <w:p>
      <w:pPr>
        <w:widowControl/>
        <w:snapToGrid w:val="0"/>
        <w:spacing w:line="360" w:lineRule="auto"/>
        <w:ind w:firstLine="480" w:firstLineChars="200"/>
        <w:jc w:val="left"/>
        <w:outlineLvl w:val="1"/>
        <w:rPr>
          <w:rFonts w:ascii="幼圆" w:eastAsia="幼圆" w:hAnsi="幼圆" w:cs="幼圆" w:hint="eastAsia"/>
          <w:b/>
          <w:bCs/>
          <w:kern w:val="0"/>
          <w:sz w:val="24"/>
          <w:szCs w:val="20"/>
        </w:rPr>
      </w:pPr>
      <w:bookmarkStart w:id="4" w:name="_Toc11495"/>
      <w:bookmarkStart w:id="5" w:name="_Toc18940"/>
      <w:bookmarkStart w:id="6" w:name="_Toc29257"/>
      <w:bookmarkStart w:id="7" w:name="_Toc5931"/>
      <w:r>
        <w:rPr>
          <w:rFonts w:ascii="幼圆" w:eastAsia="幼圆" w:hAnsi="幼圆" w:cs="幼圆" w:hint="eastAsia"/>
          <w:b/>
          <w:bCs/>
          <w:kern w:val="0"/>
          <w:sz w:val="24"/>
          <w:szCs w:val="20"/>
        </w:rPr>
        <w:t>（一）研究背景</w:t>
      </w:r>
      <w:bookmarkEnd w:id="4"/>
      <w:bookmarkEnd w:id="5"/>
      <w:bookmarkEnd w:id="6"/>
      <w:bookmarkEnd w:id="7"/>
    </w:p>
    <w:p>
      <w:pPr>
        <w:widowControl/>
        <w:snapToGrid w:val="0"/>
        <w:spacing w:line="360" w:lineRule="auto"/>
        <w:ind w:firstLine="480" w:firstLineChars="200"/>
        <w:jc w:val="left"/>
        <w:outlineLvl w:val="1"/>
        <w:rPr>
          <w:rFonts w:ascii="幼圆" w:eastAsia="幼圆" w:hAnsi="幼圆" w:cs="幼圆" w:hint="eastAsia"/>
          <w:kern w:val="0"/>
          <w:sz w:val="24"/>
          <w:szCs w:val="20"/>
        </w:rPr>
      </w:pPr>
      <w:r>
        <w:rPr>
          <w:rFonts w:ascii="幼圆" w:eastAsia="幼圆" w:hAnsi="幼圆" w:cs="幼圆" w:hint="eastAsia"/>
          <w:kern w:val="0"/>
          <w:sz w:val="24"/>
          <w:szCs w:val="20"/>
        </w:rPr>
        <w:t>随着经济全球化的步伐，知识经济时代已经到来，我国的各行各业都得到了新的发展机遇，但公司之间的竞争也急剧增加，公司之间的竞争主要集中在人才层面。</w:t>
      </w:r>
      <w:bookmarkStart w:id="8" w:name="_Toc12724"/>
      <w:r>
        <w:rPr>
          <w:rFonts w:ascii="幼圆" w:eastAsia="幼圆" w:hAnsi="幼圆" w:cs="幼圆" w:hint="eastAsia"/>
          <w:kern w:val="0"/>
          <w:sz w:val="24"/>
          <w:szCs w:val="20"/>
        </w:rPr>
        <w:t>本文在研究中主要以</w:t>
      </w:r>
      <w:r>
        <w:rPr>
          <w:rFonts w:ascii="幼圆" w:eastAsia="幼圆" w:hAnsi="幼圆" w:cs="幼圆" w:hint="eastAsia"/>
          <w:kern w:val="0"/>
          <w:sz w:val="24"/>
          <w:szCs w:val="20"/>
          <w:lang w:eastAsia="zh-CN"/>
        </w:rPr>
        <w:t>惠州极米科技公司</w:t>
      </w:r>
      <w:r>
        <w:rPr>
          <w:rFonts w:ascii="幼圆" w:eastAsia="幼圆" w:hAnsi="幼圆" w:cs="幼圆" w:hint="eastAsia"/>
          <w:kern w:val="0"/>
          <w:sz w:val="24"/>
          <w:szCs w:val="20"/>
        </w:rPr>
        <w:t>当成调查的主要对象，通过现代</w:t>
      </w:r>
      <w:r>
        <w:rPr>
          <w:rFonts w:ascii="幼圆" w:eastAsia="幼圆" w:hAnsi="幼圆" w:cs="幼圆" w:hint="eastAsia"/>
          <w:kern w:val="0"/>
          <w:sz w:val="24"/>
          <w:szCs w:val="20"/>
          <w:lang w:eastAsia="zh-CN"/>
        </w:rPr>
        <w:t>薪酬</w:t>
      </w:r>
      <w:r>
        <w:rPr>
          <w:rFonts w:ascii="幼圆" w:eastAsia="幼圆" w:hAnsi="幼圆" w:cs="幼圆" w:hint="eastAsia"/>
          <w:kern w:val="0"/>
          <w:sz w:val="24"/>
          <w:szCs w:val="20"/>
        </w:rPr>
        <w:t>管理理论探讨和研究公司</w:t>
      </w:r>
      <w:r>
        <w:rPr>
          <w:rFonts w:ascii="幼圆" w:eastAsia="幼圆" w:hAnsi="幼圆" w:cs="幼圆" w:hint="eastAsia"/>
          <w:kern w:val="0"/>
          <w:sz w:val="24"/>
          <w:szCs w:val="20"/>
          <w:lang w:eastAsia="zh-CN"/>
        </w:rPr>
        <w:t>薪酬</w:t>
      </w:r>
      <w:r>
        <w:rPr>
          <w:rFonts w:ascii="幼圆" w:eastAsia="幼圆" w:hAnsi="幼圆" w:cs="幼圆" w:hint="eastAsia"/>
          <w:kern w:val="0"/>
          <w:sz w:val="24"/>
          <w:szCs w:val="20"/>
        </w:rPr>
        <w:t>管理的具体特征，突出了最具影响的痛点难题，特别是：企业目前所用的</w:t>
      </w:r>
      <w:r>
        <w:rPr>
          <w:rFonts w:ascii="幼圆" w:eastAsia="幼圆" w:hAnsi="幼圆" w:cs="幼圆" w:hint="eastAsia"/>
          <w:kern w:val="0"/>
          <w:sz w:val="24"/>
          <w:szCs w:val="20"/>
          <w:lang w:eastAsia="zh-CN"/>
        </w:rPr>
        <w:t>薪酬</w:t>
      </w:r>
      <w:r>
        <w:rPr>
          <w:rFonts w:ascii="幼圆" w:eastAsia="幼圆" w:hAnsi="幼圆" w:cs="幼圆" w:hint="eastAsia"/>
          <w:kern w:val="0"/>
          <w:sz w:val="24"/>
          <w:szCs w:val="20"/>
        </w:rPr>
        <w:t>制度不具备公平公正的原则特征，对于薪酬保密的意识不强烈、</w:t>
      </w:r>
      <w:r>
        <w:rPr>
          <w:rFonts w:ascii="幼圆" w:eastAsia="幼圆" w:hAnsi="幼圆" w:cs="幼圆" w:hint="eastAsia"/>
          <w:kern w:val="0"/>
          <w:sz w:val="24"/>
          <w:szCs w:val="20"/>
          <w:lang w:eastAsia="zh-CN"/>
        </w:rPr>
        <w:t>薪酬</w:t>
      </w:r>
      <w:r>
        <w:rPr>
          <w:rFonts w:ascii="幼圆" w:eastAsia="幼圆" w:hAnsi="幼圆" w:cs="幼圆" w:hint="eastAsia"/>
          <w:kern w:val="0"/>
          <w:sz w:val="24"/>
          <w:szCs w:val="20"/>
        </w:rPr>
        <w:t>计算方法不明确等。诸如此类的情况长期存在，且在短时间内很难改变，导致</w:t>
      </w:r>
      <w:r>
        <w:rPr>
          <w:rFonts w:ascii="幼圆" w:eastAsia="幼圆" w:hAnsi="幼圆" w:cs="幼圆" w:hint="eastAsia"/>
          <w:kern w:val="0"/>
          <w:sz w:val="24"/>
          <w:szCs w:val="20"/>
          <w:lang w:eastAsia="zh-CN"/>
        </w:rPr>
        <w:t>惠州极米科技</w:t>
      </w:r>
      <w:r>
        <w:rPr>
          <w:rFonts w:ascii="幼圆" w:eastAsia="幼圆" w:hAnsi="幼圆" w:cs="幼圆" w:hint="eastAsia"/>
          <w:kern w:val="0"/>
          <w:sz w:val="24"/>
          <w:szCs w:val="20"/>
        </w:rPr>
        <w:t>公司的发展动力逐渐枯竭</w:t>
      </w:r>
      <w:r>
        <w:rPr>
          <w:rFonts w:ascii="幼圆" w:eastAsia="幼圆" w:hAnsi="幼圆" w:cs="幼圆" w:hint="eastAsia"/>
          <w:color w:val="auto"/>
          <w:kern w:val="0"/>
          <w:sz w:val="24"/>
          <w:lang w:val="en-US" w:eastAsia="zh-CN"/>
        </w:rPr>
        <w:t>(李雅静, 张宇航 ,王雨,2022)</w:t>
      </w:r>
      <w:r>
        <w:rPr>
          <w:rFonts w:ascii="幼圆" w:eastAsia="幼圆" w:hAnsi="幼圆" w:cs="幼圆" w:hint="eastAsia"/>
          <w:kern w:val="0"/>
          <w:sz w:val="24"/>
          <w:szCs w:val="20"/>
        </w:rPr>
        <w:t>。这些问题没有得到妥善解决，严重阻碍了公司的持续稳定发展。用薪酬问卷分析员工满意度，数据表明，</w:t>
      </w:r>
      <w:r>
        <w:rPr>
          <w:rFonts w:ascii="幼圆" w:eastAsia="幼圆" w:hAnsi="幼圆" w:cs="幼圆" w:hint="eastAsia"/>
          <w:kern w:val="0"/>
          <w:sz w:val="24"/>
          <w:szCs w:val="20"/>
          <w:lang w:eastAsia="zh-CN"/>
        </w:rPr>
        <w:t>惠州极米科技</w:t>
      </w:r>
      <w:r>
        <w:rPr>
          <w:rFonts w:ascii="幼圆" w:eastAsia="幼圆" w:hAnsi="幼圆" w:cs="幼圆" w:hint="eastAsia"/>
          <w:kern w:val="0"/>
          <w:sz w:val="24"/>
          <w:szCs w:val="20"/>
        </w:rPr>
        <w:t>在管理层面差强人意，公司薪酬体系存在漏洞，不符合公司发展规划，商业结构特征有待进一步改进，公司还没有确切的的商业文化、工人职业素养发展规划等。以上述问题为切入点，探寻行之有效的改进方案：完善薪资结构特征，重构薪资体系，补充人才引进制度等手段，引进技能人才，保证充足的人才储备力量，为公司的长期发展战略补给必备的人力财产。</w:t>
      </w:r>
    </w:p>
    <w:p>
      <w:pPr>
        <w:widowControl/>
        <w:snapToGrid w:val="0"/>
        <w:spacing w:line="360" w:lineRule="auto"/>
        <w:ind w:firstLine="480" w:firstLineChars="200"/>
        <w:jc w:val="left"/>
        <w:outlineLvl w:val="1"/>
        <w:rPr>
          <w:rFonts w:ascii="幼圆" w:eastAsia="幼圆" w:hAnsi="幼圆" w:cs="幼圆" w:hint="eastAsia"/>
          <w:b/>
          <w:bCs/>
          <w:kern w:val="0"/>
          <w:sz w:val="24"/>
          <w:szCs w:val="20"/>
        </w:rPr>
      </w:pPr>
      <w:bookmarkStart w:id="9" w:name="_Toc27070"/>
      <w:bookmarkStart w:id="10" w:name="_Toc31324"/>
      <w:bookmarkStart w:id="11" w:name="_Toc24982"/>
      <w:r>
        <w:rPr>
          <w:rFonts w:ascii="幼圆" w:eastAsia="幼圆" w:hAnsi="幼圆" w:cs="幼圆" w:hint="eastAsia"/>
          <w:b/>
          <w:bCs/>
          <w:kern w:val="0"/>
          <w:sz w:val="24"/>
          <w:szCs w:val="20"/>
        </w:rPr>
        <w:t>（三）国外内文献综述</w:t>
      </w:r>
      <w:bookmarkEnd w:id="8"/>
      <w:bookmarkEnd w:id="9"/>
      <w:bookmarkEnd w:id="10"/>
      <w:bookmarkEnd w:id="11"/>
    </w:p>
    <w:p>
      <w:pPr>
        <w:widowControl/>
        <w:snapToGrid w:val="0"/>
        <w:spacing w:line="360" w:lineRule="auto"/>
        <w:ind w:firstLine="480" w:firstLineChars="200"/>
        <w:jc w:val="left"/>
        <w:outlineLvl w:val="2"/>
        <w:rPr>
          <w:rFonts w:ascii="幼圆" w:eastAsia="幼圆" w:hAnsi="幼圆" w:cs="幼圆" w:hint="eastAsia"/>
          <w:b/>
          <w:bCs/>
          <w:kern w:val="0"/>
          <w:sz w:val="24"/>
          <w:szCs w:val="20"/>
        </w:rPr>
      </w:pPr>
      <w:bookmarkStart w:id="12" w:name="_Toc12305"/>
      <w:bookmarkStart w:id="13" w:name="_Toc30301"/>
      <w:bookmarkStart w:id="14" w:name="_Toc12685"/>
      <w:bookmarkStart w:id="15" w:name="_Toc16007"/>
      <w:r>
        <w:rPr>
          <w:rFonts w:ascii="幼圆" w:eastAsia="幼圆" w:hAnsi="幼圆" w:cs="幼圆" w:hint="eastAsia"/>
          <w:b/>
          <w:bCs/>
          <w:kern w:val="0"/>
          <w:sz w:val="24"/>
          <w:szCs w:val="20"/>
        </w:rPr>
        <w:t>1.国外文献综述</w:t>
      </w:r>
      <w:bookmarkEnd w:id="12"/>
      <w:bookmarkEnd w:id="13"/>
      <w:bookmarkEnd w:id="14"/>
      <w:bookmarkEnd w:id="15"/>
    </w:p>
    <w:p>
      <w:pPr>
        <w:widowControl/>
        <w:snapToGrid w:val="0"/>
        <w:spacing w:line="360" w:lineRule="auto"/>
        <w:ind w:firstLine="480" w:firstLineChars="200"/>
        <w:rPr>
          <w:rFonts w:ascii="幼圆" w:eastAsia="幼圆" w:hAnsi="幼圆" w:cs="幼圆" w:hint="eastAsia"/>
          <w:kern w:val="0"/>
          <w:sz w:val="24"/>
          <w:szCs w:val="20"/>
        </w:rPr>
        <w:sectPr>
          <w:headerReference w:type="default" r:id="rId7"/>
          <w:footerReference w:type="default" r:id="rId8"/>
          <w:type w:val="nextPage"/>
          <w:pgSz w:w="11906" w:h="16838"/>
          <w:pgMar w:top="1418" w:right="1134" w:bottom="1418" w:left="1701" w:header="851" w:footer="992" w:gutter="0"/>
          <w:pgNumType w:start="2"/>
          <w:cols w:space="708"/>
          <w:titlePg w:val="0"/>
          <w:docGrid w:type="linesAndChars" w:linePitch="466" w:charSpace="323"/>
        </w:sectPr>
      </w:pPr>
      <w:bookmarkStart w:id="16" w:name="_Toc29015"/>
      <w:r>
        <w:rPr>
          <w:rFonts w:ascii="幼圆" w:eastAsia="幼圆" w:hAnsi="幼圆" w:cs="幼圆" w:hint="eastAsia"/>
          <w:kern w:val="0"/>
          <w:sz w:val="24"/>
          <w:szCs w:val="20"/>
          <w:lang w:eastAsia="zh-CN"/>
        </w:rPr>
        <w:t>薪酬</w:t>
      </w:r>
      <w:r>
        <w:rPr>
          <w:rFonts w:ascii="幼圆" w:eastAsia="幼圆" w:hAnsi="幼圆" w:cs="幼圆" w:hint="eastAsia"/>
          <w:kern w:val="0"/>
          <w:sz w:val="24"/>
          <w:szCs w:val="20"/>
        </w:rPr>
        <w:t>管理是公司的重要组成部分。公司运用</w:t>
      </w:r>
      <w:r>
        <w:rPr>
          <w:rFonts w:ascii="幼圆" w:eastAsia="幼圆" w:hAnsi="幼圆" w:cs="幼圆" w:hint="eastAsia"/>
          <w:kern w:val="0"/>
          <w:sz w:val="24"/>
          <w:szCs w:val="20"/>
          <w:lang w:eastAsia="zh-CN"/>
        </w:rPr>
        <w:t>薪酬</w:t>
      </w:r>
    </w:p>
    <w:p>
      <w:pPr>
        <w:widowControl/>
        <w:snapToGrid w:val="0"/>
        <w:spacing w:line="360" w:lineRule="auto"/>
        <w:ind w:firstLine="480" w:firstLineChars="200"/>
        <w:rPr>
          <w:rFonts w:ascii="幼圆" w:eastAsia="幼圆" w:hAnsi="幼圆" w:cs="幼圆" w:hint="eastAsia"/>
          <w:kern w:val="0"/>
          <w:sz w:val="24"/>
          <w:szCs w:val="20"/>
        </w:rPr>
      </w:pPr>
      <w:r>
        <w:rPr>
          <w:rFonts w:ascii="幼圆" w:eastAsia="幼圆" w:hAnsi="幼圆" w:cs="幼圆" w:hint="eastAsia"/>
          <w:kern w:val="0"/>
          <w:sz w:val="24"/>
          <w:szCs w:val="20"/>
        </w:rPr>
        <w:t>管理制度，提升员工工作的主观能动性，更深入地贯彻职工的职业观念，将员工个人规划与公司战略紧密结合，追求共同进步，将公司的长期规划落实到实际生产过程中。国外研究人员从不同的角度和层面研究了公司的薪酬体系，以便更好地为公司建立科学合理的</w:t>
      </w:r>
      <w:r>
        <w:rPr>
          <w:rFonts w:ascii="幼圆" w:eastAsia="幼圆" w:hAnsi="幼圆" w:cs="幼圆" w:hint="eastAsia"/>
          <w:kern w:val="0"/>
          <w:sz w:val="24"/>
          <w:szCs w:val="20"/>
          <w:lang w:eastAsia="zh-CN"/>
        </w:rPr>
        <w:t>薪酬</w:t>
      </w:r>
      <w:r>
        <w:rPr>
          <w:rFonts w:ascii="幼圆" w:eastAsia="幼圆" w:hAnsi="幼圆" w:cs="幼圆" w:hint="eastAsia"/>
          <w:kern w:val="0"/>
          <w:sz w:val="24"/>
          <w:szCs w:val="20"/>
        </w:rPr>
        <w:t>体系作出参考</w:t>
      </w:r>
      <w:r>
        <w:rPr>
          <w:rFonts w:ascii="幼圆" w:eastAsia="幼圆" w:hAnsi="幼圆" w:cs="幼圆" w:hint="eastAsia"/>
          <w:color w:val="auto"/>
          <w:kern w:val="0"/>
          <w:sz w:val="24"/>
          <w:lang w:val="en-US" w:eastAsia="zh-CN"/>
        </w:rPr>
        <w:t>(赵瑞秋, 陈嘉骏,2021)</w:t>
      </w:r>
      <w:r>
        <w:rPr>
          <w:rFonts w:ascii="幼圆" w:eastAsia="幼圆" w:hAnsi="幼圆" w:cs="幼圆" w:hint="eastAsia"/>
          <w:kern w:val="0"/>
          <w:sz w:val="24"/>
          <w:szCs w:val="20"/>
        </w:rPr>
        <w:t>。</w:t>
      </w:r>
      <w:r>
        <w:rPr>
          <w:rFonts w:ascii="幼圆" w:eastAsia="幼圆" w:hAnsi="幼圆" w:cs="幼圆" w:hint="eastAsia"/>
          <w:kern w:val="0"/>
          <w:sz w:val="24"/>
          <w:szCs w:val="20"/>
          <w:lang w:eastAsia="zh-CN"/>
        </w:rPr>
        <w:t>薪酬</w:t>
      </w:r>
      <w:r>
        <w:rPr>
          <w:rFonts w:ascii="幼圆" w:eastAsia="幼圆" w:hAnsi="幼圆" w:cs="幼圆" w:hint="eastAsia"/>
          <w:kern w:val="0"/>
          <w:sz w:val="24"/>
          <w:szCs w:val="20"/>
        </w:rPr>
        <w:t>管理的概念自开始出现和发展以来，取得了很大的进步，相关理论知识逐渐全面。许多经济学家解释了</w:t>
      </w:r>
      <w:r>
        <w:rPr>
          <w:rFonts w:ascii="幼圆" w:eastAsia="幼圆" w:hAnsi="幼圆" w:cs="幼圆" w:hint="eastAsia"/>
          <w:kern w:val="0"/>
          <w:sz w:val="24"/>
          <w:szCs w:val="20"/>
          <w:lang w:eastAsia="zh-CN"/>
        </w:rPr>
        <w:t>薪酬</w:t>
      </w:r>
      <w:r>
        <w:rPr>
          <w:rFonts w:ascii="幼圆" w:eastAsia="幼圆" w:hAnsi="幼圆" w:cs="幼圆" w:hint="eastAsia"/>
          <w:kern w:val="0"/>
          <w:sz w:val="24"/>
          <w:szCs w:val="20"/>
        </w:rPr>
        <w:t>的重要性，认为</w:t>
      </w:r>
      <w:r>
        <w:rPr>
          <w:rFonts w:ascii="幼圆" w:eastAsia="幼圆" w:hAnsi="幼圆" w:cs="幼圆" w:hint="eastAsia"/>
          <w:kern w:val="0"/>
          <w:sz w:val="24"/>
          <w:szCs w:val="20"/>
          <w:lang w:eastAsia="zh-CN"/>
        </w:rPr>
        <w:t>薪酬</w:t>
      </w:r>
      <w:r>
        <w:rPr>
          <w:rFonts w:ascii="幼圆" w:eastAsia="幼圆" w:hAnsi="幼圆" w:cs="幼圆" w:hint="eastAsia"/>
          <w:kern w:val="0"/>
          <w:sz w:val="24"/>
          <w:szCs w:val="20"/>
        </w:rPr>
        <w:t>是工人挣的薪水。</w:t>
      </w:r>
      <w:r>
        <w:rPr>
          <w:rFonts w:ascii="幼圆" w:eastAsia="幼圆" w:hAnsi="幼圆" w:cs="幼圆" w:hint="eastAsia"/>
          <w:kern w:val="0"/>
          <w:sz w:val="24"/>
          <w:szCs w:val="20"/>
          <w:lang w:eastAsia="zh-CN"/>
        </w:rPr>
        <w:t>薪酬</w:t>
      </w:r>
      <w:r>
        <w:rPr>
          <w:rFonts w:ascii="幼圆" w:eastAsia="幼圆" w:hAnsi="幼圆" w:cs="幼圆" w:hint="eastAsia"/>
          <w:kern w:val="0"/>
          <w:sz w:val="24"/>
          <w:szCs w:val="20"/>
        </w:rPr>
        <w:t>水平与雇主实力和雇员投入紧密相关。人在不同发展阶段的需求是不同的。当最低的生存需求得到满足时，人的需求发生变化，提升到不同的层次，为了实现这些需求，人们采取一定的手段鼓舞自己，最大程度的按照自己的需求行事</w:t>
      </w:r>
      <w:r>
        <w:rPr>
          <w:rStyle w:val="FootnoteReference"/>
          <w:rFonts w:ascii="幼圆" w:eastAsia="幼圆" w:hAnsi="幼圆" w:cs="幼圆" w:hint="eastAsia"/>
          <w:kern w:val="0"/>
          <w:sz w:val="24"/>
          <w:szCs w:val="20"/>
        </w:rPr>
        <w:t>[</w:t>
      </w:r>
      <w:r>
        <w:rPr>
          <w:rStyle w:val="FootnoteReference"/>
          <w:rFonts w:ascii="幼圆" w:eastAsia="幼圆" w:hAnsi="幼圆" w:cs="幼圆" w:hint="eastAsia"/>
          <w:kern w:val="0"/>
          <w:sz w:val="24"/>
          <w:szCs w:val="20"/>
        </w:rPr>
        <w:footnoteReference w:id="2"/>
      </w:r>
      <w:r>
        <w:rPr>
          <w:rStyle w:val="FootnoteReference"/>
          <w:rFonts w:ascii="幼圆" w:eastAsia="幼圆" w:hAnsi="幼圆" w:cs="幼圆" w:hint="eastAsia"/>
          <w:kern w:val="0"/>
          <w:sz w:val="24"/>
          <w:szCs w:val="20"/>
        </w:rPr>
        <w:t>]</w:t>
      </w:r>
      <w:r>
        <w:rPr>
          <w:rFonts w:ascii="幼圆" w:eastAsia="幼圆" w:hAnsi="幼圆" w:cs="幼圆" w:hint="eastAsia"/>
          <w:kern w:val="0"/>
          <w:sz w:val="24"/>
          <w:szCs w:val="20"/>
        </w:rPr>
        <w:t>。弗隆提出了一个期望理论</w:t>
      </w:r>
      <w:r>
        <w:rPr>
          <w:rFonts w:ascii="幼圆" w:eastAsia="幼圆" w:hAnsi="幼圆" w:cs="幼圆" w:hint="eastAsia"/>
          <w:color w:val="auto"/>
          <w:kern w:val="0"/>
          <w:sz w:val="24"/>
          <w:lang w:val="en-US" w:eastAsia="zh-CN"/>
        </w:rPr>
        <w:t>(刘子轩 ,黄雪婷 ,周思,2021)</w:t>
      </w:r>
      <w:r>
        <w:rPr>
          <w:rFonts w:ascii="幼圆" w:eastAsia="幼圆" w:hAnsi="幼圆" w:cs="幼圆" w:hint="eastAsia"/>
          <w:kern w:val="0"/>
          <w:sz w:val="24"/>
          <w:szCs w:val="20"/>
        </w:rPr>
        <w:t>。该理论主旨认为，人类行为主要是为了更好地调和心理预期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，</w:t>
      </w:r>
      <w:r>
        <w:rPr>
          <w:rFonts w:ascii="幼圆" w:eastAsia="幼圆" w:hAnsi="幼圆" w:cs="幼圆" w:hint="eastAsia"/>
          <w:kern w:val="0"/>
          <w:sz w:val="24"/>
          <w:szCs w:val="20"/>
        </w:rPr>
        <w:t>如果结果能达到人们的预期，有很好的激励效果。所以，有必要充分理解劳动和绩效之间的联系，并充分利用绩效和奖励来实现个人追求。而且根据调查发现，拥有广泛的人力资源可以帮助提高公司的核心竞争力</w:t>
      </w:r>
      <w:r>
        <w:rPr>
          <w:rFonts w:ascii="幼圆" w:eastAsia="幼圆" w:hAnsi="幼圆" w:cs="幼圆" w:hint="eastAsia"/>
          <w:color w:val="auto"/>
          <w:kern w:val="0"/>
          <w:sz w:val="24"/>
          <w:lang w:val="en-US" w:eastAsia="zh-CN"/>
        </w:rPr>
        <w:t>(吴晓宁, 孙梦婷)</w:t>
      </w:r>
      <w:r>
        <w:rPr>
          <w:rFonts w:ascii="幼圆" w:eastAsia="幼圆" w:hAnsi="幼圆" w:cs="幼圆" w:hint="eastAsia"/>
          <w:kern w:val="0"/>
          <w:sz w:val="24"/>
          <w:szCs w:val="20"/>
        </w:rPr>
        <w:t>。以此为基础，研究员赫兹伯格发现了著名的双因素理论，理论指出，依靠激励因素和保健因素可以提高工人的积极性。根据马丁</w:t>
      </w:r>
      <w:r>
        <w:rPr>
          <w:rFonts w:ascii="幼圆" w:eastAsia="幼圆" w:hAnsi="幼圆" w:cs="幼圆" w:hint="eastAsia"/>
          <w:kern w:val="0"/>
          <w:sz w:val="24"/>
          <w:szCs w:val="20"/>
        </w:rPr>
        <w:t>·</w:t>
      </w:r>
      <w:r>
        <w:rPr>
          <w:rFonts w:ascii="幼圆" w:eastAsia="幼圆" w:hAnsi="幼圆" w:cs="幼圆" w:hint="eastAsia"/>
          <w:kern w:val="0"/>
          <w:sz w:val="24"/>
          <w:szCs w:val="20"/>
        </w:rPr>
        <w:t>魏茨曼的理论得知，应该由两个要素组成员工薪酬制度，其一是老旧的薪酬制度，其二是分红制度。分红制就是改变原有固定</w:t>
      </w:r>
      <w:r>
        <w:rPr>
          <w:rFonts w:ascii="幼圆" w:eastAsia="幼圆" w:hAnsi="幼圆" w:cs="幼圆" w:hint="eastAsia"/>
          <w:kern w:val="0"/>
          <w:sz w:val="24"/>
          <w:szCs w:val="20"/>
          <w:lang w:eastAsia="zh-CN"/>
        </w:rPr>
        <w:t>薪酬</w:t>
      </w:r>
      <w:r>
        <w:rPr>
          <w:rFonts w:ascii="幼圆" w:eastAsia="幼圆" w:hAnsi="幼圆" w:cs="幼圆" w:hint="eastAsia"/>
          <w:kern w:val="0"/>
          <w:sz w:val="24"/>
          <w:szCs w:val="20"/>
        </w:rPr>
        <w:t>协议的限制，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根据</w:t>
      </w:r>
      <w:r>
        <w:rPr>
          <w:rFonts w:ascii="幼圆" w:eastAsia="幼圆" w:hAnsi="幼圆" w:cs="幼圆" w:hint="eastAsia"/>
          <w:kern w:val="0"/>
          <w:sz w:val="24"/>
          <w:szCs w:val="20"/>
        </w:rPr>
        <w:t>员工的工作量来分配相应的份额，并将员工的薪酬与制造商的盈利紧密结合，这样员工工作热情度就更高</w:t>
      </w:r>
      <w:r>
        <w:rPr>
          <w:rFonts w:ascii="幼圆" w:eastAsia="幼圆" w:hAnsi="幼圆" w:cs="幼圆" w:hint="eastAsia"/>
          <w:color w:val="auto"/>
          <w:kern w:val="0"/>
          <w:sz w:val="24"/>
          <w:lang w:val="en-US" w:eastAsia="zh-CN"/>
        </w:rPr>
        <w:t>(郑文斌, 钟家,2018)</w:t>
      </w:r>
      <w:r>
        <w:rPr>
          <w:rFonts w:ascii="幼圆" w:eastAsia="幼圆" w:hAnsi="幼圆" w:cs="幼圆" w:hint="eastAsia"/>
          <w:kern w:val="0"/>
          <w:sz w:val="24"/>
          <w:szCs w:val="20"/>
        </w:rPr>
        <w:t>。强化理论由斯金纳提出，该理论的核心观点认为，只有能够为个体创造利益的行为才能触发重复行为活动，致使在正确方向付出更多的时间与精力，以达到最终目的。</w:t>
      </w:r>
    </w:p>
    <w:p>
      <w:pPr>
        <w:widowControl/>
        <w:snapToGrid w:val="0"/>
        <w:spacing w:line="360" w:lineRule="auto"/>
        <w:ind w:firstLine="480" w:firstLineChars="200"/>
        <w:jc w:val="left"/>
        <w:outlineLvl w:val="2"/>
        <w:rPr>
          <w:rFonts w:ascii="幼圆" w:eastAsia="幼圆" w:hAnsi="幼圆" w:cs="幼圆" w:hint="eastAsia"/>
          <w:b/>
          <w:bCs/>
          <w:kern w:val="0"/>
          <w:sz w:val="24"/>
          <w:szCs w:val="20"/>
        </w:rPr>
      </w:pPr>
      <w:bookmarkStart w:id="17" w:name="_Toc8935"/>
      <w:bookmarkStart w:id="18" w:name="_Toc4572"/>
      <w:bookmarkStart w:id="19" w:name="_Toc28819"/>
      <w:r>
        <w:rPr>
          <w:rFonts w:ascii="幼圆" w:eastAsia="幼圆" w:hAnsi="幼圆" w:cs="幼圆" w:hint="eastAsia"/>
          <w:b/>
          <w:bCs/>
          <w:kern w:val="0"/>
          <w:sz w:val="24"/>
          <w:szCs w:val="20"/>
        </w:rPr>
        <w:t>2.国内文献综述</w:t>
      </w:r>
      <w:bookmarkEnd w:id="16"/>
      <w:bookmarkEnd w:id="17"/>
      <w:bookmarkEnd w:id="18"/>
      <w:bookmarkEnd w:id="19"/>
    </w:p>
    <w:p>
      <w:pPr>
        <w:widowControl/>
        <w:snapToGrid w:val="0"/>
        <w:spacing w:line="360" w:lineRule="auto"/>
        <w:ind w:firstLine="480" w:firstLineChars="200"/>
        <w:rPr>
          <w:rFonts w:ascii="幼圆" w:eastAsia="幼圆" w:hAnsi="幼圆" w:cs="幼圆" w:hint="eastAsia"/>
          <w:kern w:val="0"/>
          <w:sz w:val="24"/>
          <w:szCs w:val="20"/>
        </w:rPr>
        <w:sectPr>
          <w:headerReference w:type="default" r:id="rId9"/>
          <w:footerReference w:type="default" r:id="rId10"/>
          <w:type w:val="nextPage"/>
          <w:pgSz w:w="11906" w:h="16838"/>
          <w:pgMar w:top="1418" w:right="1134" w:bottom="1418" w:left="1701" w:header="851" w:footer="992" w:gutter="0"/>
          <w:pgNumType w:start="3"/>
          <w:cols w:space="708"/>
          <w:titlePg w:val="0"/>
          <w:docGrid w:type="linesAndChars" w:linePitch="466" w:charSpace="323"/>
        </w:sectPr>
      </w:pPr>
      <w:bookmarkStart w:id="20" w:name="_Toc28792"/>
      <w:r>
        <w:rPr>
          <w:rFonts w:ascii="幼圆" w:eastAsia="幼圆" w:hAnsi="幼圆" w:cs="幼圆" w:hint="eastAsia"/>
          <w:kern w:val="0"/>
          <w:sz w:val="24"/>
          <w:szCs w:val="20"/>
        </w:rPr>
        <w:t>我国开始研究</w:t>
      </w:r>
      <w:r>
        <w:rPr>
          <w:rFonts w:ascii="幼圆" w:eastAsia="幼圆" w:hAnsi="幼圆" w:cs="幼圆" w:hint="eastAsia"/>
          <w:kern w:val="0"/>
          <w:sz w:val="24"/>
          <w:szCs w:val="20"/>
          <w:lang w:eastAsia="zh-CN"/>
        </w:rPr>
        <w:t>薪酬</w:t>
      </w:r>
      <w:r>
        <w:rPr>
          <w:rFonts w:ascii="幼圆" w:eastAsia="幼圆" w:hAnsi="幼圆" w:cs="幼圆" w:hint="eastAsia"/>
          <w:kern w:val="0"/>
          <w:sz w:val="24"/>
          <w:szCs w:val="20"/>
        </w:rPr>
        <w:t>管理的时间比较短，其原因与我国经济发展有一定的关系。伴随着国家之间的竞争加剧，公司发展面临的竞争环境也越来越复杂。在这样的大环境下，公司依靠改善和优化</w:t>
      </w:r>
      <w:r>
        <w:rPr>
          <w:rFonts w:ascii="幼圆" w:eastAsia="幼圆" w:hAnsi="幼圆" w:cs="幼圆" w:hint="eastAsia"/>
          <w:kern w:val="0"/>
          <w:sz w:val="24"/>
          <w:szCs w:val="20"/>
          <w:lang w:eastAsia="zh-CN"/>
        </w:rPr>
        <w:t>薪酬</w:t>
      </w:r>
      <w:r>
        <w:rPr>
          <w:rFonts w:ascii="幼圆" w:eastAsia="幼圆" w:hAnsi="幼圆" w:cs="幼圆" w:hint="eastAsia"/>
          <w:kern w:val="0"/>
          <w:sz w:val="24"/>
          <w:szCs w:val="20"/>
        </w:rPr>
        <w:t>管理系统来提高员工的工作积极性，增加市场占比率，在竞争中抢占有利地位是现代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经济</w:t>
      </w:r>
      <w:r>
        <w:rPr>
          <w:rFonts w:ascii="幼圆" w:eastAsia="幼圆" w:hAnsi="幼圆" w:cs="幼圆" w:hint="eastAsia"/>
          <w:kern w:val="0"/>
          <w:sz w:val="24"/>
          <w:szCs w:val="20"/>
        </w:rPr>
        <w:t>发展背景下的潮流方向</w:t>
      </w:r>
      <w:r>
        <w:rPr>
          <w:rFonts w:ascii="幼圆" w:eastAsia="幼圆" w:hAnsi="幼圆" w:cs="幼圆" w:hint="eastAsia"/>
          <w:color w:val="auto"/>
          <w:kern w:val="0"/>
          <w:sz w:val="24"/>
          <w:lang w:val="en-US" w:eastAsia="zh-CN"/>
        </w:rPr>
        <w:t>(杨紫琪 ,朱昊然 ,许宇翔,2021)</w:t>
      </w:r>
      <w:r>
        <w:rPr>
          <w:rFonts w:ascii="幼圆" w:eastAsia="幼圆" w:hAnsi="幼圆" w:cs="幼圆" w:hint="eastAsia"/>
          <w:kern w:val="0"/>
          <w:sz w:val="24"/>
          <w:szCs w:val="20"/>
        </w:rPr>
        <w:t>。随着社会经济的快速发展，使人力资源成为企业发展和竞争力的重要来源。最终，企业的竞争也就演变成了人才的竞争。在社会经济的飞速提升作用下，人才在企业中的作用日渐凸显。然而，我国许多企业仍然面临着人力资源问题。当今社会，我国的人力资源管理也面临着企业管理体系缺失的冲击，薪酬管理不善和员工培训机制不足的现象普遍存在，随着公司的不断发展，这些问题对企业的发展造成了重大影响</w:t>
      </w:r>
      <w:r>
        <w:rPr>
          <w:rFonts w:ascii="幼圆" w:eastAsia="幼圆" w:hAnsi="幼圆" w:cs="幼圆" w:hint="eastAsia"/>
          <w:color w:val="auto"/>
          <w:kern w:val="0"/>
          <w:sz w:val="24"/>
          <w:lang w:val="en-US" w:eastAsia="zh-CN"/>
        </w:rPr>
        <w:t>(徐小薇 ,郭琳娜, 曾逸)</w:t>
      </w:r>
    </w:p>
    <w:p>
      <w:pPr>
        <w:widowControl/>
        <w:snapToGrid w:val="0"/>
        <w:spacing w:line="360" w:lineRule="auto"/>
        <w:ind w:firstLine="480" w:firstLineChars="200"/>
        <w:rPr>
          <w:rFonts w:ascii="幼圆" w:eastAsia="幼圆" w:hAnsi="幼圆" w:cs="幼圆" w:hint="eastAsia"/>
          <w:kern w:val="0"/>
          <w:sz w:val="24"/>
          <w:szCs w:val="20"/>
        </w:rPr>
      </w:pPr>
      <w:r>
        <w:rPr>
          <w:rFonts w:ascii="幼圆" w:eastAsia="幼圆" w:hAnsi="幼圆" w:cs="幼圆" w:hint="eastAsia"/>
          <w:kern w:val="0"/>
          <w:sz w:val="24"/>
          <w:szCs w:val="20"/>
        </w:rPr>
        <w:t>。只有更好地管理人力资源，才能提高企业的竞争力，才能更快地发展。因此，越来越多的学者开始关注</w:t>
      </w:r>
      <w:r>
        <w:rPr>
          <w:rFonts w:ascii="幼圆" w:eastAsia="幼圆" w:hAnsi="幼圆" w:cs="幼圆" w:hint="eastAsia"/>
          <w:kern w:val="0"/>
          <w:sz w:val="24"/>
          <w:szCs w:val="20"/>
          <w:lang w:eastAsia="zh-CN"/>
        </w:rPr>
        <w:t>薪酬</w:t>
      </w:r>
      <w:r>
        <w:rPr>
          <w:rFonts w:ascii="幼圆" w:eastAsia="幼圆" w:hAnsi="幼圆" w:cs="幼圆" w:hint="eastAsia"/>
          <w:kern w:val="0"/>
          <w:sz w:val="24"/>
          <w:szCs w:val="20"/>
        </w:rPr>
        <w:t>激励对于人力资源的作用。科学家</w:t>
      </w:r>
      <w:r>
        <w:rPr>
          <w:rFonts w:ascii="幼圆" w:eastAsia="幼圆" w:hAnsi="幼圆" w:cs="幼圆" w:hint="eastAsia"/>
          <w:kern w:val="0"/>
          <w:sz w:val="24"/>
          <w:szCs w:val="20"/>
          <w:lang w:val="en-US" w:eastAsia="zh-CN"/>
        </w:rPr>
        <w:t>何美玲 ,谢子昂</w:t>
      </w:r>
      <w:r>
        <w:rPr>
          <w:rFonts w:ascii="幼圆" w:eastAsia="幼圆" w:hAnsi="幼圆" w:cs="幼圆" w:hint="eastAsia"/>
          <w:kern w:val="0"/>
          <w:sz w:val="24"/>
          <w:szCs w:val="20"/>
        </w:rPr>
        <w:t>在20世纪90年代开始研究人力资源。在考察和分析西方人力资源理论后，他得出结论，中国企业应该适应自身的发展来确定管理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制度</w:t>
      </w:r>
      <w:r>
        <w:rPr>
          <w:rFonts w:ascii="幼圆" w:eastAsia="幼圆" w:hAnsi="幼圆" w:cs="幼圆" w:hint="eastAsia"/>
          <w:kern w:val="0"/>
          <w:sz w:val="24"/>
          <w:szCs w:val="20"/>
        </w:rPr>
        <w:t>。运用激励方式提高员工的积极性，以增加公司财务收益。何丽霞的研究数据充分说明了，公司的发展有阶段性的差异，在不同阶段的背后，公司制定的发展目标也是不同的，特别是由于公司规模的扩张，给管理层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对于</w:t>
      </w:r>
      <w:r>
        <w:rPr>
          <w:rFonts w:ascii="幼圆" w:eastAsia="幼圆" w:hAnsi="幼圆" w:cs="幼圆" w:hint="eastAsia"/>
          <w:kern w:val="0"/>
          <w:sz w:val="24"/>
          <w:szCs w:val="20"/>
          <w:lang w:eastAsia="zh-CN"/>
        </w:rPr>
        <w:t>薪酬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的</w:t>
      </w:r>
      <w:r>
        <w:rPr>
          <w:rFonts w:ascii="幼圆" w:eastAsia="幼圆" w:hAnsi="幼圆" w:cs="幼圆" w:hint="eastAsia"/>
          <w:kern w:val="0"/>
          <w:sz w:val="24"/>
          <w:szCs w:val="20"/>
        </w:rPr>
        <w:t>管理带来了新的难题。公司是否具有较好的大局意识，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这对于</w:t>
      </w:r>
      <w:r>
        <w:rPr>
          <w:rFonts w:ascii="幼圆" w:eastAsia="幼圆" w:hAnsi="幼圆" w:cs="幼圆" w:hint="eastAsia"/>
          <w:kern w:val="0"/>
          <w:sz w:val="24"/>
          <w:szCs w:val="20"/>
        </w:rPr>
        <w:t>加强薪酬体系的治理十分重要，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这也</w:t>
      </w:r>
      <w:r>
        <w:rPr>
          <w:rFonts w:ascii="幼圆" w:eastAsia="幼圆" w:hAnsi="幼圆" w:cs="幼圆" w:hint="eastAsia"/>
          <w:kern w:val="0"/>
          <w:sz w:val="24"/>
          <w:szCs w:val="20"/>
        </w:rPr>
        <w:t>直接决定了公司战略发展目标的实现</w:t>
      </w:r>
      <w:r>
        <w:rPr>
          <w:rStyle w:val="FootnoteReference"/>
          <w:rFonts w:ascii="幼圆" w:eastAsia="幼圆" w:hAnsi="幼圆" w:cs="幼圆" w:hint="eastAsia"/>
          <w:kern w:val="0"/>
          <w:sz w:val="24"/>
          <w:szCs w:val="20"/>
        </w:rPr>
        <w:t>[</w:t>
      </w:r>
      <w:r>
        <w:rPr>
          <w:rStyle w:val="FootnoteReference"/>
          <w:rFonts w:ascii="幼圆" w:eastAsia="幼圆" w:hAnsi="幼圆" w:cs="幼圆" w:hint="eastAsia"/>
          <w:kern w:val="0"/>
          <w:sz w:val="24"/>
          <w:szCs w:val="20"/>
        </w:rPr>
        <w:footnoteReference w:id="3"/>
      </w:r>
      <w:r>
        <w:rPr>
          <w:rStyle w:val="FootnoteReference"/>
          <w:rFonts w:ascii="幼圆" w:eastAsia="幼圆" w:hAnsi="幼圆" w:cs="幼圆" w:hint="eastAsia"/>
          <w:kern w:val="0"/>
          <w:sz w:val="24"/>
          <w:szCs w:val="20"/>
        </w:rPr>
        <w:t>]</w:t>
      </w:r>
      <w:r>
        <w:rPr>
          <w:rFonts w:ascii="幼圆" w:eastAsia="幼圆" w:hAnsi="幼圆" w:cs="幼圆" w:hint="eastAsia"/>
          <w:kern w:val="0"/>
          <w:sz w:val="24"/>
          <w:szCs w:val="20"/>
        </w:rPr>
        <w:t>。调查员</w:t>
      </w:r>
      <w:r>
        <w:rPr>
          <w:rFonts w:ascii="幼圆" w:eastAsia="幼圆" w:hAnsi="幼圆" w:cs="幼圆" w:hint="eastAsia"/>
          <w:kern w:val="0"/>
          <w:sz w:val="24"/>
          <w:szCs w:val="20"/>
          <w:lang w:val="en-US" w:eastAsia="zh-CN"/>
        </w:rPr>
        <w:t>潘晨辰, 袁雪洁, 林俊</w:t>
      </w:r>
      <w:r>
        <w:rPr>
          <w:rFonts w:ascii="幼圆" w:eastAsia="幼圆" w:hAnsi="幼圆" w:cs="幼圆" w:hint="eastAsia"/>
          <w:kern w:val="0"/>
          <w:sz w:val="24"/>
          <w:szCs w:val="20"/>
        </w:rPr>
        <w:t>的研究成果指出，公司需要认识到劳动者的真实需求，运用合适的酬劳制度提高其工作积极性，特别是对做出重大贡献的劳动者提供一定的奖励，将员工的自身利益与整个公司的发展目标紧密联系，以增强员工对公司的认同感，实现员工和公司的协同发展。吸引、留住和激励员工是现代公司最感兴趣的话题之一</w:t>
      </w:r>
      <w:r>
        <w:rPr>
          <w:rFonts w:ascii="幼圆" w:eastAsia="幼圆" w:hAnsi="幼圆" w:cs="幼圆" w:hint="eastAsia"/>
          <w:color w:val="auto"/>
          <w:kern w:val="0"/>
          <w:sz w:val="24"/>
          <w:lang w:val="en-US" w:eastAsia="zh-CN"/>
        </w:rPr>
        <w:t>(叶紫薇 ,严诗婷,2021)</w:t>
      </w:r>
      <w:r>
        <w:rPr>
          <w:rFonts w:ascii="幼圆" w:eastAsia="幼圆" w:hAnsi="幼圆" w:cs="幼圆" w:hint="eastAsia"/>
          <w:kern w:val="0"/>
          <w:sz w:val="24"/>
          <w:szCs w:val="20"/>
        </w:rPr>
        <w:t>。如果一家公司想要打造一批能力强、吃苦耐劳、对公司有认同感的工作团队，只是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单纯的</w:t>
      </w:r>
      <w:r>
        <w:rPr>
          <w:rFonts w:ascii="幼圆" w:eastAsia="幼圆" w:hAnsi="幼圆" w:cs="幼圆" w:hint="eastAsia"/>
          <w:kern w:val="0"/>
          <w:sz w:val="24"/>
          <w:szCs w:val="20"/>
        </w:rPr>
        <w:t>从薪酬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和</w:t>
      </w:r>
      <w:r>
        <w:rPr>
          <w:rFonts w:ascii="幼圆" w:eastAsia="幼圆" w:hAnsi="幼圆" w:cs="幼圆" w:hint="eastAsia"/>
          <w:kern w:val="0"/>
          <w:sz w:val="24"/>
          <w:szCs w:val="20"/>
        </w:rPr>
        <w:t>福利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这两方面去实施，很难</w:t>
      </w:r>
      <w:r>
        <w:rPr>
          <w:rFonts w:ascii="幼圆" w:eastAsia="幼圆" w:hAnsi="幼圆" w:cs="幼圆" w:hint="eastAsia"/>
          <w:kern w:val="0"/>
          <w:sz w:val="24"/>
          <w:szCs w:val="20"/>
        </w:rPr>
        <w:t>达到预期的目标，因为有些员工可能并不渴望获得更多的薪酬，而是实现自身的价值并获得成就感，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所以</w:t>
      </w:r>
      <w:r>
        <w:rPr>
          <w:rFonts w:ascii="幼圆" w:eastAsia="幼圆" w:hAnsi="幼圆" w:cs="幼圆" w:hint="eastAsia"/>
          <w:kern w:val="0"/>
          <w:sz w:val="24"/>
          <w:szCs w:val="20"/>
        </w:rPr>
        <w:t>使用提高薪酬的方法对这部分人来说就没有什么作用。也是因为这样，公司还必须关注工作环境，并将其加入到综合薪酬考量中，以满足职员在不同方面的工作需求</w:t>
      </w:r>
      <w:r>
        <w:rPr>
          <w:rStyle w:val="FootnoteReference"/>
          <w:rFonts w:ascii="幼圆" w:eastAsia="幼圆" w:hAnsi="幼圆" w:cs="幼圆" w:hint="eastAsia"/>
          <w:kern w:val="0"/>
          <w:sz w:val="24"/>
          <w:szCs w:val="20"/>
        </w:rPr>
        <w:t>[</w:t>
      </w:r>
      <w:r>
        <w:rPr>
          <w:rStyle w:val="FootnoteReference"/>
          <w:rFonts w:ascii="幼圆" w:eastAsia="幼圆" w:hAnsi="幼圆" w:cs="幼圆" w:hint="eastAsia"/>
          <w:kern w:val="0"/>
          <w:sz w:val="24"/>
          <w:szCs w:val="20"/>
        </w:rPr>
        <w:footnoteReference w:id="4"/>
      </w:r>
      <w:r>
        <w:rPr>
          <w:rStyle w:val="FootnoteReference"/>
          <w:rFonts w:ascii="幼圆" w:eastAsia="幼圆" w:hAnsi="幼圆" w:cs="幼圆" w:hint="eastAsia"/>
          <w:kern w:val="0"/>
          <w:sz w:val="24"/>
          <w:szCs w:val="20"/>
        </w:rPr>
        <w:t>]</w:t>
      </w:r>
      <w:r>
        <w:rPr>
          <w:rFonts w:ascii="幼圆" w:eastAsia="幼圆" w:hAnsi="幼圆" w:cs="幼圆" w:hint="eastAsia"/>
          <w:color w:val="auto"/>
          <w:kern w:val="0"/>
          <w:sz w:val="24"/>
          <w:lang w:val="en-US" w:eastAsia="zh-CN"/>
        </w:rPr>
        <w:t>(卢天宇 ,高雅琪 ,夏明)</w:t>
      </w:r>
      <w:r>
        <w:rPr>
          <w:rFonts w:ascii="幼圆" w:eastAsia="幼圆" w:hAnsi="幼圆" w:cs="幼圆" w:hint="eastAsia"/>
          <w:kern w:val="0"/>
          <w:sz w:val="24"/>
          <w:szCs w:val="20"/>
        </w:rPr>
        <w:t>。</w:t>
      </w:r>
    </w:p>
    <w:p>
      <w:pPr>
        <w:widowControl/>
        <w:snapToGrid w:val="0"/>
        <w:spacing w:line="360" w:lineRule="auto"/>
        <w:ind w:firstLine="480" w:firstLineChars="200"/>
        <w:jc w:val="left"/>
        <w:outlineLvl w:val="2"/>
        <w:rPr>
          <w:rFonts w:ascii="幼圆" w:eastAsia="幼圆" w:hAnsi="幼圆" w:cs="幼圆" w:hint="eastAsia"/>
          <w:b/>
          <w:bCs/>
          <w:kern w:val="0"/>
          <w:sz w:val="24"/>
          <w:szCs w:val="20"/>
        </w:rPr>
      </w:pPr>
      <w:bookmarkStart w:id="21" w:name="_Toc14528"/>
      <w:bookmarkStart w:id="22" w:name="_Toc11348"/>
      <w:bookmarkStart w:id="23" w:name="_Toc9392"/>
      <w:r>
        <w:rPr>
          <w:rFonts w:ascii="幼圆" w:eastAsia="幼圆" w:hAnsi="幼圆" w:cs="幼圆" w:hint="eastAsia"/>
          <w:b/>
          <w:bCs/>
          <w:kern w:val="0"/>
          <w:sz w:val="24"/>
          <w:szCs w:val="20"/>
        </w:rPr>
        <w:t>3.文献</w:t>
      </w:r>
      <w:bookmarkEnd w:id="20"/>
      <w:r>
        <w:rPr>
          <w:rFonts w:ascii="幼圆" w:eastAsia="幼圆" w:hAnsi="幼圆" w:cs="幼圆" w:hint="eastAsia"/>
          <w:b/>
          <w:bCs/>
          <w:kern w:val="0"/>
          <w:sz w:val="24"/>
          <w:szCs w:val="20"/>
        </w:rPr>
        <w:t>述评</w:t>
      </w:r>
      <w:bookmarkEnd w:id="21"/>
      <w:bookmarkEnd w:id="22"/>
      <w:bookmarkEnd w:id="23"/>
    </w:p>
    <w:p>
      <w:pPr>
        <w:widowControl/>
        <w:snapToGrid w:val="0"/>
        <w:spacing w:line="360" w:lineRule="auto"/>
        <w:ind w:firstLine="480" w:firstLineChars="200"/>
        <w:rPr>
          <w:rFonts w:ascii="幼圆" w:eastAsia="幼圆" w:hAnsi="幼圆" w:cs="幼圆" w:hint="eastAsia"/>
          <w:kern w:val="0"/>
          <w:sz w:val="24"/>
          <w:szCs w:val="20"/>
        </w:rPr>
      </w:pPr>
      <w:bookmarkStart w:id="24" w:name="_Toc539"/>
      <w:r>
        <w:rPr>
          <w:rFonts w:ascii="幼圆" w:eastAsia="幼圆" w:hAnsi="幼圆" w:cs="幼圆" w:hint="eastAsia"/>
          <w:kern w:val="0"/>
          <w:sz w:val="24"/>
          <w:szCs w:val="20"/>
        </w:rPr>
        <w:t>各个研究员从不同方面对薪酬管理体系进行了解析，充分说明了一个公司要想发展得更好，创造更多的收益，就需要对自身的情况进行解读，并根据分析的结果建立动态的劳动报酬管理体系。满足员工的真实需求，激发员工的潜在劳动力，这样的话员工的工作兴趣就更高。在本次调查中，本文主要针对</w:t>
      </w:r>
      <w:r>
        <w:rPr>
          <w:rFonts w:ascii="幼圆" w:eastAsia="幼圆" w:hAnsi="幼圆" w:cs="幼圆" w:hint="eastAsia"/>
          <w:kern w:val="0"/>
          <w:sz w:val="24"/>
          <w:szCs w:val="20"/>
          <w:lang w:eastAsia="zh-CN"/>
        </w:rPr>
        <w:t>惠州极米科技公司</w:t>
      </w:r>
      <w:r>
        <w:rPr>
          <w:rFonts w:ascii="幼圆" w:eastAsia="幼圆" w:hAnsi="幼圆" w:cs="幼圆" w:hint="eastAsia"/>
          <w:kern w:val="0"/>
          <w:sz w:val="24"/>
          <w:szCs w:val="20"/>
        </w:rPr>
        <w:t>的</w:t>
      </w:r>
      <w:r>
        <w:rPr>
          <w:rFonts w:ascii="幼圆" w:eastAsia="幼圆" w:hAnsi="幼圆" w:cs="幼圆" w:hint="eastAsia"/>
          <w:kern w:val="0"/>
          <w:sz w:val="24"/>
          <w:szCs w:val="20"/>
          <w:lang w:eastAsia="zh-CN"/>
        </w:rPr>
        <w:t>薪酬</w:t>
      </w:r>
      <w:r>
        <w:rPr>
          <w:rFonts w:ascii="幼圆" w:eastAsia="幼圆" w:hAnsi="幼圆" w:cs="幼圆" w:hint="eastAsia"/>
          <w:kern w:val="0"/>
          <w:sz w:val="24"/>
          <w:szCs w:val="20"/>
        </w:rPr>
        <w:t>管理进行了详细的分析，在已有的研究理论指导下，找出哪些好的，哪些不好，进行归类处理。</w:t>
      </w:r>
    </w:p>
    <w:p>
      <w:pPr>
        <w:widowControl/>
        <w:snapToGrid w:val="0"/>
        <w:spacing w:line="360" w:lineRule="auto"/>
        <w:ind w:firstLine="480" w:firstLineChars="200"/>
        <w:jc w:val="left"/>
        <w:outlineLvl w:val="1"/>
        <w:rPr>
          <w:rFonts w:ascii="幼圆" w:eastAsia="幼圆" w:hAnsi="幼圆" w:cs="幼圆" w:hint="eastAsia"/>
          <w:b/>
          <w:bCs/>
          <w:kern w:val="0"/>
          <w:sz w:val="24"/>
          <w:szCs w:val="20"/>
        </w:rPr>
      </w:pPr>
      <w:bookmarkStart w:id="25" w:name="_Toc30287"/>
      <w:bookmarkStart w:id="26" w:name="_Toc20688"/>
      <w:bookmarkStart w:id="27" w:name="_Toc28"/>
      <w:r>
        <w:rPr>
          <w:rFonts w:ascii="幼圆" w:eastAsia="幼圆" w:hAnsi="幼圆" w:cs="幼圆" w:hint="eastAsia"/>
          <w:b/>
          <w:bCs/>
          <w:kern w:val="0"/>
          <w:sz w:val="24"/>
          <w:szCs w:val="20"/>
        </w:rPr>
        <w:t>（四）研究思路和方法</w:t>
      </w:r>
      <w:bookmarkEnd w:id="24"/>
      <w:bookmarkEnd w:id="25"/>
      <w:bookmarkEnd w:id="26"/>
      <w:bookmarkEnd w:id="27"/>
    </w:p>
    <w:p>
      <w:pPr>
        <w:widowControl/>
        <w:snapToGrid w:val="0"/>
        <w:spacing w:line="360" w:lineRule="auto"/>
        <w:ind w:firstLine="480" w:firstLineChars="200"/>
        <w:jc w:val="left"/>
        <w:outlineLvl w:val="2"/>
        <w:rPr>
          <w:rFonts w:ascii="幼圆" w:eastAsia="幼圆" w:hAnsi="幼圆" w:cs="幼圆" w:hint="eastAsia"/>
          <w:b/>
          <w:bCs/>
          <w:kern w:val="0"/>
          <w:sz w:val="24"/>
          <w:szCs w:val="20"/>
        </w:rPr>
      </w:pPr>
      <w:bookmarkStart w:id="28" w:name="_Toc25740"/>
      <w:bookmarkStart w:id="29" w:name="_Toc17040"/>
      <w:bookmarkStart w:id="30" w:name="_Toc13246"/>
      <w:bookmarkStart w:id="31" w:name="_Toc8655"/>
      <w:r>
        <w:rPr>
          <w:rFonts w:ascii="幼圆" w:eastAsia="幼圆" w:hAnsi="幼圆" w:cs="幼圆" w:hint="eastAsia"/>
          <w:b/>
          <w:bCs/>
          <w:kern w:val="0"/>
          <w:sz w:val="24"/>
          <w:szCs w:val="20"/>
        </w:rPr>
        <w:t>1.研究思路</w:t>
      </w:r>
      <w:bookmarkEnd w:id="28"/>
      <w:bookmarkEnd w:id="29"/>
      <w:bookmarkEnd w:id="30"/>
      <w:bookmarkEnd w:id="31"/>
    </w:p>
    <w:p>
      <w:pPr>
        <w:snapToGrid w:val="0"/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  <w:sectPr>
          <w:headerReference w:type="default" r:id="rId11"/>
          <w:footerReference w:type="default" r:id="rId12"/>
          <w:type w:val="nextPage"/>
          <w:pgSz w:w="11906" w:h="16838"/>
          <w:pgMar w:top="1418" w:right="1134" w:bottom="1418" w:left="1701" w:header="851" w:footer="992" w:gutter="0"/>
          <w:pgNumType w:start="4"/>
          <w:cols w:space="708"/>
          <w:titlePg w:val="0"/>
          <w:docGrid w:type="linesAndChars" w:linePitch="466" w:charSpace="323"/>
        </w:sectPr>
      </w:pPr>
      <w:bookmarkStart w:id="32" w:name="_Toc8280"/>
      <w:bookmarkStart w:id="33" w:name="_Toc31700"/>
      <w:r>
        <w:rPr>
          <w:rFonts w:ascii="幼圆" w:eastAsia="幼圆" w:hAnsi="幼圆" w:cs="幼圆" w:hint="eastAsia"/>
          <w:sz w:val="24"/>
        </w:rPr>
        <w:t>本文以多视角、多维度对</w:t>
      </w:r>
      <w:r>
        <w:rPr>
          <w:rFonts w:ascii="幼圆" w:eastAsia="幼圆" w:hAnsi="幼圆" w:cs="幼圆" w:hint="eastAsia"/>
          <w:sz w:val="24"/>
          <w:lang w:eastAsia="zh-CN"/>
        </w:rPr>
        <w:t>惠州极米科技公司</w:t>
      </w:r>
      <w:r>
        <w:rPr>
          <w:rFonts w:ascii="幼圆" w:eastAsia="幼圆" w:hAnsi="幼圆" w:cs="幼圆" w:hint="eastAsia"/>
          <w:sz w:val="24"/>
        </w:rPr>
        <w:t>的</w:t>
      </w:r>
      <w:r>
        <w:rPr>
          <w:rFonts w:ascii="幼圆" w:eastAsia="幼圆" w:hAnsi="幼圆" w:cs="幼圆" w:hint="eastAsia"/>
          <w:sz w:val="24"/>
          <w:lang w:eastAsia="zh-CN"/>
        </w:rPr>
        <w:t>薪酬</w:t>
      </w:r>
      <w:r>
        <w:rPr>
          <w:rFonts w:ascii="幼圆" w:eastAsia="幼圆" w:hAnsi="幼圆" w:cs="幼圆" w:hint="eastAsia"/>
          <w:sz w:val="24"/>
        </w:rPr>
        <w:t>管理进行</w:t>
      </w:r>
      <w:r>
        <w:rPr>
          <w:rFonts w:ascii="幼圆" w:eastAsia="幼圆" w:hAnsi="幼圆" w:cs="幼圆" w:hint="eastAsia"/>
          <w:sz w:val="24"/>
          <w:lang w:eastAsia="zh-Hans"/>
        </w:rPr>
        <w:t>了</w:t>
      </w:r>
      <w:r>
        <w:rPr>
          <w:rFonts w:ascii="幼圆" w:eastAsia="幼圆" w:hAnsi="幼圆" w:cs="幼圆" w:hint="eastAsia"/>
          <w:sz w:val="24"/>
        </w:rPr>
        <w:t>深入研究</w:t>
      </w:r>
      <w:r>
        <w:rPr>
          <w:rFonts w:ascii="幼圆" w:eastAsia="幼圆" w:hAnsi="幼圆" w:cs="幼圆" w:hint="eastAsia"/>
          <w:sz w:val="24"/>
          <w:lang w:eastAsia="zh-Hans"/>
        </w:rPr>
        <w:t>和分析，</w:t>
      </w:r>
      <w:r>
        <w:rPr>
          <w:rFonts w:ascii="幼圆" w:eastAsia="幼圆" w:hAnsi="幼圆" w:cs="幼圆" w:hint="eastAsia"/>
          <w:sz w:val="24"/>
        </w:rPr>
        <w:t>我们首先分析了</w:t>
      </w:r>
      <w:r>
        <w:rPr>
          <w:rFonts w:ascii="幼圆" w:eastAsia="幼圆" w:hAnsi="幼圆" w:cs="幼圆" w:hint="eastAsia"/>
          <w:sz w:val="24"/>
          <w:lang w:eastAsia="zh-CN"/>
        </w:rPr>
        <w:t>薪酬</w:t>
      </w:r>
      <w:r>
        <w:rPr>
          <w:rFonts w:ascii="幼圆" w:eastAsia="幼圆" w:hAnsi="幼圆" w:cs="幼圆" w:hint="eastAsia"/>
          <w:sz w:val="24"/>
        </w:rPr>
        <w:t>管理的理论依据；</w:t>
      </w:r>
      <w:r>
        <w:rPr>
          <w:rFonts w:ascii="幼圆" w:eastAsia="幼圆" w:hAnsi="幼圆" w:cs="幼圆" w:hint="eastAsia"/>
          <w:sz w:val="24"/>
          <w:lang w:eastAsia="zh-Hans"/>
        </w:rPr>
        <w:t>再者，</w:t>
      </w:r>
      <w:r>
        <w:rPr>
          <w:rFonts w:ascii="幼圆" w:eastAsia="幼圆" w:hAnsi="幼圆" w:cs="幼圆" w:hint="eastAsia"/>
          <w:sz w:val="24"/>
        </w:rPr>
        <w:t>分析了</w:t>
      </w:r>
      <w:r>
        <w:rPr>
          <w:rFonts w:ascii="幼圆" w:eastAsia="幼圆" w:hAnsi="幼圆" w:cs="幼圆" w:hint="eastAsia"/>
          <w:sz w:val="24"/>
          <w:lang w:eastAsia="zh-CN"/>
        </w:rPr>
        <w:t>惠州极米科技公司</w:t>
      </w:r>
      <w:r>
        <w:rPr>
          <w:rFonts w:ascii="幼圆" w:eastAsia="幼圆" w:hAnsi="幼圆" w:cs="幼圆" w:hint="eastAsia"/>
          <w:sz w:val="24"/>
          <w:lang w:eastAsia="zh-Hans"/>
        </w:rPr>
        <w:t>目前的</w:t>
      </w:r>
      <w:r>
        <w:rPr>
          <w:rFonts w:ascii="幼圆" w:eastAsia="幼圆" w:hAnsi="幼圆" w:cs="幼圆" w:hint="eastAsia"/>
          <w:sz w:val="24"/>
        </w:rPr>
        <w:t>实际发展情况，以及</w:t>
      </w:r>
      <w:r>
        <w:rPr>
          <w:rFonts w:ascii="幼圆" w:eastAsia="幼圆" w:hAnsi="幼圆" w:cs="幼圆" w:hint="eastAsia"/>
          <w:sz w:val="24"/>
          <w:lang w:eastAsia="zh-CN"/>
        </w:rPr>
        <w:t>薪酬</w:t>
      </w:r>
      <w:r>
        <w:rPr>
          <w:rFonts w:ascii="幼圆" w:eastAsia="幼圆" w:hAnsi="幼圆" w:cs="幼圆" w:hint="eastAsia"/>
          <w:sz w:val="24"/>
        </w:rPr>
        <w:t>管理本土化战略的现状；</w:t>
      </w:r>
      <w:r>
        <w:rPr>
          <w:rFonts w:ascii="幼圆" w:eastAsia="幼圆" w:hAnsi="幼圆" w:cs="幼圆" w:hint="eastAsia"/>
          <w:sz w:val="24"/>
          <w:lang w:eastAsia="zh-Hans"/>
        </w:rPr>
        <w:t>然后，在此基础上</w:t>
      </w:r>
      <w:r>
        <w:rPr>
          <w:rFonts w:ascii="幼圆" w:eastAsia="幼圆" w:hAnsi="幼圆" w:cs="幼圆" w:hint="eastAsia"/>
          <w:sz w:val="24"/>
        </w:rPr>
        <w:t>，我们分析了</w:t>
      </w:r>
      <w:r>
        <w:rPr>
          <w:rFonts w:ascii="幼圆" w:eastAsia="幼圆" w:hAnsi="幼圆" w:cs="幼圆" w:hint="eastAsia"/>
          <w:sz w:val="24"/>
          <w:lang w:eastAsia="zh-CN"/>
        </w:rPr>
        <w:t>、极米科技</w:t>
      </w:r>
    </w:p>
    <w:p>
      <w:pPr>
        <w:snapToGrid w:val="0"/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>公司的薪酬管理策略，总结了他们的薪酬管理经验；最后提供了</w:t>
      </w:r>
      <w:r>
        <w:rPr>
          <w:rFonts w:ascii="幼圆" w:eastAsia="幼圆" w:hAnsi="幼圆" w:cs="幼圆" w:hint="eastAsia"/>
          <w:sz w:val="24"/>
          <w:lang w:eastAsia="zh-CN"/>
        </w:rPr>
        <w:t>惠州极米科技公司</w:t>
      </w:r>
      <w:r>
        <w:rPr>
          <w:rFonts w:ascii="幼圆" w:eastAsia="幼圆" w:hAnsi="幼圆" w:cs="幼圆" w:hint="eastAsia"/>
          <w:sz w:val="24"/>
        </w:rPr>
        <w:t>实施薪酬管理的措施和建议</w:t>
      </w:r>
      <w:r>
        <w:rPr>
          <w:rFonts w:ascii="幼圆" w:eastAsia="幼圆" w:hAnsi="幼圆" w:cs="幼圆" w:hint="eastAsia"/>
          <w:sz w:val="24"/>
          <w:lang w:eastAsia="zh-Hans"/>
        </w:rPr>
        <w:t>。</w:t>
      </w:r>
    </w:p>
    <w:p>
      <w:pPr>
        <w:widowControl/>
        <w:snapToGrid w:val="0"/>
        <w:spacing w:line="360" w:lineRule="auto"/>
        <w:ind w:firstLine="480" w:firstLineChars="200"/>
        <w:jc w:val="left"/>
        <w:outlineLvl w:val="2"/>
        <w:rPr>
          <w:rFonts w:ascii="幼圆" w:eastAsia="幼圆" w:hAnsi="幼圆" w:cs="幼圆" w:hint="eastAsia"/>
          <w:b/>
          <w:bCs/>
          <w:kern w:val="0"/>
          <w:sz w:val="24"/>
          <w:szCs w:val="20"/>
        </w:rPr>
      </w:pPr>
      <w:bookmarkStart w:id="34" w:name="_Toc8641"/>
      <w:bookmarkStart w:id="35" w:name="_Toc16252"/>
      <w:r>
        <w:rPr>
          <w:rFonts w:ascii="幼圆" w:eastAsia="幼圆" w:hAnsi="幼圆" w:cs="幼圆" w:hint="eastAsia"/>
          <w:b/>
          <w:bCs/>
          <w:kern w:val="0"/>
          <w:sz w:val="24"/>
          <w:szCs w:val="20"/>
        </w:rPr>
        <w:t>2.本文研究方法</w:t>
      </w:r>
      <w:bookmarkEnd w:id="32"/>
      <w:bookmarkEnd w:id="33"/>
      <w:bookmarkEnd w:id="34"/>
      <w:bookmarkEnd w:id="35"/>
    </w:p>
    <w:p>
      <w:pPr>
        <w:widowControl/>
        <w:snapToGrid w:val="0"/>
        <w:spacing w:line="360" w:lineRule="auto"/>
        <w:ind w:firstLine="480" w:firstLineChars="200"/>
        <w:rPr>
          <w:rFonts w:ascii="幼圆" w:eastAsia="幼圆" w:hAnsi="幼圆" w:cs="幼圆" w:hint="eastAsia"/>
          <w:kern w:val="0"/>
          <w:sz w:val="24"/>
        </w:rPr>
      </w:pPr>
      <w:r>
        <w:rPr>
          <w:rFonts w:ascii="幼圆" w:eastAsia="幼圆" w:hAnsi="幼圆" w:cs="幼圆" w:hint="eastAsia"/>
          <w:kern w:val="0"/>
          <w:sz w:val="24"/>
          <w:szCs w:val="20"/>
        </w:rPr>
        <w:t>（1）文献研究法：细致研读我国和国外有关人力资源管理的最新文献和杂志，掌握理论研究动态、借鉴研究思路、经验，总结收集到的信息，为进一步研究奠定理论基础。</w:t>
      </w:r>
    </w:p>
    <w:p>
      <w:pPr>
        <w:widowControl/>
        <w:snapToGrid w:val="0"/>
        <w:spacing w:line="360" w:lineRule="auto"/>
        <w:ind w:firstLine="480" w:firstLineChars="200"/>
        <w:rPr>
          <w:rFonts w:ascii="幼圆" w:eastAsia="幼圆" w:hAnsi="幼圆" w:cs="幼圆" w:hint="eastAsia"/>
          <w:kern w:val="0"/>
          <w:sz w:val="24"/>
          <w:szCs w:val="20"/>
        </w:rPr>
      </w:pPr>
      <w:r>
        <w:rPr>
          <w:rFonts w:ascii="幼圆" w:eastAsia="幼圆" w:hAnsi="幼圆" w:cs="幼圆" w:hint="eastAsia"/>
          <w:kern w:val="0"/>
          <w:sz w:val="24"/>
        </w:rPr>
        <w:t>（2）依据</w:t>
      </w:r>
      <w:r>
        <w:rPr>
          <w:rFonts w:ascii="幼圆" w:eastAsia="幼圆" w:hAnsi="幼圆" w:cs="幼圆" w:hint="eastAsia"/>
          <w:kern w:val="0"/>
          <w:sz w:val="24"/>
          <w:lang w:eastAsia="zh-CN"/>
        </w:rPr>
        <w:t>惠州极米科技公司</w:t>
      </w:r>
      <w:r>
        <w:rPr>
          <w:rFonts w:ascii="幼圆" w:eastAsia="幼圆" w:hAnsi="幼圆" w:cs="幼圆" w:hint="eastAsia"/>
          <w:kern w:val="0"/>
          <w:sz w:val="24"/>
        </w:rPr>
        <w:t>人力资源现状，</w:t>
      </w:r>
      <w:r>
        <w:rPr>
          <w:rFonts w:ascii="幼圆" w:eastAsia="幼圆" w:hAnsi="幼圆" w:cs="幼圆" w:hint="eastAsia"/>
          <w:sz w:val="24"/>
        </w:rPr>
        <w:t>询问公司人力资源管理方面的问题，了解员工对公司内部人力资源管理的认识，根据询问结果分析</w:t>
      </w:r>
      <w:r>
        <w:rPr>
          <w:rFonts w:ascii="幼圆" w:eastAsia="幼圆" w:hAnsi="幼圆" w:cs="幼圆" w:hint="eastAsia"/>
          <w:kern w:val="0"/>
          <w:sz w:val="24"/>
          <w:szCs w:val="20"/>
          <w:lang w:eastAsia="zh-CN"/>
        </w:rPr>
        <w:t>惠州极米科技</w:t>
      </w:r>
      <w:r>
        <w:rPr>
          <w:rFonts w:ascii="幼圆" w:eastAsia="幼圆" w:hAnsi="幼圆" w:cs="幼圆" w:hint="eastAsia"/>
          <w:sz w:val="24"/>
        </w:rPr>
        <w:t>的人力资源管理问题。</w:t>
      </w:r>
      <w:r>
        <w:rPr>
          <w:rFonts w:ascii="幼圆" w:eastAsia="幼圆" w:hAnsi="幼圆" w:cs="幼圆" w:hint="eastAsia"/>
          <w:kern w:val="0"/>
          <w:sz w:val="24"/>
          <w:lang w:eastAsia="zh-Hans"/>
        </w:rPr>
        <w:t>为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后面的研究提供了重要的信息</w:t>
      </w:r>
      <w:r>
        <w:rPr>
          <w:rFonts w:ascii="幼圆" w:eastAsia="幼圆" w:hAnsi="幼圆" w:cs="幼圆" w:hint="eastAsia"/>
          <w:kern w:val="0"/>
          <w:sz w:val="24"/>
          <w:szCs w:val="20"/>
        </w:rPr>
        <w:t>。</w:t>
      </w:r>
    </w:p>
    <w:p>
      <w:pPr>
        <w:widowControl/>
        <w:snapToGrid w:val="0"/>
        <w:spacing w:before="233" w:beforeLines="50" w:after="233" w:afterLines="50" w:line="360" w:lineRule="auto"/>
        <w:jc w:val="center"/>
        <w:outlineLvl w:val="0"/>
        <w:rPr>
          <w:rFonts w:ascii="幼圆" w:eastAsia="幼圆" w:hAnsi="幼圆" w:cs="幼圆" w:hint="eastAsia"/>
          <w:b/>
          <w:kern w:val="0"/>
          <w:sz w:val="28"/>
          <w:szCs w:val="28"/>
        </w:rPr>
      </w:pPr>
      <w:bookmarkStart w:id="36" w:name="_Toc15235"/>
      <w:bookmarkStart w:id="37" w:name="_Toc11811"/>
      <w:bookmarkStart w:id="38" w:name="_Toc24540"/>
      <w:r>
        <w:rPr>
          <w:rFonts w:ascii="幼圆" w:eastAsia="幼圆" w:hAnsi="幼圆" w:cs="幼圆" w:hint="eastAsia"/>
          <w:b/>
          <w:kern w:val="0"/>
          <w:sz w:val="28"/>
          <w:szCs w:val="28"/>
        </w:rPr>
        <w:t>二、薪酬管理相关概念</w:t>
      </w:r>
      <w:bookmarkEnd w:id="36"/>
      <w:bookmarkEnd w:id="37"/>
      <w:r>
        <w:rPr>
          <w:rFonts w:ascii="幼圆" w:eastAsia="幼圆" w:hAnsi="幼圆" w:cs="幼圆" w:hint="eastAsia"/>
          <w:b/>
          <w:kern w:val="0"/>
          <w:sz w:val="28"/>
          <w:szCs w:val="28"/>
          <w:lang w:eastAsia="zh-CN"/>
        </w:rPr>
        <w:t>及理论</w:t>
      </w:r>
      <w:bookmarkEnd w:id="38"/>
    </w:p>
    <w:p>
      <w:pPr>
        <w:widowControl/>
        <w:snapToGrid w:val="0"/>
        <w:spacing w:line="360" w:lineRule="auto"/>
        <w:ind w:firstLine="480" w:firstLineChars="200"/>
        <w:jc w:val="left"/>
        <w:outlineLvl w:val="1"/>
        <w:rPr>
          <w:rFonts w:ascii="幼圆" w:eastAsia="幼圆" w:hAnsi="幼圆" w:cs="幼圆" w:hint="eastAsia"/>
          <w:b/>
          <w:bCs/>
          <w:kern w:val="0"/>
          <w:sz w:val="24"/>
          <w:szCs w:val="20"/>
        </w:rPr>
      </w:pPr>
      <w:bookmarkStart w:id="39" w:name="_Toc19765"/>
      <w:bookmarkStart w:id="40" w:name="_Toc7411"/>
      <w:bookmarkStart w:id="41" w:name="_Toc17590"/>
      <w:bookmarkStart w:id="42" w:name="_Toc2635"/>
      <w:r>
        <w:rPr>
          <w:rFonts w:ascii="幼圆" w:eastAsia="幼圆" w:hAnsi="幼圆" w:cs="幼圆" w:hint="eastAsia"/>
          <w:b/>
          <w:bCs/>
          <w:kern w:val="0"/>
          <w:sz w:val="24"/>
          <w:szCs w:val="20"/>
        </w:rPr>
        <w:t>（一）薪酬含义分析</w:t>
      </w:r>
      <w:bookmarkEnd w:id="39"/>
      <w:bookmarkEnd w:id="40"/>
      <w:bookmarkEnd w:id="41"/>
      <w:bookmarkEnd w:id="42"/>
    </w:p>
    <w:p>
      <w:pPr>
        <w:widowControl/>
        <w:snapToGrid w:val="0"/>
        <w:spacing w:line="360" w:lineRule="auto"/>
        <w:ind w:firstLine="480" w:firstLineChars="200"/>
        <w:rPr>
          <w:rFonts w:ascii="幼圆" w:eastAsia="幼圆" w:hAnsi="幼圆" w:cs="幼圆" w:hint="eastAsia"/>
          <w:kern w:val="0"/>
          <w:sz w:val="24"/>
          <w:szCs w:val="20"/>
        </w:rPr>
      </w:pPr>
      <w:r>
        <w:rPr>
          <w:rFonts w:ascii="幼圆" w:eastAsia="幼圆" w:hAnsi="幼圆" w:cs="幼圆" w:hint="eastAsia"/>
          <w:kern w:val="0"/>
          <w:sz w:val="24"/>
          <w:szCs w:val="20"/>
          <w:lang w:eastAsia="zh-CN"/>
        </w:rPr>
        <w:t>薪酬</w:t>
      </w:r>
      <w:r>
        <w:rPr>
          <w:rFonts w:ascii="幼圆" w:eastAsia="幼圆" w:hAnsi="幼圆" w:cs="幼圆" w:hint="eastAsia"/>
          <w:kern w:val="0"/>
          <w:sz w:val="24"/>
          <w:szCs w:val="20"/>
        </w:rPr>
        <w:t>主要是劳动者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通过付出劳动所</w:t>
      </w:r>
      <w:r>
        <w:rPr>
          <w:rFonts w:ascii="幼圆" w:eastAsia="幼圆" w:hAnsi="幼圆" w:cs="幼圆" w:hint="eastAsia"/>
          <w:kern w:val="0"/>
          <w:sz w:val="24"/>
          <w:szCs w:val="20"/>
        </w:rPr>
        <w:t>获得的收入和报酬。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薪水</w:t>
      </w:r>
      <w:r>
        <w:rPr>
          <w:rFonts w:ascii="幼圆" w:eastAsia="幼圆" w:hAnsi="幼圆" w:cs="幼圆" w:hint="eastAsia"/>
          <w:kern w:val="0"/>
          <w:sz w:val="24"/>
          <w:szCs w:val="20"/>
        </w:rPr>
        <w:t>是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劳动者的主要关注点</w:t>
      </w:r>
      <w:r>
        <w:rPr>
          <w:rFonts w:ascii="幼圆" w:eastAsia="幼圆" w:hAnsi="幼圆" w:cs="幼圆" w:hint="eastAsia"/>
          <w:kern w:val="0"/>
          <w:sz w:val="24"/>
          <w:szCs w:val="20"/>
        </w:rPr>
        <w:t>，直接影响他们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自己的</w:t>
      </w:r>
      <w:r>
        <w:rPr>
          <w:rFonts w:ascii="幼圆" w:eastAsia="幼圆" w:hAnsi="幼圆" w:cs="幼圆" w:hint="eastAsia"/>
          <w:kern w:val="0"/>
          <w:sz w:val="24"/>
          <w:szCs w:val="20"/>
        </w:rPr>
        <w:t>重要利益，并决定他们对公司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和</w:t>
      </w:r>
      <w:r>
        <w:rPr>
          <w:rFonts w:ascii="幼圆" w:eastAsia="幼圆" w:hAnsi="幼圆" w:cs="幼圆" w:hint="eastAsia"/>
          <w:kern w:val="0"/>
          <w:sz w:val="24"/>
          <w:szCs w:val="20"/>
        </w:rPr>
        <w:t>工作的态度和热情。</w:t>
      </w:r>
      <w:r>
        <w:rPr>
          <w:rFonts w:ascii="幼圆" w:eastAsia="幼圆" w:hAnsi="幼圆" w:cs="幼圆" w:hint="eastAsia"/>
          <w:kern w:val="0"/>
          <w:sz w:val="24"/>
          <w:szCs w:val="20"/>
          <w:lang w:eastAsia="zh-CN"/>
        </w:rPr>
        <w:t>薪酬</w:t>
      </w:r>
      <w:r>
        <w:rPr>
          <w:rFonts w:ascii="幼圆" w:eastAsia="幼圆" w:hAnsi="幼圆" w:cs="幼圆" w:hint="eastAsia"/>
          <w:kern w:val="0"/>
          <w:sz w:val="24"/>
          <w:szCs w:val="20"/>
        </w:rPr>
        <w:t>是公司根据员工的贡献支付给员工的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劳动报酬</w:t>
      </w:r>
      <w:r>
        <w:rPr>
          <w:rFonts w:ascii="幼圆" w:eastAsia="幼圆" w:hAnsi="幼圆" w:cs="幼圆" w:hint="eastAsia"/>
          <w:kern w:val="0"/>
          <w:sz w:val="24"/>
          <w:szCs w:val="20"/>
        </w:rPr>
        <w:t>。企业可以借助薪酬来激发员工的工作行为，以此来为企业带来更多的收入和利润，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向着</w:t>
      </w:r>
      <w:r>
        <w:rPr>
          <w:rFonts w:ascii="幼圆" w:eastAsia="幼圆" w:hAnsi="幼圆" w:cs="幼圆" w:hint="eastAsia"/>
          <w:kern w:val="0"/>
          <w:sz w:val="24"/>
          <w:szCs w:val="20"/>
        </w:rPr>
        <w:t>企业规划的目标大步前进</w:t>
      </w:r>
      <w:r>
        <w:rPr>
          <w:rStyle w:val="FootnoteReference"/>
          <w:rFonts w:ascii="幼圆" w:eastAsia="幼圆" w:hAnsi="幼圆" w:cs="幼圆" w:hint="eastAsia"/>
          <w:kern w:val="0"/>
          <w:sz w:val="24"/>
          <w:szCs w:val="20"/>
        </w:rPr>
        <w:t>[</w:t>
      </w:r>
      <w:r>
        <w:rPr>
          <w:rStyle w:val="FootnoteReference"/>
          <w:rFonts w:ascii="幼圆" w:eastAsia="幼圆" w:hAnsi="幼圆" w:cs="幼圆" w:hint="eastAsia"/>
          <w:kern w:val="0"/>
          <w:sz w:val="24"/>
          <w:szCs w:val="20"/>
        </w:rPr>
        <w:footnoteReference w:id="5"/>
      </w:r>
      <w:r>
        <w:rPr>
          <w:rStyle w:val="FootnoteReference"/>
          <w:rFonts w:ascii="幼圆" w:eastAsia="幼圆" w:hAnsi="幼圆" w:cs="幼圆" w:hint="eastAsia"/>
          <w:kern w:val="0"/>
          <w:sz w:val="24"/>
          <w:szCs w:val="20"/>
        </w:rPr>
        <w:t>]</w:t>
      </w:r>
      <w:r>
        <w:rPr>
          <w:rFonts w:ascii="幼圆" w:eastAsia="幼圆" w:hAnsi="幼圆" w:cs="幼圆" w:hint="eastAsia"/>
          <w:kern w:val="0"/>
          <w:sz w:val="24"/>
          <w:szCs w:val="20"/>
        </w:rPr>
        <w:t>。</w:t>
      </w:r>
    </w:p>
    <w:p>
      <w:pPr>
        <w:widowControl/>
        <w:snapToGrid w:val="0"/>
        <w:spacing w:line="360" w:lineRule="auto"/>
        <w:ind w:firstLine="480" w:firstLineChars="200"/>
        <w:rPr>
          <w:rFonts w:ascii="幼圆" w:eastAsia="幼圆" w:hAnsi="幼圆" w:cs="幼圆" w:hint="eastAsia"/>
          <w:kern w:val="0"/>
          <w:sz w:val="24"/>
          <w:szCs w:val="20"/>
        </w:rPr>
      </w:pPr>
      <w:r>
        <w:rPr>
          <w:rFonts w:ascii="幼圆" w:eastAsia="幼圆" w:hAnsi="幼圆" w:cs="幼圆" w:hint="eastAsia"/>
          <w:kern w:val="0"/>
          <w:sz w:val="24"/>
          <w:szCs w:val="20"/>
        </w:rPr>
        <w:t>薪酬一般来说可以分为两个主要部分</w:t>
      </w:r>
      <w:r>
        <w:rPr>
          <w:rFonts w:ascii="幼圆" w:eastAsia="幼圆" w:hAnsi="幼圆" w:cs="幼圆" w:hint="eastAsia"/>
          <w:color w:val="auto"/>
          <w:kern w:val="0"/>
          <w:sz w:val="24"/>
          <w:lang w:val="en-US" w:eastAsia="zh-CN"/>
        </w:rPr>
        <w:t>(崔欣怡 ,任子轩, 陆佳琳)</w:t>
      </w:r>
      <w:r>
        <w:rPr>
          <w:rFonts w:ascii="幼圆" w:eastAsia="幼圆" w:hAnsi="幼圆" w:cs="幼圆" w:hint="eastAsia"/>
          <w:kern w:val="0"/>
          <w:sz w:val="24"/>
          <w:szCs w:val="20"/>
        </w:rPr>
        <w:t>：</w:t>
      </w:r>
    </w:p>
    <w:p>
      <w:pPr>
        <w:widowControl/>
        <w:snapToGrid w:val="0"/>
        <w:spacing w:line="360" w:lineRule="auto"/>
        <w:ind w:firstLine="480" w:firstLineChars="200"/>
        <w:rPr>
          <w:rFonts w:ascii="幼圆" w:eastAsia="幼圆" w:hAnsi="幼圆" w:cs="幼圆" w:hint="eastAsia"/>
          <w:kern w:val="0"/>
          <w:sz w:val="24"/>
          <w:szCs w:val="20"/>
        </w:rPr>
      </w:pPr>
      <w:r>
        <w:rPr>
          <w:rFonts w:ascii="幼圆" w:eastAsia="幼圆" w:hAnsi="幼圆" w:cs="幼圆" w:hint="eastAsia"/>
          <w:kern w:val="0"/>
          <w:sz w:val="24"/>
          <w:szCs w:val="20"/>
        </w:rPr>
        <w:t>首先，</w:t>
      </w:r>
      <w:r>
        <w:rPr>
          <w:rFonts w:ascii="幼圆" w:eastAsia="幼圆" w:hAnsi="幼圆" w:cs="幼圆" w:hint="eastAsia"/>
          <w:sz w:val="24"/>
        </w:rPr>
        <w:t>从狭义上讲，</w:t>
      </w:r>
      <w:r>
        <w:rPr>
          <w:rFonts w:ascii="幼圆" w:eastAsia="幼圆" w:hAnsi="幼圆" w:cs="幼圆" w:hint="eastAsia"/>
          <w:sz w:val="24"/>
          <w:lang w:eastAsia="zh-CN"/>
        </w:rPr>
        <w:t>薪酬</w:t>
      </w:r>
      <w:r>
        <w:rPr>
          <w:rFonts w:ascii="幼圆" w:eastAsia="幼圆" w:hAnsi="幼圆" w:cs="幼圆" w:hint="eastAsia"/>
          <w:sz w:val="24"/>
        </w:rPr>
        <w:t>一般是指单位支付给提供服务的员工的各种形式的福利，即支付给员工的薪酬。其次，从长远来看，奖励主要有两种：</w:t>
      </w:r>
      <w:r>
        <w:rPr>
          <w:rFonts w:ascii="幼圆" w:eastAsia="幼圆" w:hAnsi="幼圆" w:cs="幼圆" w:hint="eastAsia"/>
          <w:kern w:val="0"/>
          <w:sz w:val="24"/>
          <w:szCs w:val="20"/>
        </w:rPr>
        <w:t>一为货币类型，二为非货币类型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也称为非财务性薪酬</w:t>
      </w:r>
      <w:r>
        <w:rPr>
          <w:rFonts w:ascii="幼圆" w:eastAsia="幼圆" w:hAnsi="幼圆" w:cs="幼圆" w:hint="eastAsia"/>
          <w:kern w:val="0"/>
          <w:sz w:val="24"/>
          <w:szCs w:val="20"/>
        </w:rPr>
        <w:t>。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货币</w:t>
      </w:r>
      <w:r>
        <w:rPr>
          <w:rFonts w:ascii="幼圆" w:eastAsia="幼圆" w:hAnsi="幼圆" w:cs="幼圆" w:hint="eastAsia"/>
          <w:kern w:val="0"/>
          <w:sz w:val="24"/>
          <w:szCs w:val="20"/>
        </w:rPr>
        <w:t>薪酬是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指用人单位按照一定的货币标准给员工支付的报酬，非财务性薪酬是</w:t>
      </w:r>
      <w:r>
        <w:rPr>
          <w:rFonts w:ascii="幼圆" w:eastAsia="幼圆" w:hAnsi="幼圆" w:cs="幼圆" w:hint="eastAsia"/>
          <w:kern w:val="0"/>
          <w:sz w:val="24"/>
          <w:szCs w:val="20"/>
        </w:rPr>
        <w:t>指公司以服务或实物服务的形式向员工支付的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奖励</w:t>
      </w:r>
      <w:r>
        <w:rPr>
          <w:rFonts w:ascii="幼圆" w:eastAsia="幼圆" w:hAnsi="幼圆" w:cs="幼圆" w:hint="eastAsia"/>
          <w:kern w:val="0"/>
          <w:sz w:val="24"/>
          <w:szCs w:val="20"/>
        </w:rPr>
        <w:t>，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包括</w:t>
      </w:r>
      <w:r>
        <w:rPr>
          <w:rFonts w:ascii="幼圆" w:eastAsia="幼圆" w:hAnsi="幼圆" w:cs="幼圆" w:hint="eastAsia"/>
          <w:kern w:val="0"/>
          <w:sz w:val="24"/>
          <w:szCs w:val="20"/>
        </w:rPr>
        <w:t>员工福利和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其他</w:t>
      </w:r>
      <w:r>
        <w:rPr>
          <w:rFonts w:ascii="幼圆" w:eastAsia="幼圆" w:hAnsi="幼圆" w:cs="幼圆" w:hint="eastAsia"/>
          <w:kern w:val="0"/>
          <w:sz w:val="24"/>
          <w:szCs w:val="20"/>
        </w:rPr>
        <w:t>津贴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等</w:t>
      </w:r>
      <w:r>
        <w:rPr>
          <w:rStyle w:val="FootnoteReference"/>
          <w:rFonts w:ascii="幼圆" w:eastAsia="幼圆" w:hAnsi="幼圆" w:cs="幼圆" w:hint="eastAsia"/>
          <w:kern w:val="0"/>
          <w:sz w:val="24"/>
          <w:szCs w:val="20"/>
        </w:rPr>
        <w:t>[</w:t>
      </w:r>
      <w:r>
        <w:rPr>
          <w:rStyle w:val="FootnoteReference"/>
          <w:rFonts w:ascii="幼圆" w:eastAsia="幼圆" w:hAnsi="幼圆" w:cs="幼圆" w:hint="eastAsia"/>
          <w:kern w:val="0"/>
          <w:sz w:val="24"/>
          <w:szCs w:val="20"/>
        </w:rPr>
        <w:footnoteReference w:id="6"/>
      </w:r>
      <w:r>
        <w:rPr>
          <w:rStyle w:val="FootnoteReference"/>
          <w:rFonts w:ascii="幼圆" w:eastAsia="幼圆" w:hAnsi="幼圆" w:cs="幼圆" w:hint="eastAsia"/>
          <w:kern w:val="0"/>
          <w:sz w:val="24"/>
          <w:szCs w:val="20"/>
        </w:rPr>
        <w:t>]</w:t>
      </w:r>
      <w:r>
        <w:rPr>
          <w:rFonts w:ascii="幼圆" w:eastAsia="幼圆" w:hAnsi="幼圆" w:cs="幼圆" w:hint="eastAsia"/>
          <w:kern w:val="0"/>
          <w:sz w:val="24"/>
          <w:szCs w:val="20"/>
        </w:rPr>
        <w:t>。</w:t>
      </w:r>
    </w:p>
    <w:p>
      <w:pPr>
        <w:widowControl/>
        <w:snapToGrid w:val="0"/>
        <w:spacing w:line="360" w:lineRule="auto"/>
        <w:ind w:firstLine="480" w:firstLineChars="200"/>
        <w:rPr>
          <w:rFonts w:ascii="幼圆" w:eastAsia="幼圆" w:hAnsi="幼圆" w:cs="幼圆" w:hint="eastAsia"/>
          <w:kern w:val="0"/>
          <w:sz w:val="24"/>
          <w:szCs w:val="20"/>
        </w:rPr>
      </w:pPr>
      <w:r>
        <w:rPr>
          <w:rFonts w:ascii="幼圆" w:eastAsia="幼圆" w:hAnsi="幼圆" w:cs="幼圆" w:hint="eastAsia"/>
          <w:kern w:val="0"/>
          <w:sz w:val="24"/>
          <w:szCs w:val="20"/>
        </w:rPr>
        <w:t>笔者在论文中提到的</w:t>
      </w:r>
      <w:r>
        <w:rPr>
          <w:rFonts w:ascii="幼圆" w:eastAsia="幼圆" w:hAnsi="幼圆" w:cs="幼圆" w:hint="eastAsia"/>
          <w:kern w:val="0"/>
          <w:sz w:val="24"/>
          <w:szCs w:val="20"/>
          <w:lang w:eastAsia="zh-CN"/>
        </w:rPr>
        <w:t>薪酬</w:t>
      </w:r>
      <w:r>
        <w:rPr>
          <w:rFonts w:ascii="幼圆" w:eastAsia="幼圆" w:hAnsi="幼圆" w:cs="幼圆" w:hint="eastAsia"/>
          <w:kern w:val="0"/>
          <w:sz w:val="24"/>
          <w:szCs w:val="20"/>
        </w:rPr>
        <w:t>是从广义角度上来确定，涉及到以下部分：</w:t>
      </w:r>
    </w:p>
    <w:p>
      <w:pPr>
        <w:widowControl/>
        <w:snapToGrid w:val="0"/>
        <w:spacing w:line="360" w:lineRule="auto"/>
        <w:ind w:firstLine="480" w:firstLineChars="200"/>
        <w:rPr>
          <w:rFonts w:ascii="幼圆" w:eastAsia="幼圆" w:hAnsi="幼圆" w:cs="幼圆" w:hint="eastAsia"/>
          <w:kern w:val="0"/>
          <w:sz w:val="24"/>
          <w:szCs w:val="20"/>
        </w:rPr>
      </w:pPr>
      <w:r>
        <w:rPr>
          <w:rFonts w:ascii="幼圆" w:eastAsia="幼圆" w:hAnsi="幼圆" w:cs="幼圆" w:hint="eastAsia"/>
          <w:kern w:val="0"/>
          <w:sz w:val="24"/>
          <w:szCs w:val="20"/>
        </w:rPr>
        <w:t>（1）基本薪酬。所谓的基本薪酬是员工在达成常规工作任务所获得的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一定</w:t>
      </w:r>
      <w:r>
        <w:rPr>
          <w:rFonts w:ascii="幼圆" w:eastAsia="幼圆" w:hAnsi="幼圆" w:cs="幼圆" w:hint="eastAsia"/>
          <w:kern w:val="0"/>
          <w:sz w:val="24"/>
          <w:szCs w:val="20"/>
        </w:rPr>
        <w:t>数值的货币，在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现实</w:t>
      </w:r>
      <w:r>
        <w:rPr>
          <w:rFonts w:ascii="幼圆" w:eastAsia="幼圆" w:hAnsi="幼圆" w:cs="幼圆" w:hint="eastAsia"/>
          <w:kern w:val="0"/>
          <w:sz w:val="24"/>
          <w:szCs w:val="20"/>
        </w:rPr>
        <w:t>中，一些公司将基本</w:t>
      </w:r>
      <w:r>
        <w:rPr>
          <w:rFonts w:ascii="幼圆" w:eastAsia="幼圆" w:hAnsi="幼圆" w:cs="幼圆" w:hint="eastAsia"/>
          <w:kern w:val="0"/>
          <w:sz w:val="24"/>
          <w:szCs w:val="20"/>
          <w:lang w:eastAsia="zh-CN"/>
        </w:rPr>
        <w:t>薪酬</w:t>
      </w:r>
      <w:r>
        <w:rPr>
          <w:rFonts w:ascii="幼圆" w:eastAsia="幼圆" w:hAnsi="幼圆" w:cs="幼圆" w:hint="eastAsia"/>
          <w:kern w:val="0"/>
          <w:sz w:val="24"/>
          <w:szCs w:val="20"/>
        </w:rPr>
        <w:t>直接当做岗位</w:t>
      </w:r>
      <w:r>
        <w:rPr>
          <w:rFonts w:ascii="幼圆" w:eastAsia="幼圆" w:hAnsi="幼圆" w:cs="幼圆" w:hint="eastAsia"/>
          <w:kern w:val="0"/>
          <w:sz w:val="24"/>
          <w:szCs w:val="20"/>
          <w:lang w:eastAsia="zh-CN"/>
        </w:rPr>
        <w:t>薪酬</w:t>
      </w:r>
      <w:r>
        <w:rPr>
          <w:rFonts w:ascii="幼圆" w:eastAsia="幼圆" w:hAnsi="幼圆" w:cs="幼圆" w:hint="eastAsia"/>
          <w:kern w:val="0"/>
          <w:sz w:val="24"/>
          <w:szCs w:val="20"/>
        </w:rPr>
        <w:t>。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各个</w:t>
      </w:r>
      <w:r>
        <w:rPr>
          <w:rFonts w:ascii="幼圆" w:eastAsia="幼圆" w:hAnsi="幼圆" w:cs="幼圆" w:hint="eastAsia"/>
          <w:kern w:val="0"/>
          <w:sz w:val="24"/>
          <w:szCs w:val="20"/>
        </w:rPr>
        <w:t>公司的基本</w:t>
      </w:r>
      <w:r>
        <w:rPr>
          <w:rFonts w:ascii="幼圆" w:eastAsia="幼圆" w:hAnsi="幼圆" w:cs="幼圆" w:hint="eastAsia"/>
          <w:kern w:val="0"/>
          <w:sz w:val="24"/>
          <w:szCs w:val="20"/>
          <w:lang w:eastAsia="zh-CN"/>
        </w:rPr>
        <w:t>薪酬</w:t>
      </w:r>
      <w:r>
        <w:rPr>
          <w:rFonts w:ascii="幼圆" w:eastAsia="幼圆" w:hAnsi="幼圆" w:cs="幼圆" w:hint="eastAsia"/>
          <w:kern w:val="0"/>
          <w:sz w:val="24"/>
          <w:szCs w:val="20"/>
        </w:rPr>
        <w:t>标准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都是</w:t>
      </w:r>
      <w:r>
        <w:rPr>
          <w:rFonts w:ascii="幼圆" w:eastAsia="幼圆" w:hAnsi="幼圆" w:cs="幼圆" w:hint="eastAsia"/>
          <w:kern w:val="0"/>
          <w:sz w:val="24"/>
          <w:szCs w:val="20"/>
        </w:rPr>
        <w:t>不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一样的</w:t>
      </w:r>
      <w:r>
        <w:rPr>
          <w:rFonts w:ascii="幼圆" w:eastAsia="幼圆" w:hAnsi="幼圆" w:cs="幼圆" w:hint="eastAsia"/>
          <w:kern w:val="0"/>
          <w:sz w:val="24"/>
          <w:szCs w:val="20"/>
        </w:rPr>
        <w:t>，与公司自身的经营状态息息相关，也受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公司</w:t>
      </w:r>
      <w:r>
        <w:rPr>
          <w:rFonts w:ascii="幼圆" w:eastAsia="幼圆" w:hAnsi="幼圆" w:cs="幼圆" w:hint="eastAsia"/>
          <w:kern w:val="0"/>
          <w:sz w:val="24"/>
          <w:szCs w:val="20"/>
        </w:rPr>
        <w:t>内部</w:t>
      </w:r>
      <w:r>
        <w:rPr>
          <w:rFonts w:ascii="幼圆" w:eastAsia="幼圆" w:hAnsi="幼圆" w:cs="幼圆" w:hint="eastAsia"/>
          <w:kern w:val="0"/>
          <w:sz w:val="24"/>
          <w:szCs w:val="20"/>
          <w:lang w:eastAsia="zh-Hans"/>
        </w:rPr>
        <w:t>职位高低</w:t>
      </w:r>
      <w:r>
        <w:rPr>
          <w:rFonts w:ascii="幼圆" w:eastAsia="幼圆" w:hAnsi="幼圆" w:cs="幼圆" w:hint="eastAsia"/>
          <w:kern w:val="0"/>
          <w:sz w:val="24"/>
          <w:szCs w:val="20"/>
        </w:rPr>
        <w:t>的影响。正常情况下，外部因素一般不会直接改变基本</w:t>
      </w:r>
      <w:r>
        <w:rPr>
          <w:rFonts w:ascii="幼圆" w:eastAsia="幼圆" w:hAnsi="幼圆" w:cs="幼圆" w:hint="eastAsia"/>
          <w:kern w:val="0"/>
          <w:sz w:val="24"/>
          <w:szCs w:val="20"/>
          <w:lang w:eastAsia="zh-CN"/>
        </w:rPr>
        <w:t>薪酬</w:t>
      </w:r>
      <w:r>
        <w:rPr>
          <w:rFonts w:ascii="幼圆" w:eastAsia="幼圆" w:hAnsi="幼圆" w:cs="幼圆" w:hint="eastAsia"/>
          <w:kern w:val="0"/>
          <w:sz w:val="24"/>
          <w:szCs w:val="20"/>
        </w:rPr>
        <w:t>制度</w:t>
      </w:r>
      <w:r>
        <w:rPr>
          <w:rFonts w:ascii="幼圆" w:eastAsia="幼圆" w:hAnsi="幼圆" w:cs="幼圆" w:hint="eastAsia"/>
          <w:color w:val="auto"/>
          <w:kern w:val="0"/>
          <w:sz w:val="24"/>
          <w:lang w:val="en-US" w:eastAsia="zh-CN"/>
        </w:rPr>
        <w:t>(姚浩轩, 石婉,2020)</w:t>
      </w:r>
      <w:r>
        <w:rPr>
          <w:rFonts w:ascii="幼圆" w:eastAsia="幼圆" w:hAnsi="幼圆" w:cs="幼圆" w:hint="eastAsia"/>
          <w:kern w:val="0"/>
          <w:sz w:val="24"/>
          <w:szCs w:val="20"/>
        </w:rPr>
        <w:t>。</w:t>
      </w:r>
      <w:r>
        <w:rPr>
          <w:rFonts w:ascii="幼圆" w:eastAsia="幼圆" w:hAnsi="幼圆" w:cs="幼圆" w:hint="eastAsia"/>
          <w:kern w:val="0"/>
          <w:sz w:val="24"/>
          <w:szCs w:val="20"/>
        </w:rPr>
        <w:br/>
      </w:r>
      <w:r>
        <w:rPr>
          <w:rFonts w:ascii="幼圆" w:eastAsia="幼圆" w:hAnsi="幼圆" w:cs="幼圆" w:hint="eastAsia"/>
          <w:kern w:val="0"/>
          <w:sz w:val="24"/>
          <w:szCs w:val="2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https://d.book118.com/786132104104010101</w:t>
        </w:r>
      </w:hyperlink>
    </w:p>
    <w:p>
      <w:pPr>
        <w:widowControl/>
        <w:snapToGrid w:val="0"/>
        <w:spacing w:line="360" w:lineRule="auto"/>
        <w:ind w:firstLine="480" w:firstLineChars="200"/>
        <w:rPr>
          <w:rFonts w:ascii="幼圆" w:eastAsia="幼圆" w:hAnsi="幼圆" w:cs="幼圆" w:hint="eastAsia"/>
          <w:kern w:val="0"/>
          <w:sz w:val="24"/>
          <w:szCs w:val="20"/>
        </w:rPr>
      </w:pPr>
    </w:p>
    <w:sectPr>
      <w:headerReference w:type="default" r:id="rId14"/>
      <w:footerReference w:type="default" r:id="rId15"/>
      <w:type w:val="nextPage"/>
      <w:pgSz w:w="11906" w:h="16838"/>
      <w:pgMar w:top="1418" w:right="1134" w:bottom="1418" w:left="1701" w:header="851" w:footer="992" w:gutter="0"/>
      <w:pgNumType w:start="5"/>
      <w:cols w:space="708"/>
      <w:titlePg w:val="0"/>
      <w:docGrid w:type="linesAndChars" w:linePitch="466" w:charSpace="32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86"/>
    <w:family w:val="auto"/>
    <w:pitch w:val="default"/>
    <w:sig w:usb0="E0002EFF" w:usb1="C000785B" w:usb2="00000009" w:usb3="00000000" w:csb0="4004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width:2in;height:2in;margin-top:0;margin-left:0;mso-position-horizontal:center;mso-position-horizontal-relative:margin;mso-wrap-style:none;position:absolute;v-text-anchor:top;z-index:251658240" filled="f" stroked="f" strokeweight="0.5pt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0" type="#_x0000_t202" style="width:2in;height:2in;margin-top:0;margin-left:0;mso-position-horizontal:center;mso-position-horizontal-relative:margin;mso-wrap-style:none;position:absolute;v-text-anchor:top;z-index:251659264" filled="f" stroked="f" strokeweight="0.5pt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1" type="#_x0000_t202" style="width:2in;height:2in;margin-top:0;margin-left:0;mso-position-horizontal:center;mso-position-horizontal-relative:margin;mso-wrap-style:none;position:absolute;v-text-anchor:top;z-index:251660288" filled="f" stroked="f" strokeweight="0.5pt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4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2" type="#_x0000_t202" style="width:2in;height:2in;margin-top:0;margin-left:0;mso-position-horizontal:center;mso-position-horizontal-relative:margin;mso-wrap-style:none;position:absolute;v-text-anchor:top;z-index:251661312" filled="f" stroked="f" strokeweight="0.5pt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5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3" type="#_x0000_t202" style="width:2in;height:2in;margin-top:0;margin-left:0;mso-position-horizontal:center;mso-position-horizontal-relative:margin;mso-wrap-style:none;position:absolute;v-text-anchor:top;z-index:251662336" filled="f" stroked="f" strokeweight="0.5pt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5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>
      <w:pPr>
        <w:spacing w:after="0" w:line="240" w:lineRule="auto"/>
      </w:pPr>
      <w:r>
        <w:separator/>
      </w:r>
    </w:p>
  </w:footnote>
  <w:footnote w:type="continuationSeparator" w:id="1">
    <w:p>
      <w:pPr>
        <w:spacing w:after="0" w:line="240" w:lineRule="auto"/>
      </w:pPr>
      <w:r>
        <w:continuationSeparator/>
      </w:r>
    </w:p>
  </w:footnote>
  <w:footnote w:id="2">
    <w:p>
      <w:pPr>
        <w:widowControl/>
        <w:ind w:firstLine="420" w:firstLineChars="200"/>
      </w:pPr>
      <w:r>
        <w:rPr>
          <w:rStyle w:val="FootnoteReference"/>
        </w:rPr>
        <w:t>[</w:t>
      </w:r>
      <w:r>
        <w:rPr>
          <w:rStyle w:val="FootnoteReference"/>
        </w:rPr>
        <w:footnoteRef/>
      </w:r>
      <w:r>
        <w:rPr>
          <w:rStyle w:val="FootnoteReference"/>
        </w:rPr>
        <w:t>]</w:t>
      </w:r>
      <w:r>
        <w:t xml:space="preserve"> </w:t>
      </w:r>
      <w:r>
        <w:rPr>
          <w:rFonts w:ascii="宋体" w:hAnsi="宋体" w:hint="eastAsia"/>
          <w:kern w:val="0"/>
          <w:szCs w:val="21"/>
        </w:rPr>
        <w:t>罗鹃.论新医改形势下医院的薪酬管理[J].经济师,2019(07):242+244.</w:t>
      </w:r>
    </w:p>
  </w:footnote>
  <w:footnote w:id="3">
    <w:p>
      <w:pPr>
        <w:pStyle w:val="FootnoteText"/>
      </w:pPr>
      <w:r>
        <w:rPr>
          <w:rStyle w:val="FootnoteReference"/>
        </w:rPr>
        <w:t>[</w:t>
      </w:r>
      <w:r>
        <w:rPr>
          <w:rStyle w:val="FootnoteReference"/>
        </w:rPr>
        <w:footnoteRef/>
      </w:r>
      <w:r>
        <w:rPr>
          <w:rStyle w:val="FootnoteReference"/>
        </w:rPr>
        <w:t>]</w:t>
      </w:r>
      <w:r>
        <w:t xml:space="preserve"> </w:t>
      </w:r>
      <w:r>
        <w:rPr>
          <w:rFonts w:ascii="宋体" w:hAnsi="宋体" w:hint="eastAsia"/>
          <w:kern w:val="0"/>
          <w:sz w:val="21"/>
          <w:szCs w:val="21"/>
        </w:rPr>
        <w:t>冯亚乾,杨旭华.供给侧改革背景下国有公司薪酬管理问题分析与对策建议--以XY电力公司集团为例[J].中国人力资源开发,2017(01):74-82.</w:t>
      </w:r>
    </w:p>
  </w:footnote>
  <w:footnote w:id="4">
    <w:p>
      <w:pPr>
        <w:pStyle w:val="FootnoteText"/>
      </w:pPr>
      <w:r>
        <w:rPr>
          <w:rStyle w:val="FootnoteReference"/>
        </w:rPr>
        <w:t>[</w:t>
      </w:r>
      <w:r>
        <w:rPr>
          <w:rStyle w:val="FootnoteReference"/>
        </w:rPr>
        <w:footnoteRef/>
      </w:r>
      <w:r>
        <w:rPr>
          <w:rStyle w:val="FootnoteReference"/>
        </w:rPr>
        <w:t>]</w:t>
      </w:r>
      <w:r>
        <w:t xml:space="preserve"> </w:t>
      </w:r>
      <w:r>
        <w:rPr>
          <w:rFonts w:ascii="宋体" w:hAnsi="宋体" w:hint="eastAsia"/>
          <w:kern w:val="0"/>
          <w:sz w:val="21"/>
          <w:szCs w:val="21"/>
        </w:rPr>
        <w:t>刘炜.新疆丰源公司薪酬管理改进方案[D].新疆大学,2018.</w:t>
      </w:r>
    </w:p>
  </w:footnote>
  <w:footnote w:id="5">
    <w:p>
      <w:pPr>
        <w:widowControl/>
      </w:pPr>
      <w:r>
        <w:rPr>
          <w:rStyle w:val="FootnoteReference"/>
        </w:rPr>
        <w:t>[</w:t>
      </w:r>
      <w:r>
        <w:rPr>
          <w:rStyle w:val="FootnoteReference"/>
        </w:rPr>
        <w:footnoteRef/>
      </w:r>
      <w:r>
        <w:rPr>
          <w:rStyle w:val="FootnoteReference"/>
        </w:rPr>
        <w:t>]</w:t>
      </w:r>
      <w:r>
        <w:t xml:space="preserve"> </w:t>
      </w:r>
      <w:r>
        <w:rPr>
          <w:rFonts w:ascii="宋体" w:hAnsi="宋体" w:hint="eastAsia"/>
          <w:kern w:val="0"/>
          <w:szCs w:val="21"/>
        </w:rPr>
        <w:t>丁波丹,何茜.新时期电力公司人力资源薪酬管理的几点建议[J].民营科技,2017(06):79.</w:t>
      </w:r>
    </w:p>
  </w:footnote>
  <w:footnote w:id="6">
    <w:p>
      <w:pPr>
        <w:pStyle w:val="FootnoteText"/>
      </w:pPr>
      <w:r>
        <w:rPr>
          <w:rStyle w:val="FootnoteReference"/>
        </w:rPr>
        <w:t>[</w:t>
      </w:r>
      <w:r>
        <w:rPr>
          <w:rStyle w:val="FootnoteReference"/>
        </w:rPr>
        <w:footnoteRef/>
      </w:r>
      <w:r>
        <w:rPr>
          <w:rStyle w:val="FootnoteReference"/>
        </w:rPr>
        <w:t>]</w:t>
      </w:r>
      <w:r>
        <w:t xml:space="preserve"> </w:t>
      </w:r>
      <w:r>
        <w:rPr>
          <w:rFonts w:ascii="宋体" w:hAnsi="宋体" w:hint="eastAsia"/>
          <w:kern w:val="0"/>
          <w:sz w:val="21"/>
          <w:szCs w:val="21"/>
        </w:rPr>
        <w:t>张莉俊,李建科.运用全面风险管理理念,提升公司薪酬管理效能[J].河北公司,2012(05):18-19.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single" w:sz="4" w:space="6" w:color="auto"/>
      </w:pBdr>
      <w:tabs>
        <w:tab w:val="center" w:pos="4153"/>
        <w:tab w:val="right" w:pos="8306"/>
      </w:tabs>
      <w:rPr>
        <w:sz w:val="21"/>
        <w:szCs w:val="21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single" w:sz="4" w:space="6" w:color="auto"/>
      </w:pBdr>
      <w:tabs>
        <w:tab w:val="center" w:pos="4153"/>
        <w:tab w:val="right" w:pos="8306"/>
      </w:tabs>
      <w:rPr>
        <w:sz w:val="21"/>
        <w:szCs w:val="21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single" w:sz="4" w:space="6" w:color="auto"/>
      </w:pBdr>
      <w:tabs>
        <w:tab w:val="center" w:pos="4153"/>
        <w:tab w:val="right" w:pos="8306"/>
      </w:tabs>
      <w:rPr>
        <w:sz w:val="21"/>
        <w:szCs w:val="21"/>
      </w:rP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single" w:sz="4" w:space="6" w:color="auto"/>
      </w:pBdr>
      <w:tabs>
        <w:tab w:val="center" w:pos="4153"/>
        <w:tab w:val="right" w:pos="8306"/>
      </w:tabs>
      <w:rPr>
        <w:sz w:val="21"/>
        <w:szCs w:val="21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single" w:sz="4" w:space="6" w:color="auto"/>
      </w:pBdr>
      <w:tabs>
        <w:tab w:val="center" w:pos="4153"/>
        <w:tab w:val="right" w:pos="8306"/>
      </w:tabs>
      <w:rPr>
        <w:sz w:val="21"/>
        <w:szCs w:val="21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449A00"/>
    <w:multiLevelType w:val="multilevel"/>
    <w:tmpl w:val="6B449A00"/>
    <w:lvl w:ilvl="0">
      <w:start w:val="1"/>
      <w:numFmt w:val="decimal"/>
      <w:suff w:val="space"/>
      <w:lvlText w:val="%1 "/>
      <w:lvlJc w:val="left"/>
      <w:pPr>
        <w:ind w:left="0" w:firstLine="0"/>
      </w:pPr>
      <w:rPr>
        <w:rFonts w:ascii="Times New Roman" w:eastAsia="黑体" w:hAnsi="Times New Roman" w:cs="Times New Roman" w:hint="default"/>
        <w:b w:val="0"/>
        <w:i w:val="0"/>
        <w:color w:val="auto"/>
        <w:sz w:val="32"/>
        <w:u w:val="none"/>
      </w:rPr>
    </w:lvl>
    <w:lvl w:ilvl="1">
      <w:start w:val="1"/>
      <w:numFmt w:val="decimal"/>
      <w:suff w:val="space"/>
      <w:lvlText w:val="%1.%2 "/>
      <w:lvlJc w:val="left"/>
      <w:pPr>
        <w:ind w:left="0" w:firstLine="0"/>
      </w:pPr>
      <w:rPr>
        <w:rFonts w:hint="eastAsia"/>
        <w:b w:val="0"/>
        <w:i w:val="0"/>
        <w:sz w:val="28"/>
        <w:szCs w:val="28"/>
      </w:rPr>
    </w:lvl>
    <w:lvl w:ilvl="2">
      <w:start w:val="1"/>
      <w:numFmt w:val="decimal"/>
      <w:suff w:val="space"/>
      <w:lvlText w:val="%1.%2.%3 "/>
      <w:lvlJc w:val="left"/>
      <w:pPr>
        <w:ind w:left="540" w:firstLine="0"/>
      </w:pPr>
      <w:rPr>
        <w:rFonts w:ascii="Times New Roman" w:hAnsi="Times New Roman" w:cs="Times New Roman" w:hint="default"/>
        <w:b w:val="0"/>
        <w:i w:val="0"/>
        <w:color w:val="auto"/>
        <w:sz w:val="24"/>
      </w:rPr>
    </w:lvl>
    <w:lvl w:ilvl="3">
      <w:start w:val="1"/>
      <w:numFmt w:val="decimal"/>
      <w:suff w:val="space"/>
      <w:lvlText w:val="%1.%2.%3.%4 "/>
      <w:lvlJc w:val="left"/>
      <w:pPr>
        <w:ind w:left="3409" w:hanging="3409"/>
      </w:pPr>
      <w:rPr>
        <w:rFonts w:hint="eastAsia"/>
        <w:b w:val="0"/>
        <w:i w:val="0"/>
        <w:strike w:val="0"/>
      </w:rPr>
    </w:lvl>
    <w:lvl w:ilvl="4">
      <w:start w:val="1"/>
      <w:numFmt w:val="decimal"/>
      <w:lvlText w:val="%1.%2.%3.%4.%5"/>
      <w:lvlJc w:val="left"/>
      <w:pPr>
        <w:tabs>
          <w:tab w:val="num" w:pos="1275"/>
        </w:tabs>
        <w:ind w:left="1275" w:hanging="127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984"/>
        </w:tabs>
        <w:ind w:left="1984" w:hanging="198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2551"/>
        </w:tabs>
        <w:ind w:left="2551" w:hanging="2551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3118"/>
        </w:tabs>
        <w:ind w:left="3118" w:hanging="31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3826"/>
        </w:tabs>
        <w:ind w:left="3826" w:hanging="3826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noPunctuationKerning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footnotePr>
    <w:footnote w:id="0"/>
    <w:footnote w:id="1"/>
  </w:footnotePr>
  <w:endnotePr>
    <w:numFmt w:val="decimal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476DB"/>
    <w:rsid w:val="000476DB"/>
    <w:rsid w:val="001E1E0E"/>
    <w:rsid w:val="00DF375D"/>
    <w:rsid w:val="055A333B"/>
    <w:rsid w:val="1E7B3E46"/>
    <w:rsid w:val="25247C63"/>
    <w:rsid w:val="38E74491"/>
    <w:rsid w:val="3BBD5EB1"/>
    <w:rsid w:val="3BF376D7"/>
    <w:rsid w:val="4E011BF6"/>
    <w:rsid w:val="5CD5141D"/>
    <w:rsid w:val="5D9D0A45"/>
    <w:rsid w:val="6B9071B3"/>
    <w:rsid w:val="7C1542B9"/>
  </w:rsids>
  <w:docVars>
    <w:docVar w:name="commondata" w:val="eyJoZGlkIjoiNWFhMWI5MDQwNDBiYWI1ZmY5ZTQxYWNiYzY0MTdmZDAifQ=="/>
  </w:docVar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 w:qFormat="1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 w:qFormat="1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1" w:qFormat="1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semiHidden="0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0" w:unhideWhenUsed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2">
    <w:name w:val="heading 2"/>
    <w:basedOn w:val="Normal"/>
    <w:next w:val="Normal"/>
    <w:uiPriority w:val="9"/>
    <w:qFormat/>
    <w:pPr>
      <w:keepNext/>
      <w:spacing w:beforeLines="50" w:line="360" w:lineRule="auto"/>
      <w:outlineLvl w:val="1"/>
    </w:pPr>
    <w:rPr>
      <w:rFonts w:ascii="黑体" w:eastAsia="黑体" w:hAnsi="黑体"/>
      <w:iCs/>
      <w:sz w:val="28"/>
      <w:szCs w:val="28"/>
    </w:rPr>
  </w:style>
  <w:style w:type="paragraph" w:styleId="Heading3">
    <w:name w:val="heading 3"/>
    <w:basedOn w:val="Normal"/>
    <w:next w:val="Normal"/>
    <w:uiPriority w:val="9"/>
    <w:qFormat/>
    <w:pPr>
      <w:keepNext/>
      <w:spacing w:beforeLines="50" w:line="360" w:lineRule="auto"/>
      <w:outlineLvl w:val="2"/>
    </w:pPr>
    <w:rPr>
      <w:rFonts w:ascii="黑体" w:eastAsia="黑体" w:hAnsi="黑体"/>
      <w:bCs/>
    </w:rPr>
  </w:style>
  <w:style w:type="paragraph" w:styleId="Heading4">
    <w:name w:val="heading 4"/>
    <w:basedOn w:val="Normal"/>
    <w:next w:val="Normal"/>
    <w:unhideWhenUsed/>
    <w:qFormat/>
    <w:pPr>
      <w:keepNext/>
      <w:keepLines/>
      <w:numPr>
        <w:ilvl w:val="3"/>
        <w:numId w:val="1"/>
      </w:numPr>
      <w:spacing w:line="372" w:lineRule="auto"/>
      <w:jc w:val="center"/>
      <w:outlineLvl w:val="3"/>
    </w:pPr>
    <w:rPr>
      <w:rFonts w:ascii="Arial" w:hAnsi="Arial"/>
      <w:b/>
      <w:sz w:val="36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Char"/>
    <w:qFormat/>
    <w:pPr>
      <w:adjustRightInd w:val="0"/>
      <w:snapToGrid w:val="0"/>
      <w:spacing w:line="360" w:lineRule="auto"/>
      <w:ind w:firstLine="420" w:firstLineChars="200"/>
    </w:pPr>
    <w:rPr>
      <w:sz w:val="24"/>
    </w:rPr>
  </w:style>
  <w:style w:type="character" w:customStyle="1" w:styleId="Char">
    <w:name w:val="正文文本 Char"/>
    <w:link w:val="BodyText"/>
    <w:uiPriority w:val="99"/>
    <w:semiHidden/>
    <w:qFormat/>
    <w:rPr>
      <w:sz w:val="24"/>
    </w:rPr>
  </w:style>
  <w:style w:type="paragraph" w:styleId="TOC3">
    <w:name w:val="toc 3"/>
    <w:basedOn w:val="Normal"/>
    <w:next w:val="Normal"/>
    <w:qFormat/>
    <w:pPr>
      <w:ind w:left="840" w:leftChars="400"/>
    </w:pPr>
  </w:style>
  <w:style w:type="paragraph" w:styleId="BalloonText">
    <w:name w:val="Balloon Text"/>
    <w:basedOn w:val="Normal"/>
    <w:link w:val="a"/>
    <w:qFormat/>
    <w:rPr>
      <w:sz w:val="18"/>
      <w:szCs w:val="18"/>
    </w:rPr>
  </w:style>
  <w:style w:type="character" w:customStyle="1" w:styleId="a">
    <w:name w:val="批注框文本 字符"/>
    <w:basedOn w:val="DefaultParagraphFont"/>
    <w:link w:val="BalloonText"/>
    <w:qFormat/>
    <w:rPr>
      <w:kern w:val="2"/>
      <w:sz w:val="18"/>
      <w:szCs w:val="18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qFormat/>
  </w:style>
  <w:style w:type="paragraph" w:styleId="FootnoteText">
    <w:name w:val="footnote text"/>
    <w:basedOn w:val="Normal"/>
    <w:qFormat/>
    <w:pPr>
      <w:snapToGrid w:val="0"/>
      <w:jc w:val="left"/>
    </w:pPr>
    <w:rPr>
      <w:sz w:val="18"/>
    </w:rPr>
  </w:style>
  <w:style w:type="paragraph" w:styleId="TOC2">
    <w:name w:val="toc 2"/>
    <w:basedOn w:val="Normal"/>
    <w:next w:val="Normal"/>
    <w:qFormat/>
    <w:pPr>
      <w:ind w:left="420" w:leftChars="200"/>
    </w:pPr>
  </w:style>
  <w:style w:type="paragraph" w:styleId="NormalWeb">
    <w:name w:val="Normal (Web)"/>
    <w:basedOn w:val="Normal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FootnoteReference">
    <w:name w:val="footnote reference"/>
    <w:basedOn w:val="DefaultParagraphFont"/>
    <w:qFormat/>
    <w:rPr>
      <w:vertAlign w:val="superscript"/>
    </w:rPr>
  </w:style>
  <w:style w:type="paragraph" w:customStyle="1" w:styleId="WPSOffice1">
    <w:name w:val="WPSOffice手动目录 1"/>
    <w:qFormat/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2">
    <w:name w:val="WPSOffice手动目录 2"/>
    <w:qFormat/>
    <w:pPr>
      <w:ind w:left="200" w:leftChars="200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3">
    <w:name w:val="WPSOffice手动目录 3"/>
    <w:qFormat/>
    <w:pPr>
      <w:ind w:left="400" w:leftChars="400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Title-temp">
    <w:name w:val="Title-temp"/>
    <w:basedOn w:val="Normal"/>
    <w:next w:val="Normal"/>
    <w:qFormat/>
    <w:pPr>
      <w:spacing w:before="120" w:after="120"/>
      <w:ind w:left="100" w:right="100" w:leftChars="100" w:rightChars="100"/>
      <w:jc w:val="center"/>
    </w:pPr>
    <w:rPr>
      <w:rFonts w:eastAsia="微软雅黑"/>
      <w:sz w:val="24"/>
    </w:rPr>
  </w:style>
  <w:style w:type="paragraph" w:customStyle="1" w:styleId="question-temp">
    <w:name w:val="question-temp"/>
    <w:basedOn w:val="Normal"/>
    <w:qFormat/>
    <w:pPr>
      <w:spacing w:after="60"/>
    </w:pPr>
    <w:rPr>
      <w:rFonts w:ascii="微软雅黑" w:eastAsia="微软雅黑" w:hAnsi="微软雅黑"/>
      <w:sz w:val="18"/>
    </w:rPr>
  </w:style>
  <w:style w:type="table" w:customStyle="1" w:styleId="Table-temp">
    <w:name w:val="Table-temp"/>
    <w:basedOn w:val="TableNormal"/>
    <w:uiPriority w:val="99"/>
    <w:qFormat/>
    <w:pPr>
      <w:jc w:val="both"/>
    </w:pPr>
    <w:rPr>
      <w:rFonts w:ascii="宋体" w:hAnsi="宋体" w:cs="宋体"/>
      <w:color w:val="3F3F3F"/>
      <w:sz w:val="18"/>
      <w:szCs w:val="15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7E7E7E"/>
      </w:rPr>
      <w:tblPr/>
      <w:tcPr>
        <w:shd w:val="clear" w:color="auto" w:fill="F1F1F1"/>
      </w:tcPr>
    </w:tblStylePr>
    <w:tblStylePr w:type="firstCol">
      <w:rPr>
        <w:color w:val="7E7E7E"/>
      </w:rPr>
      <w:tblPr/>
      <w:tcPr>
        <w:shd w:val="clear" w:color="auto" w:fill="F1F1F1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78613210410401010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157263360</TotalTime>
  <Pages>7</Pages>
  <Words>13406</Words>
  <Characters>13907</Characters>
  <Application>Microsoft Office Word</Application>
  <DocSecurity>0</DocSecurity>
  <Lines>124</Lines>
  <Paragraphs>35</Paragraphs>
  <ScaleCrop>false</ScaleCrop>
  <Company/>
  <LinksUpToDate>false</LinksUpToDate>
  <CharactersWithSpaces>13965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阿注</dc:creator>
  <cp:lastModifiedBy>ABEEL</cp:lastModifiedBy>
  <cp:revision>3</cp:revision>
  <dcterms:created xsi:type="dcterms:W3CDTF">2021-08-28T06:43:00Z</dcterms:created>
  <dcterms:modified xsi:type="dcterms:W3CDTF">2023-09-10T02:29:07Z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6DE96FC7D0324FE4A3A8AC530511BCDC_13</vt:lpwstr>
  </property>
  <property fmtid="{D5CDD505-2E9C-101B-9397-08002B2CF9AE}" pid="3" name="KSOProductBuildVer">
    <vt:lpwstr>2052-12.1.0.15398</vt:lpwstr>
  </property>
</Properties>
</file>