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10"/>
        <w:rPr>
          <w:rFonts w:ascii="Times New Roman"/>
          <w:sz w:val="15"/>
        </w:rPr>
      </w:pPr>
    </w:p>
    <w:p>
      <w:pPr>
        <w:pStyle w:val="Heading1"/>
        <w:rPr>
          <w:u w:val="none"/>
        </w:rPr>
      </w:pPr>
      <w:r>
        <w:rPr>
          <w:u w:val="single"/>
        </w:rPr>
        <w:t>一、核聚变是人类终极清洁能源，未来发展前景广阔</w:t>
      </w:r>
    </w:p>
    <w:p>
      <w:pPr>
        <w:pStyle w:val="Heading2"/>
        <w:numPr>
          <w:ilvl w:val="1"/>
          <w:numId w:val="5"/>
        </w:numPr>
        <w:tabs>
          <w:tab w:val="left" w:pos="1966"/>
        </w:tabs>
        <w:spacing w:before="124" w:after="0" w:line="240" w:lineRule="auto"/>
        <w:ind w:left="1966" w:right="0" w:hanging="396"/>
        <w:jc w:val="left"/>
      </w:pPr>
      <w:r>
        <w:t>核聚变原理</w:t>
      </w:r>
    </w:p>
    <w:p>
      <w:pPr>
        <w:pStyle w:val="BodyText"/>
        <w:spacing w:before="2"/>
        <w:rPr>
          <w:sz w:val="22"/>
        </w:rPr>
      </w:pPr>
    </w:p>
    <w:p>
      <w:pPr>
        <w:spacing w:before="1" w:line="278" w:lineRule="auto"/>
        <w:ind w:left="1903" w:right="541" w:firstLine="0"/>
        <w:jc w:val="both"/>
        <w:rPr>
          <w:sz w:val="21"/>
        </w:rPr>
      </w:pPr>
      <w:r>
        <w:rPr>
          <w:b/>
          <w:sz w:val="21"/>
        </w:rPr>
        <w:t>核聚变是几个较轻的原子核结合成一个较重的原子核, 实现将质量转化为能量的过程。</w:t>
      </w:r>
      <w:r>
        <w:rPr>
          <w:spacing w:val="-14"/>
          <w:sz w:val="21"/>
        </w:rPr>
        <w:t>最</w:t>
      </w:r>
      <w:r>
        <w:rPr>
          <w:spacing w:val="-20"/>
          <w:sz w:val="21"/>
        </w:rPr>
        <w:t>常见的核聚变反应是氘、氚反应生成氦和中子，同时释放出能量的过程，用反应式表示如下：</w:t>
      </w:r>
    </w:p>
    <w:p>
      <w:pPr>
        <w:pStyle w:val="BodyText"/>
        <w:spacing w:before="10"/>
      </w:pPr>
      <w:r>
        <w:drawing>
          <wp:anchor distT="0" distB="0" distL="0" distR="0" simplePos="0" relativeHeight="251658240" behindDoc="0" locked="0" layoutInCell="1" allowOverlap="1">
            <wp:simplePos x="0" y="0"/>
            <wp:positionH relativeFrom="page">
              <wp:posOffset>2952630</wp:posOffset>
            </wp:positionH>
            <wp:positionV relativeFrom="paragraph">
              <wp:posOffset>202472</wp:posOffset>
            </wp:positionV>
            <wp:extent cx="2257769" cy="226314"/>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2257769" cy="226314"/>
                    </a:xfrm>
                    <a:prstGeom prst="rect">
                      <a:avLst/>
                    </a:prstGeom>
                  </pic:spPr>
                </pic:pic>
              </a:graphicData>
            </a:graphic>
          </wp:anchor>
        </w:drawing>
      </w:r>
    </w:p>
    <w:p>
      <w:pPr>
        <w:pStyle w:val="BodyText"/>
        <w:rPr>
          <w:sz w:val="18"/>
        </w:rPr>
      </w:pPr>
    </w:p>
    <w:p>
      <w:pPr>
        <w:spacing w:before="1" w:line="278" w:lineRule="auto"/>
        <w:ind w:left="1903" w:right="541" w:firstLine="0"/>
        <w:jc w:val="both"/>
        <w:rPr>
          <w:sz w:val="21"/>
        </w:rPr>
      </w:pPr>
      <w:r>
        <w:rPr>
          <w:b/>
          <w:spacing w:val="-5"/>
          <w:sz w:val="21"/>
        </w:rPr>
        <w:t>聚变电厂仍将以传统的蒸汽涡轮方式进行发电。</w:t>
      </w:r>
      <w:r>
        <w:rPr>
          <w:spacing w:val="-9"/>
          <w:sz w:val="21"/>
        </w:rPr>
        <w:t>氘氚聚变中，大部分能量是以中子这种高速</w:t>
      </w:r>
      <w:r>
        <w:rPr>
          <w:spacing w:val="-11"/>
          <w:sz w:val="21"/>
        </w:rPr>
        <w:t>粒子的动能形式存在，因此等离子体室外将由铅或钢等重材料组成厚层，吸收中子后转化为</w:t>
      </w:r>
      <w:r>
        <w:rPr>
          <w:spacing w:val="-6"/>
          <w:sz w:val="21"/>
        </w:rPr>
        <w:t>热量，最后传递给锅炉机组，以蒸汽涡轮机方式发电。</w:t>
      </w:r>
    </w:p>
    <w:p>
      <w:pPr>
        <w:spacing w:before="0" w:line="249" w:lineRule="exact"/>
        <w:ind w:left="1920" w:right="0" w:firstLine="0"/>
        <w:jc w:val="both"/>
        <w:rPr>
          <w:rFonts w:ascii="Microsoft JhengHei" w:eastAsia="Microsoft JhengHei" w:hint="eastAsia"/>
          <w:b/>
          <w:sz w:val="18"/>
        </w:rPr>
      </w:pPr>
      <w:r>
        <w:drawing>
          <wp:anchor distT="0" distB="0" distL="0" distR="0" simplePos="0" relativeHeight="251659264" behindDoc="0" locked="0" layoutInCell="1" allowOverlap="1">
            <wp:simplePos x="0" y="0"/>
            <wp:positionH relativeFrom="page">
              <wp:posOffset>1979231</wp:posOffset>
            </wp:positionH>
            <wp:positionV relativeFrom="paragraph">
              <wp:posOffset>238354</wp:posOffset>
            </wp:positionV>
            <wp:extent cx="5170932" cy="2878264"/>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5" cstate="print"/>
                    <a:stretch>
                      <a:fillRect/>
                    </a:stretch>
                  </pic:blipFill>
                  <pic:spPr>
                    <a:xfrm>
                      <a:off x="0" y="0"/>
                      <a:ext cx="5170932" cy="2878264"/>
                    </a:xfrm>
                    <a:prstGeom prst="rect">
                      <a:avLst/>
                    </a:prstGeom>
                  </pic:spPr>
                </pic:pic>
              </a:graphicData>
            </a:graphic>
          </wp:anchor>
        </w:drawing>
      </w:r>
      <w:r>
        <w:pict>
          <v:line id="_x0000_s1025" style="mso-position-horizontal-relative:page;position:absolute;z-index:251660288" from="132.75pt,11pt" to="580.1pt,11pt" stroked="t" strokecolor="#1f4e79" strokeweight="0.96pt">
            <v:stroke dashstyle="solid"/>
          </v:line>
        </w:pict>
      </w:r>
      <w:r>
        <w:rPr>
          <w:rFonts w:ascii="Microsoft JhengHei" w:eastAsia="Microsoft JhengHei" w:hint="eastAsia"/>
          <w:b/>
          <w:color w:val="152E57"/>
          <w:sz w:val="18"/>
        </w:rPr>
        <w:t xml:space="preserve">图表 </w:t>
      </w:r>
      <w:r>
        <w:rPr>
          <w:rFonts w:ascii="Arial" w:eastAsia="Arial"/>
          <w:b/>
          <w:color w:val="152E57"/>
          <w:sz w:val="18"/>
        </w:rPr>
        <w:t>1</w:t>
      </w:r>
      <w:r>
        <w:rPr>
          <w:rFonts w:ascii="Microsoft JhengHei" w:eastAsia="Microsoft JhengHei" w:hint="eastAsia"/>
          <w:b/>
          <w:color w:val="152E57"/>
          <w:sz w:val="18"/>
        </w:rPr>
        <w:t>：核聚变电厂示意图</w:t>
      </w:r>
    </w:p>
    <w:p>
      <w:pPr>
        <w:pStyle w:val="BodyText"/>
        <w:spacing w:before="2"/>
        <w:rPr>
          <w:rFonts w:ascii="Microsoft JhengHei"/>
          <w:b/>
          <w:sz w:val="16"/>
        </w:rPr>
      </w:pPr>
    </w:p>
    <w:p>
      <w:pPr>
        <w:spacing w:before="1"/>
        <w:ind w:left="1920" w:right="0" w:firstLine="0"/>
        <w:jc w:val="left"/>
        <w:rPr>
          <w:rFonts w:ascii="宋体" w:eastAsia="宋体" w:hint="eastAsia"/>
          <w:sz w:val="17"/>
        </w:rPr>
      </w:pPr>
      <w:r>
        <w:t xml:space="preserve">资料来源：中国物理学会期刊网， </w:t>
      </w:r>
    </w:p>
    <w:p>
      <w:pPr>
        <w:pStyle w:val="BodyText"/>
        <w:rPr>
          <w:rFonts w:ascii="宋体"/>
          <w:sz w:val="20"/>
        </w:rPr>
      </w:pPr>
    </w:p>
    <w:p>
      <w:pPr>
        <w:pStyle w:val="Heading2"/>
        <w:numPr>
          <w:ilvl w:val="1"/>
          <w:numId w:val="5"/>
        </w:numPr>
        <w:tabs>
          <w:tab w:val="left" w:pos="1966"/>
        </w:tabs>
        <w:spacing w:before="215" w:after="0" w:line="240" w:lineRule="auto"/>
        <w:ind w:left="1966" w:right="0" w:hanging="396"/>
        <w:jc w:val="left"/>
      </w:pPr>
      <w:r>
        <w:rPr>
          <w:spacing w:val="-1"/>
        </w:rPr>
        <w:t>核聚变具备资源丰富和安全可靠的优势</w:t>
      </w:r>
    </w:p>
    <w:p>
      <w:pPr>
        <w:pStyle w:val="BodyText"/>
        <w:spacing w:before="12"/>
      </w:pPr>
    </w:p>
    <w:p>
      <w:pPr>
        <w:pStyle w:val="ListParagraph"/>
        <w:numPr>
          <w:ilvl w:val="0"/>
          <w:numId w:val="4"/>
        </w:numPr>
        <w:tabs>
          <w:tab w:val="left" w:pos="1904"/>
        </w:tabs>
        <w:spacing w:before="0" w:after="0" w:line="268" w:lineRule="auto"/>
        <w:ind w:left="1903" w:right="540" w:hanging="420"/>
        <w:jc w:val="both"/>
        <w:rPr>
          <w:sz w:val="21"/>
        </w:rPr>
      </w:pPr>
      <w:r>
        <w:rPr>
          <w:b/>
          <w:sz w:val="21"/>
        </w:rPr>
        <w:t>原料储量极其丰富</w:t>
      </w:r>
      <w:r>
        <w:rPr>
          <w:spacing w:val="-11"/>
          <w:sz w:val="21"/>
        </w:rPr>
        <w:t>：主要燃料氘跟氧结合成重水存在于海水之中。根据中国科学院等离子</w:t>
      </w:r>
      <w:r>
        <w:rPr>
          <w:spacing w:val="-86"/>
          <w:sz w:val="21"/>
        </w:rPr>
        <w:t>体 物</w:t>
      </w:r>
      <w:r>
        <w:rPr>
          <w:spacing w:val="-16"/>
          <w:sz w:val="21"/>
        </w:rPr>
        <w:t xml:space="preserve">理研究所文章，每公斤海水含氘 </w:t>
      </w:r>
      <w:r>
        <w:rPr>
          <w:sz w:val="21"/>
        </w:rPr>
        <w:t>0.03</w:t>
      </w:r>
      <w:r>
        <w:rPr>
          <w:spacing w:val="-13"/>
          <w:sz w:val="21"/>
        </w:rPr>
        <w:t xml:space="preserve"> 克，地球上有海水 </w:t>
      </w:r>
      <w:r>
        <w:rPr>
          <w:sz w:val="21"/>
        </w:rPr>
        <w:t>10</w:t>
      </w:r>
      <w:r>
        <w:rPr>
          <w:position w:val="11"/>
          <w:sz w:val="11"/>
        </w:rPr>
        <w:t>21</w:t>
      </w:r>
      <w:r>
        <w:rPr>
          <w:spacing w:val="-25"/>
          <w:position w:val="11"/>
          <w:sz w:val="11"/>
        </w:rPr>
        <w:t xml:space="preserve"> </w:t>
      </w:r>
      <w:r>
        <w:rPr>
          <w:spacing w:val="-12"/>
          <w:sz w:val="21"/>
        </w:rPr>
        <w:t xml:space="preserve">千克，含氘 </w:t>
      </w:r>
      <w:r>
        <w:rPr>
          <w:sz w:val="21"/>
        </w:rPr>
        <w:t>3×10</w:t>
      </w:r>
      <w:r>
        <w:rPr>
          <w:position w:val="11"/>
          <w:sz w:val="11"/>
        </w:rPr>
        <w:t>16</w:t>
      </w:r>
      <w:r>
        <w:rPr>
          <w:spacing w:val="-25"/>
          <w:position w:val="11"/>
          <w:sz w:val="11"/>
        </w:rPr>
        <w:t xml:space="preserve"> </w:t>
      </w:r>
      <w:r>
        <w:rPr>
          <w:spacing w:val="-4"/>
          <w:sz w:val="21"/>
        </w:rPr>
        <w:t>千克，目</w:t>
      </w:r>
    </w:p>
    <w:p>
      <w:pPr>
        <w:pStyle w:val="BodyText"/>
        <w:spacing w:before="2"/>
        <w:ind w:left="1903"/>
        <w:jc w:val="both"/>
      </w:pPr>
      <w:r>
        <w:t>前全世界能源消耗水平每年 2×10</w:t>
      </w:r>
      <w:r>
        <w:rPr>
          <w:position w:val="11"/>
          <w:sz w:val="11"/>
        </w:rPr>
        <w:t xml:space="preserve">20 </w:t>
      </w:r>
      <w:r>
        <w:t>焦耳，每年只需燃烧 10</w:t>
      </w:r>
      <w:r>
        <w:rPr>
          <w:position w:val="11"/>
          <w:sz w:val="11"/>
        </w:rPr>
        <w:t xml:space="preserve">6 </w:t>
      </w:r>
      <w:r>
        <w:t>千克氘即可。因此地球上的氘足</w:t>
      </w:r>
    </w:p>
    <w:p>
      <w:pPr>
        <w:pStyle w:val="BodyText"/>
        <w:spacing w:before="32" w:line="278" w:lineRule="auto"/>
        <w:ind w:left="1903" w:right="542"/>
        <w:jc w:val="both"/>
      </w:pPr>
      <w:r>
        <w:rPr>
          <w:spacing w:val="-8"/>
        </w:rPr>
        <w:t xml:space="preserve">够使用 </w:t>
      </w:r>
      <w:r>
        <w:t>3×10</w:t>
      </w:r>
      <w:r>
        <w:rPr>
          <w:position w:val="11"/>
          <w:sz w:val="11"/>
        </w:rPr>
        <w:t xml:space="preserve">10 </w:t>
      </w:r>
      <w:r>
        <w:rPr>
          <w:spacing w:val="-4"/>
        </w:rPr>
        <w:t xml:space="preserve">年之久。即使考虑到能源消耗水平的逐年增加，也足以使用 </w:t>
      </w:r>
      <w:r>
        <w:t>10</w:t>
      </w:r>
      <w:r>
        <w:rPr>
          <w:position w:val="11"/>
          <w:sz w:val="11"/>
        </w:rPr>
        <w:t xml:space="preserve">10 </w:t>
      </w:r>
      <w:r>
        <w:rPr>
          <w:spacing w:val="-1"/>
        </w:rPr>
        <w:t>年，即几百亿年。</w:t>
      </w:r>
    </w:p>
    <w:p>
      <w:pPr>
        <w:pStyle w:val="ListParagraph"/>
        <w:numPr>
          <w:ilvl w:val="0"/>
          <w:numId w:val="4"/>
        </w:numPr>
        <w:tabs>
          <w:tab w:val="left" w:pos="1904"/>
        </w:tabs>
        <w:spacing w:before="0" w:after="0" w:line="278" w:lineRule="auto"/>
        <w:ind w:left="1903" w:right="540" w:hanging="420"/>
        <w:jc w:val="both"/>
        <w:rPr>
          <w:sz w:val="21"/>
        </w:rPr>
      </w:pPr>
      <w:r>
        <w:rPr>
          <w:b/>
          <w:spacing w:val="-13"/>
          <w:w w:val="100"/>
          <w:sz w:val="21"/>
        </w:rPr>
        <w:t>能量密度高：</w:t>
      </w:r>
      <w:r>
        <w:rPr>
          <w:spacing w:val="-3"/>
          <w:w w:val="100"/>
          <w:sz w:val="21"/>
        </w:rPr>
        <w:t>根据中国科学院等离子体物理研究所文章</w:t>
      </w:r>
      <w:r>
        <w:rPr>
          <w:spacing w:val="-18"/>
          <w:w w:val="100"/>
          <w:sz w:val="21"/>
        </w:rPr>
        <w:t>，“燃烧”一千克氘相当于四千克铀</w:t>
      </w:r>
      <w:r>
        <w:rPr>
          <w:spacing w:val="-161"/>
          <w:w w:val="100"/>
          <w:sz w:val="21"/>
        </w:rPr>
        <w:t>，</w:t>
      </w:r>
      <w:r>
        <w:rPr>
          <w:spacing w:val="-8"/>
          <w:sz w:val="21"/>
        </w:rPr>
        <w:t xml:space="preserve">七千吨汽油或一万吨煤。也就是说“燃烧”一千克海水和燃烧 </w:t>
      </w:r>
      <w:r>
        <w:rPr>
          <w:sz w:val="21"/>
        </w:rPr>
        <w:t>210</w:t>
      </w:r>
      <w:r>
        <w:rPr>
          <w:spacing w:val="-18"/>
          <w:sz w:val="21"/>
        </w:rPr>
        <w:t xml:space="preserve"> 千克</w:t>
      </w:r>
      <w:r>
        <w:rPr>
          <w:sz w:val="21"/>
        </w:rPr>
        <w:t>（300</w:t>
      </w:r>
      <w:r>
        <w:rPr>
          <w:spacing w:val="-21"/>
          <w:sz w:val="21"/>
        </w:rPr>
        <w:t xml:space="preserve"> 升</w:t>
      </w:r>
      <w:r>
        <w:rPr>
          <w:spacing w:val="-10"/>
          <w:sz w:val="21"/>
        </w:rPr>
        <w:t>）</w:t>
      </w:r>
      <w:r>
        <w:rPr>
          <w:spacing w:val="-2"/>
          <w:sz w:val="21"/>
        </w:rPr>
        <w:t>汽油所获</w:t>
      </w:r>
      <w:r>
        <w:rPr>
          <w:spacing w:val="-10"/>
          <w:sz w:val="21"/>
        </w:rPr>
        <w:t>得能量相当。与铀核的裂变反应比较，同样质量的核燃料，聚变反应会比裂变反应放出更多</w:t>
      </w:r>
      <w:r>
        <w:rPr>
          <w:spacing w:val="-11"/>
          <w:sz w:val="21"/>
        </w:rPr>
        <w:t>的能量。据中国工程物理研究院经福谦等《揭开核武器神秘面纱》一文，同样重量的氘，在</w:t>
      </w:r>
      <w:r>
        <w:rPr>
          <w:spacing w:val="-10"/>
          <w:sz w:val="21"/>
        </w:rPr>
        <w:t>全部实现反应时释放出来的能量约比铀大三倍。如果是氘和氚聚变，一公斤氘氚完全燃烧放</w:t>
      </w:r>
      <w:r>
        <w:rPr>
          <w:spacing w:val="-14"/>
          <w:sz w:val="21"/>
        </w:rPr>
        <w:t xml:space="preserve">出的能量，相当于八万吨 </w:t>
      </w:r>
      <w:r>
        <w:rPr>
          <w:sz w:val="21"/>
        </w:rPr>
        <w:t>TNT</w:t>
      </w:r>
      <w:r>
        <w:rPr>
          <w:spacing w:val="-13"/>
          <w:sz w:val="21"/>
        </w:rPr>
        <w:t xml:space="preserve"> 爆炸的能量，比一公斤铀</w:t>
      </w:r>
      <w:r>
        <w:rPr>
          <w:sz w:val="21"/>
        </w:rPr>
        <w:t>-235</w:t>
      </w:r>
      <w:r>
        <w:rPr>
          <w:spacing w:val="-8"/>
          <w:sz w:val="21"/>
        </w:rPr>
        <w:t xml:space="preserve"> 完全裂变放出的能量约大四倍。</w:t>
      </w:r>
    </w:p>
    <w:p>
      <w:pPr>
        <w:pStyle w:val="ListParagraph"/>
        <w:numPr>
          <w:ilvl w:val="0"/>
          <w:numId w:val="4"/>
        </w:numPr>
        <w:tabs>
          <w:tab w:val="left" w:pos="1904"/>
        </w:tabs>
        <w:spacing w:before="0" w:after="0" w:line="278" w:lineRule="auto"/>
        <w:ind w:left="1903" w:right="540" w:hanging="420"/>
        <w:jc w:val="both"/>
        <w:rPr>
          <w:sz w:val="21"/>
        </w:rPr>
        <w:sectPr>
          <w:headerReference w:type="default" r:id="rId6"/>
          <w:footerReference w:type="default" r:id="rId7"/>
          <w:type w:val="continuous"/>
          <w:pgSz w:w="11910" w:h="16840"/>
          <w:pgMar w:top="840" w:right="300" w:bottom="1200" w:left="840" w:header="708" w:footer="708"/>
          <w:cols w:space="708"/>
        </w:sectPr>
      </w:pPr>
      <w:r>
        <w:rPr>
          <w:b/>
          <w:sz w:val="21"/>
        </w:rPr>
        <w:t>安全可靠</w:t>
      </w:r>
      <w:r>
        <w:rPr>
          <w:spacing w:val="-12"/>
          <w:sz w:val="21"/>
        </w:rPr>
        <w:t>：核聚变反应是自限反应，需要氘氚燃料达到上亿摄氏度的高温和足够高的密度</w:t>
      </w:r>
      <w:r>
        <w:rPr>
          <w:spacing w:val="-85"/>
          <w:sz w:val="21"/>
        </w:rPr>
        <w:t>等 苛</w:t>
      </w:r>
      <w:r>
        <w:rPr>
          <w:spacing w:val="-15"/>
          <w:sz w:val="21"/>
        </w:rPr>
        <w:t>刻条件，任何导致温度密度的下降都会致使聚变反应停止。同时，由于核聚变反应燃烧的氘</w:t>
      </w:r>
    </w:p>
    <w:p>
      <w:pPr>
        <w:pStyle w:val="ListParagraph"/>
        <w:numPr>
          <w:ilvl w:val="0"/>
          <w:numId w:val="0"/>
        </w:numPr>
        <w:tabs>
          <w:tab w:val="left" w:pos="1904"/>
        </w:tabs>
        <w:spacing w:before="0" w:after="0" w:line="278" w:lineRule="auto"/>
        <w:ind w:left="1903" w:right="540" w:hanging="420"/>
        <w:jc w:val="both"/>
        <w:rPr>
          <w:sz w:val="21"/>
        </w:rPr>
      </w:pPr>
      <w:r>
        <w:rPr>
          <w:spacing w:val="-10"/>
          <w:sz w:val="21"/>
        </w:rPr>
        <w:t>氚等离子体被磁场约束在真空容器内，其密度比空气低数个量级，聚变堆氘氚燃料含量也</w:t>
      </w:r>
    </w:p>
    <w:p>
      <w:pPr>
        <w:spacing w:after="0" w:line="278" w:lineRule="auto"/>
        <w:jc w:val="both"/>
        <w:rPr>
          <w:sz w:val="21"/>
        </w:rPr>
        <w:sectPr>
          <w:headerReference w:type="default" r:id="rId8"/>
          <w:footerReference w:type="default" r:id="rId9"/>
          <w:type w:val="nextPage"/>
          <w:pgSz w:w="11910" w:h="16840"/>
          <w:pgMar w:top="840" w:right="300" w:bottom="1200" w:left="840" w:header="708" w:footer="708"/>
          <w:pgNumType w:start="2"/>
          <w:cols w:space="708"/>
          <w:titlePg w:val="0"/>
        </w:sectPr>
      </w:pPr>
    </w:p>
    <w:p>
      <w:pPr>
        <w:pStyle w:val="BodyText"/>
        <w:spacing w:before="9"/>
        <w:rPr>
          <w:sz w:val="14"/>
        </w:rPr>
      </w:pPr>
    </w:p>
    <w:p>
      <w:pPr>
        <w:pStyle w:val="BodyText"/>
        <w:spacing w:before="72"/>
        <w:ind w:left="1903"/>
      </w:pPr>
      <w:r>
        <w:t>较低，在技术操作合规的情况下，不会引起爆炸，也不会发生泄漏事故。</w:t>
      </w:r>
    </w:p>
    <w:p>
      <w:pPr>
        <w:pStyle w:val="ListParagraph"/>
        <w:numPr>
          <w:ilvl w:val="0"/>
          <w:numId w:val="4"/>
        </w:numPr>
        <w:tabs>
          <w:tab w:val="left" w:pos="1904"/>
        </w:tabs>
        <w:spacing w:before="43" w:after="0" w:line="278" w:lineRule="auto"/>
        <w:ind w:left="1903" w:right="540" w:hanging="420"/>
        <w:jc w:val="both"/>
        <w:rPr>
          <w:sz w:val="21"/>
        </w:rPr>
      </w:pPr>
      <w:r>
        <w:rPr>
          <w:b/>
          <w:spacing w:val="-4"/>
          <w:sz w:val="21"/>
        </w:rPr>
        <w:t>核辐射小、环境友好</w:t>
      </w:r>
      <w:r>
        <w:rPr>
          <w:spacing w:val="-10"/>
          <w:sz w:val="21"/>
        </w:rPr>
        <w:t>：氘、氚等聚变反应中产生的氦，是没有放射性的。如果我们不在聚</w:t>
      </w:r>
      <w:r>
        <w:rPr>
          <w:spacing w:val="-86"/>
          <w:sz w:val="21"/>
        </w:rPr>
        <w:t>变 堆</w:t>
      </w:r>
      <w:r>
        <w:rPr>
          <w:spacing w:val="-14"/>
          <w:sz w:val="21"/>
        </w:rPr>
        <w:t>中加入铀、钍等裂变材料，那么聚变的产物中，只有氚有</w:t>
      </w:r>
      <w:r>
        <w:rPr>
          <w:spacing w:val="-3"/>
          <w:sz w:val="21"/>
        </w:rPr>
        <w:t>β</w:t>
      </w:r>
      <w:r>
        <w:rPr>
          <w:spacing w:val="-8"/>
          <w:sz w:val="21"/>
        </w:rPr>
        <w:t>辐射，其他都是中子、质子和</w:t>
      </w:r>
      <w:r>
        <w:rPr>
          <w:sz w:val="21"/>
        </w:rPr>
        <w:t>α</w:t>
      </w:r>
      <w:r>
        <w:rPr>
          <w:spacing w:val="-10"/>
          <w:sz w:val="21"/>
        </w:rPr>
        <w:t>粒子</w:t>
      </w:r>
      <w:r>
        <w:rPr>
          <w:sz w:val="21"/>
        </w:rPr>
        <w:t>（α</w:t>
      </w:r>
      <w:r>
        <w:rPr>
          <w:spacing w:val="-2"/>
          <w:sz w:val="21"/>
        </w:rPr>
        <w:t>辐射</w:t>
      </w:r>
      <w:r>
        <w:rPr>
          <w:spacing w:val="-20"/>
          <w:sz w:val="21"/>
        </w:rPr>
        <w:t>）</w:t>
      </w:r>
      <w:r>
        <w:rPr>
          <w:spacing w:val="-17"/>
          <w:sz w:val="21"/>
        </w:rPr>
        <w:t>。</w:t>
      </w:r>
      <w:r>
        <w:rPr>
          <w:spacing w:val="-3"/>
          <w:sz w:val="21"/>
        </w:rPr>
        <w:t>α</w:t>
      </w:r>
      <w:r>
        <w:rPr>
          <w:spacing w:val="-6"/>
          <w:sz w:val="21"/>
        </w:rPr>
        <w:t>粒子穿透力很弱，只需要一张纸就可以起到很好的屏蔽效果。</w:t>
      </w:r>
      <w:r>
        <w:rPr>
          <w:sz w:val="21"/>
        </w:rPr>
        <w:t>β</w:t>
      </w:r>
      <w:r>
        <w:rPr>
          <w:spacing w:val="-2"/>
          <w:sz w:val="21"/>
        </w:rPr>
        <w:t>粒子穿</w:t>
      </w:r>
      <w:r>
        <w:rPr>
          <w:spacing w:val="-9"/>
          <w:sz w:val="21"/>
        </w:rPr>
        <w:t>透力也不强，只需要一张铝箔就可以屏蔽。此外，核聚变反应不排放碳，不会造成任何污染</w:t>
      </w:r>
      <w:r>
        <w:rPr>
          <w:spacing w:val="-4"/>
          <w:sz w:val="21"/>
        </w:rPr>
        <w:t>，对环境友好。</w:t>
      </w:r>
    </w:p>
    <w:p>
      <w:pPr>
        <w:pStyle w:val="BodyText"/>
        <w:spacing w:before="9"/>
        <w:rPr>
          <w:sz w:val="22"/>
        </w:rPr>
      </w:pPr>
    </w:p>
    <w:p>
      <w:pPr>
        <w:pStyle w:val="Heading2"/>
        <w:numPr>
          <w:ilvl w:val="1"/>
          <w:numId w:val="5"/>
        </w:numPr>
        <w:tabs>
          <w:tab w:val="left" w:pos="2036"/>
        </w:tabs>
        <w:spacing w:before="1" w:after="0" w:line="240" w:lineRule="auto"/>
        <w:ind w:left="2035" w:right="0" w:hanging="397"/>
        <w:jc w:val="left"/>
      </w:pPr>
      <w:r>
        <w:rPr>
          <w:spacing w:val="-1"/>
        </w:rPr>
        <w:t>核聚变发电将要求可控和自持</w:t>
      </w:r>
    </w:p>
    <w:p>
      <w:pPr>
        <w:pStyle w:val="BodyText"/>
        <w:spacing w:before="2"/>
        <w:rPr>
          <w:sz w:val="22"/>
        </w:rPr>
      </w:pPr>
    </w:p>
    <w:p>
      <w:pPr>
        <w:pStyle w:val="Heading3"/>
      </w:pPr>
      <w:r>
        <w:t>核能发电的两个基本要求是可控和自持。</w:t>
      </w:r>
    </w:p>
    <w:p>
      <w:pPr>
        <w:pStyle w:val="BodyText"/>
        <w:spacing w:before="43"/>
        <w:ind w:left="1850"/>
      </w:pPr>
      <w:r>
        <w:rPr>
          <w:b/>
        </w:rPr>
        <w:t>可控：</w:t>
      </w:r>
      <w:r>
        <w:t>可控对于核能意味着核反应可以缓慢地按需发生，而不是像原子弹（核裂变）、氢弹</w:t>
      </w:r>
    </w:p>
    <w:p>
      <w:pPr>
        <w:pStyle w:val="BodyText"/>
        <w:spacing w:before="43" w:line="278" w:lineRule="auto"/>
        <w:ind w:left="1850" w:right="543"/>
        <w:jc w:val="both"/>
      </w:pPr>
      <w:r>
        <w:t>（</w:t>
      </w:r>
      <w:r>
        <w:rPr>
          <w:spacing w:val="-3"/>
        </w:rPr>
        <w:t>核聚变</w:t>
      </w:r>
      <w:r>
        <w:rPr>
          <w:spacing w:val="-5"/>
        </w:rPr>
        <w:t>）</w:t>
      </w:r>
      <w:r>
        <w:rPr>
          <w:spacing w:val="-8"/>
        </w:rPr>
        <w:t>一样，瞬间释放巨大的能量。对于核聚变来说，理论上“可控”也是一个可以解</w:t>
      </w:r>
      <w:r>
        <w:rPr>
          <w:spacing w:val="-18"/>
        </w:rPr>
        <w:t xml:space="preserve">决的问题，只需要控制聚变燃料的浓度即可，但目前核聚变发电，还远没有到达解决“可控” </w:t>
      </w:r>
      <w:r>
        <w:rPr>
          <w:spacing w:val="-10"/>
        </w:rPr>
        <w:t>的阶段。</w:t>
      </w:r>
    </w:p>
    <w:p>
      <w:pPr>
        <w:pStyle w:val="BodyText"/>
        <w:spacing w:before="5"/>
        <w:rPr>
          <w:sz w:val="14"/>
        </w:rPr>
      </w:pPr>
    </w:p>
    <w:p>
      <w:pPr>
        <w:spacing w:before="0" w:line="278" w:lineRule="auto"/>
        <w:ind w:left="1903" w:right="540" w:firstLine="0"/>
        <w:jc w:val="both"/>
        <w:rPr>
          <w:sz w:val="21"/>
        </w:rPr>
      </w:pPr>
      <w:r>
        <w:rPr>
          <w:b/>
          <w:spacing w:val="-11"/>
          <w:sz w:val="21"/>
        </w:rPr>
        <w:t>“可控”的核心难点在于难以将等离子体长时间约束在某一个空间内，让它们抵抗排斥力、</w:t>
      </w:r>
      <w:r>
        <w:rPr>
          <w:b/>
          <w:spacing w:val="-6"/>
          <w:sz w:val="21"/>
        </w:rPr>
        <w:t>相互碰撞，并实现净能量输出</w:t>
      </w:r>
      <w:r>
        <w:rPr>
          <w:b/>
          <w:spacing w:val="-4"/>
          <w:sz w:val="21"/>
        </w:rPr>
        <w:t>（Q&gt;1）</w:t>
      </w:r>
      <w:r>
        <w:rPr>
          <w:spacing w:val="-17"/>
          <w:sz w:val="21"/>
        </w:rPr>
        <w:t xml:space="preserve">。早在 </w:t>
      </w:r>
      <w:r>
        <w:rPr>
          <w:sz w:val="21"/>
        </w:rPr>
        <w:t>1957</w:t>
      </w:r>
      <w:r>
        <w:rPr>
          <w:spacing w:val="-10"/>
          <w:sz w:val="21"/>
        </w:rPr>
        <w:t xml:space="preserve"> 年，英国物理学家劳森就提出了聚变三重</w:t>
      </w:r>
      <w:r>
        <w:rPr>
          <w:spacing w:val="-7"/>
          <w:sz w:val="21"/>
        </w:rPr>
        <w:t>积的概念：聚变三重积=等离子体温度×等离子体密度×约束时间。然而，核聚变要实现自</w:t>
      </w:r>
      <w:r>
        <w:rPr>
          <w:spacing w:val="-11"/>
          <w:sz w:val="21"/>
        </w:rPr>
        <w:t xml:space="preserve">持燃烧和稳态运行的条件极为苛刻，一是温度要足够高，使燃料变成超过 </w:t>
      </w:r>
      <w:r>
        <w:rPr>
          <w:sz w:val="21"/>
        </w:rPr>
        <w:t>1</w:t>
      </w:r>
      <w:r>
        <w:rPr>
          <w:spacing w:val="-7"/>
          <w:sz w:val="21"/>
        </w:rPr>
        <w:t xml:space="preserve"> 亿摄氏度的等离</w:t>
      </w:r>
      <w:r>
        <w:rPr>
          <w:spacing w:val="-11"/>
          <w:sz w:val="21"/>
        </w:rPr>
        <w:t>子体；二是密度要足够高，这样两原子核发生碰撞的概率就大；三是等离子体在有限的空间</w:t>
      </w:r>
      <w:r>
        <w:rPr>
          <w:spacing w:val="-6"/>
          <w:sz w:val="21"/>
        </w:rPr>
        <w:t>里被约束足够长时间。</w:t>
      </w:r>
    </w:p>
    <w:p>
      <w:pPr>
        <w:spacing w:before="0" w:line="249" w:lineRule="exact"/>
        <w:ind w:left="1920" w:right="0" w:firstLine="0"/>
        <w:jc w:val="both"/>
        <w:rPr>
          <w:rFonts w:ascii="Microsoft JhengHei" w:eastAsia="Microsoft JhengHei" w:hint="eastAsia"/>
          <w:b/>
          <w:sz w:val="18"/>
        </w:rPr>
      </w:pPr>
      <w:r>
        <w:drawing>
          <wp:anchor distT="0" distB="0" distL="0" distR="0" simplePos="0" relativeHeight="251661312" behindDoc="0" locked="0" layoutInCell="1" allowOverlap="1">
            <wp:simplePos x="0" y="0"/>
            <wp:positionH relativeFrom="page">
              <wp:posOffset>1753489</wp:posOffset>
            </wp:positionH>
            <wp:positionV relativeFrom="paragraph">
              <wp:posOffset>198326</wp:posOffset>
            </wp:positionV>
            <wp:extent cx="5573019" cy="2678906"/>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10" cstate="print"/>
                    <a:stretch>
                      <a:fillRect/>
                    </a:stretch>
                  </pic:blipFill>
                  <pic:spPr>
                    <a:xfrm>
                      <a:off x="0" y="0"/>
                      <a:ext cx="5573019" cy="2678906"/>
                    </a:xfrm>
                    <a:prstGeom prst="rect">
                      <a:avLst/>
                    </a:prstGeom>
                  </pic:spPr>
                </pic:pic>
              </a:graphicData>
            </a:graphic>
          </wp:anchor>
        </w:drawing>
      </w:r>
      <w:r>
        <w:pict>
          <v:line id="_x0000_s1026" style="mso-position-horizontal-relative:page;position:absolute;z-index:251662336" from="132.75pt,10.95pt" to="580.1pt,10.95pt" stroked="t" strokecolor="#1f4e79" strokeweight="0.96pt">
            <v:stroke dashstyle="solid"/>
          </v:line>
        </w:pict>
      </w:r>
      <w:r>
        <w:pict>
          <v:line id="_x0000_s1027" style="mso-position-horizontal-relative:page;position:absolute;z-index:251663360" from="132.75pt,230.35pt" to="580.1pt,230.35pt" stroked="t" strokecolor="#1f4e79" strokeweight="0.96pt">
            <v:stroke dashstyle="solid"/>
          </v:line>
        </w:pict>
      </w:r>
      <w:r>
        <w:rPr>
          <w:rFonts w:ascii="Microsoft JhengHei" w:eastAsia="Microsoft JhengHei" w:hint="eastAsia"/>
          <w:b/>
          <w:color w:val="152E57"/>
          <w:sz w:val="18"/>
        </w:rPr>
        <w:t xml:space="preserve">图表 </w:t>
      </w:r>
      <w:r>
        <w:rPr>
          <w:rFonts w:ascii="Arial" w:eastAsia="Arial"/>
          <w:b/>
          <w:color w:val="152E57"/>
          <w:sz w:val="18"/>
        </w:rPr>
        <w:t>2</w:t>
      </w:r>
      <w:r>
        <w:rPr>
          <w:rFonts w:ascii="Microsoft JhengHei" w:eastAsia="Microsoft JhengHei" w:hint="eastAsia"/>
          <w:b/>
          <w:color w:val="152E57"/>
          <w:sz w:val="18"/>
        </w:rPr>
        <w:t>：实现核聚变反应的三要素</w:t>
      </w:r>
    </w:p>
    <w:p>
      <w:pPr>
        <w:spacing w:before="50"/>
        <w:ind w:left="1920" w:right="0" w:firstLine="0"/>
        <w:jc w:val="left"/>
        <w:rPr>
          <w:rFonts w:ascii="宋体" w:eastAsia="宋体" w:hint="eastAsia"/>
          <w:sz w:val="17"/>
        </w:rPr>
      </w:pPr>
      <w:r>
        <w:t xml:space="preserve">资料来源：《超导磁体技术与磁约束核聚变》王腾， </w:t>
      </w:r>
    </w:p>
    <w:p>
      <w:pPr>
        <w:pStyle w:val="BodyText"/>
        <w:rPr>
          <w:rFonts w:ascii="宋体"/>
          <w:sz w:val="20"/>
        </w:rPr>
      </w:pPr>
    </w:p>
    <w:p>
      <w:pPr>
        <w:pStyle w:val="BodyText"/>
        <w:spacing w:before="5"/>
        <w:rPr>
          <w:rFonts w:ascii="宋体"/>
          <w:sz w:val="14"/>
        </w:rPr>
      </w:pPr>
    </w:p>
    <w:p>
      <w:pPr>
        <w:pStyle w:val="BodyText"/>
        <w:spacing w:before="72" w:line="285" w:lineRule="auto"/>
        <w:ind w:left="1903" w:right="436"/>
        <w:jc w:val="both"/>
      </w:pPr>
      <w:r>
        <w:rPr>
          <w:b/>
          <w:spacing w:val="-15"/>
        </w:rPr>
        <w:t>自持：</w:t>
      </w:r>
      <w:r>
        <w:rPr>
          <w:spacing w:val="-7"/>
        </w:rPr>
        <w:t>自持核聚变反应指的是，当原料中的原子在高温高压能量输入下达到核聚变反应一段</w:t>
      </w:r>
      <w:r>
        <w:rPr>
          <w:spacing w:val="-10"/>
        </w:rPr>
        <w:t>时间后，不需要再添加额外的能量就可以让核聚变自动持续下去，源源不断来产生能量。由</w:t>
      </w:r>
      <w:r>
        <w:rPr>
          <w:spacing w:val="-8"/>
        </w:rPr>
        <w:t>于核聚变不具备链式反应的“自循环”性质，目前纯聚变堆的研究尚无法实现反应的自持。</w:t>
      </w:r>
    </w:p>
    <w:p>
      <w:pPr>
        <w:pStyle w:val="BodyText"/>
        <w:rPr>
          <w:sz w:val="20"/>
        </w:rPr>
      </w:pPr>
    </w:p>
    <w:p>
      <w:pPr>
        <w:pStyle w:val="BodyText"/>
        <w:spacing w:line="278" w:lineRule="auto"/>
        <w:ind w:left="1903" w:right="540"/>
        <w:jc w:val="both"/>
      </w:pPr>
      <w:r>
        <w:rPr>
          <w:b/>
          <w:spacing w:val="-7"/>
        </w:rPr>
        <w:t xml:space="preserve">能量增益因子 </w:t>
      </w:r>
      <w:r>
        <w:rPr>
          <w:b/>
        </w:rPr>
        <w:t>Q</w:t>
      </w:r>
      <w:r>
        <w:rPr>
          <w:b/>
          <w:spacing w:val="-12"/>
        </w:rPr>
        <w:t xml:space="preserve"> 是自持的关键因素之一。</w:t>
      </w:r>
      <w:r>
        <w:t>Q</w:t>
      </w:r>
      <w:r>
        <w:rPr>
          <w:spacing w:val="-12"/>
        </w:rPr>
        <w:t xml:space="preserve"> 表示输出能量与输入能量之比。</w:t>
      </w:r>
      <w:r>
        <w:t>Q＞1</w:t>
      </w:r>
      <w:r>
        <w:rPr>
          <w:spacing w:val="-10"/>
        </w:rPr>
        <w:t xml:space="preserve"> 表示输出的</w:t>
      </w:r>
      <w:r>
        <w:rPr>
          <w:spacing w:val="-9"/>
        </w:rPr>
        <w:t>能量大于维持反应所需输入的能量，是论证可控核聚变科学可行性的第一步。一般认为，当Q</w:t>
      </w:r>
      <w:r>
        <w:rPr>
          <w:spacing w:val="-19"/>
        </w:rPr>
        <w:t xml:space="preserve"> 值大于 </w:t>
      </w:r>
      <w:r>
        <w:t>5</w:t>
      </w:r>
      <w:r>
        <w:rPr>
          <w:spacing w:val="-12"/>
        </w:rPr>
        <w:t xml:space="preserve"> 的时候，核聚变反应堆能够自我维持。目前世界上 </w:t>
      </w:r>
      <w:r>
        <w:t>Q</w:t>
      </w:r>
      <w:r>
        <w:rPr>
          <w:spacing w:val="-8"/>
        </w:rPr>
        <w:t xml:space="preserve"> 值比较高的可控核聚变实验</w:t>
      </w:r>
      <w:r>
        <w:rPr>
          <w:spacing w:val="-14"/>
        </w:rPr>
        <w:t xml:space="preserve">有英国 </w:t>
      </w:r>
      <w:r>
        <w:rPr>
          <w:spacing w:val="-10"/>
        </w:rPr>
        <w:t>JET，Q</w:t>
      </w:r>
      <w:r>
        <w:rPr>
          <w:spacing w:val="-18"/>
        </w:rPr>
        <w:t xml:space="preserve"> 值≈</w:t>
      </w:r>
      <w:r>
        <w:rPr>
          <w:spacing w:val="-8"/>
        </w:rPr>
        <w:t>0.67，Q</w:t>
      </w:r>
      <w:r>
        <w:rPr>
          <w:spacing w:val="-11"/>
        </w:rPr>
        <w:t xml:space="preserve"> 值的最高纪录则由日本的 </w:t>
      </w:r>
      <w:hyperlink r:id="rId11">
        <w:r>
          <w:t>JT-60</w:t>
        </w:r>
        <w:r>
          <w:rPr>
            <w:spacing w:val="-42"/>
          </w:rPr>
          <w:t xml:space="preserve"> </w:t>
        </w:r>
      </w:hyperlink>
      <w:r>
        <w:rPr>
          <w:spacing w:val="-4"/>
        </w:rPr>
        <w:t>托卡马克反应堆保持，</w:t>
      </w:r>
      <w:r>
        <w:rPr>
          <w:spacing w:val="-8"/>
        </w:rPr>
        <w:t>Q=1.25</w:t>
      </w:r>
      <w:r>
        <w:t>。</w:t>
      </w:r>
    </w:p>
    <w:p>
      <w:pPr>
        <w:spacing w:after="0" w:line="278" w:lineRule="auto"/>
        <w:jc w:val="both"/>
        <w:sectPr>
          <w:headerReference w:type="default" r:id="rId12"/>
          <w:footerReference w:type="default" r:id="rId13"/>
          <w:pgSz w:w="11910" w:h="16840"/>
          <w:pgMar w:top="840" w:right="300" w:bottom="1200" w:left="840" w:header="708" w:footer="708"/>
          <w:pgNumType w:start="3"/>
          <w:cols w:space="708"/>
        </w:sectPr>
      </w:pPr>
    </w:p>
    <w:p>
      <w:pPr>
        <w:pStyle w:val="BodyText"/>
        <w:spacing w:before="9"/>
        <w:rPr>
          <w:sz w:val="14"/>
        </w:rPr>
      </w:pPr>
    </w:p>
    <w:p>
      <w:pPr>
        <w:pStyle w:val="BodyText"/>
        <w:spacing w:before="72" w:line="278" w:lineRule="auto"/>
        <w:ind w:left="1903" w:right="540"/>
        <w:jc w:val="both"/>
      </w:pPr>
      <w:r>
        <w:rPr>
          <w:b/>
        </w:rPr>
        <w:t>自持的另一个核心难点是氚原料的自持。</w:t>
      </w:r>
      <w:r>
        <w:t>以目前人类的技术水平,只能实现基于氘-氚聚变</w:t>
      </w:r>
      <w:r>
        <w:rPr>
          <w:spacing w:val="-4"/>
        </w:rPr>
        <w:t xml:space="preserve">的第一代聚变堆建设。虽然地球上的氘资源十分充足,但是氚的半衰期只有 </w:t>
      </w:r>
      <w:r>
        <w:t>12.43</w:t>
      </w:r>
      <w:r>
        <w:rPr>
          <w:spacing w:val="-8"/>
        </w:rPr>
        <w:t xml:space="preserve"> 年，因此</w:t>
      </w:r>
      <w:r>
        <w:rPr>
          <w:spacing w:val="-10"/>
        </w:rPr>
        <w:t xml:space="preserve">在地球上并不存在天然氚。根据 </w:t>
      </w:r>
      <w:r>
        <w:t>ITER 2018</w:t>
      </w:r>
      <w:r>
        <w:rPr>
          <w:spacing w:val="-11"/>
        </w:rPr>
        <w:t xml:space="preserve"> 年研究计划的预测，目前可用的氚存量</w:t>
      </w:r>
      <w:r>
        <w:rPr>
          <w:spacing w:val="-3"/>
        </w:rPr>
        <w:t>（</w:t>
      </w:r>
      <w:r>
        <w:rPr>
          <w:spacing w:val="-2"/>
        </w:rPr>
        <w:t>据估计</w:t>
      </w:r>
      <w:r>
        <w:rPr>
          <w:spacing w:val="-10"/>
        </w:rPr>
        <w:t xml:space="preserve">约为 </w:t>
      </w:r>
      <w:r>
        <w:t>25</w:t>
      </w:r>
      <w:r>
        <w:rPr>
          <w:spacing w:val="-9"/>
        </w:rPr>
        <w:t xml:space="preserve"> 公斤</w:t>
      </w:r>
      <w:r>
        <w:rPr>
          <w:spacing w:val="-3"/>
        </w:rPr>
        <w:t>）将在十年内达到峰值，之后会随着它的出售和衰变而稳步下降。这使得保障氚的供应成为实现受控氘氚聚变反应所必须解决的重要挑战之一。</w:t>
      </w:r>
    </w:p>
    <w:p>
      <w:pPr>
        <w:pStyle w:val="BodyText"/>
        <w:spacing w:before="12"/>
      </w:pPr>
    </w:p>
    <w:p>
      <w:pPr>
        <w:pStyle w:val="BodyText"/>
        <w:ind w:left="1903"/>
      </w:pPr>
      <w:r>
        <w:t>目前氚的产生只能靠中子与锂反应，反应式如下：</w:t>
      </w:r>
    </w:p>
    <w:p>
      <w:pPr>
        <w:pStyle w:val="BodyText"/>
        <w:spacing w:before="9"/>
        <w:rPr>
          <w:sz w:val="24"/>
        </w:rPr>
      </w:pPr>
    </w:p>
    <w:p>
      <w:pPr>
        <w:spacing w:before="0" w:line="516" w:lineRule="auto"/>
        <w:ind w:left="4004" w:right="4121" w:firstLine="4"/>
        <w:jc w:val="center"/>
        <w:rPr>
          <w:rFonts w:ascii="Times New Roman" w:hAnsi="Times New Roman"/>
          <w:sz w:val="24"/>
        </w:rPr>
      </w:pPr>
      <w:r>
        <w:rPr>
          <w:rFonts w:ascii="Times New Roman" w:hAnsi="Times New Roman"/>
          <w:color w:val="666666"/>
          <w:sz w:val="24"/>
        </w:rPr>
        <w:t>n+</w:t>
      </w:r>
      <w:r>
        <w:rPr>
          <w:rFonts w:ascii="Times New Roman" w:hAnsi="Times New Roman"/>
          <w:color w:val="666666"/>
          <w:position w:val="6"/>
          <w:sz w:val="12"/>
        </w:rPr>
        <w:t>6</w:t>
      </w:r>
      <w:r>
        <w:rPr>
          <w:rFonts w:ascii="Times New Roman" w:hAnsi="Times New Roman"/>
          <w:color w:val="666666"/>
          <w:sz w:val="24"/>
        </w:rPr>
        <w:t>Li→T+</w:t>
      </w:r>
      <w:r>
        <w:rPr>
          <w:rFonts w:ascii="Times New Roman" w:hAnsi="Times New Roman"/>
          <w:color w:val="666666"/>
          <w:position w:val="6"/>
          <w:sz w:val="12"/>
        </w:rPr>
        <w:t>4</w:t>
      </w:r>
      <w:r>
        <w:rPr>
          <w:rFonts w:ascii="Times New Roman" w:hAnsi="Times New Roman"/>
          <w:color w:val="666666"/>
          <w:sz w:val="24"/>
        </w:rPr>
        <w:t>He+4.78 MeV n+</w:t>
      </w:r>
      <w:r>
        <w:rPr>
          <w:rFonts w:ascii="Times New Roman" w:hAnsi="Times New Roman"/>
          <w:color w:val="666666"/>
          <w:position w:val="6"/>
          <w:sz w:val="12"/>
        </w:rPr>
        <w:t>7</w:t>
      </w:r>
      <w:r>
        <w:rPr>
          <w:rFonts w:ascii="Times New Roman" w:hAnsi="Times New Roman"/>
          <w:color w:val="666666"/>
          <w:sz w:val="24"/>
        </w:rPr>
        <w:t>Li→T+He+n-2.47 MeV</w:t>
      </w:r>
    </w:p>
    <w:p>
      <w:pPr>
        <w:pStyle w:val="BodyText"/>
        <w:spacing w:before="4" w:line="278" w:lineRule="auto"/>
        <w:ind w:left="1903" w:right="542"/>
        <w:jc w:val="both"/>
      </w:pPr>
      <w:r>
        <w:rPr>
          <w:b/>
          <w:spacing w:val="-7"/>
        </w:rPr>
        <w:t>该反应除对锂资源产生需求外，还需要其他中子增殖材料。</w:t>
      </w:r>
      <w:r>
        <w:rPr>
          <w:spacing w:val="-8"/>
        </w:rPr>
        <w:t>据陈永静等《核聚变将最终成为</w:t>
      </w:r>
      <w:r>
        <w:rPr>
          <w:spacing w:val="-12"/>
        </w:rPr>
        <w:t>未来的能源吗？》，产氚需要中子,为了使聚变能够持续进行,需要一整套复杂的氚产生及在</w:t>
      </w:r>
      <w:r>
        <w:rPr>
          <w:spacing w:val="-4"/>
        </w:rPr>
        <w:t>线处理系统。这不仅要求充分利用氘-氚反应产生的中子, 还需要对中子进行增殖，以保证</w:t>
      </w:r>
      <w:r>
        <w:rPr>
          <w:spacing w:val="-8"/>
        </w:rPr>
        <w:t>有足够的氚增殖系数。因此,聚变堆需要用到大量的中子增殖材料,如铍、铅等。考虑到上述</w:t>
      </w:r>
      <w:r>
        <w:rPr>
          <w:spacing w:val="-7"/>
        </w:rPr>
        <w:t xml:space="preserve">矿产资源有限，如果用铅替代铍作为中子增殖剂,目前的储量将可维持 </w:t>
      </w:r>
      <w:r>
        <w:t>175000</w:t>
      </w:r>
      <w:r>
        <w:rPr>
          <w:spacing w:val="-18"/>
        </w:rPr>
        <w:t xml:space="preserve"> 年。</w:t>
      </w:r>
    </w:p>
    <w:p>
      <w:pPr>
        <w:pStyle w:val="BodyText"/>
        <w:spacing w:before="11"/>
        <w:rPr>
          <w:sz w:val="19"/>
        </w:rPr>
      </w:pPr>
    </w:p>
    <w:p>
      <w:pPr>
        <w:tabs>
          <w:tab w:val="left" w:pos="5466"/>
        </w:tabs>
        <w:spacing w:before="1" w:after="4"/>
        <w:ind w:left="120" w:right="0" w:firstLine="0"/>
        <w:jc w:val="left"/>
        <w:rPr>
          <w:b/>
          <w:sz w:val="18"/>
        </w:rPr>
      </w:pPr>
      <w:r>
        <w:rPr>
          <w:b/>
          <w:sz w:val="18"/>
        </w:rPr>
        <w:t>图表</w:t>
      </w:r>
      <w:r>
        <w:rPr>
          <w:b/>
          <w:spacing w:val="-46"/>
          <w:sz w:val="18"/>
        </w:rPr>
        <w:t xml:space="preserve"> </w:t>
      </w:r>
      <w:r>
        <w:rPr>
          <w:b/>
          <w:sz w:val="18"/>
        </w:rPr>
        <w:t>3：氚循环原理示意图</w:t>
        <w:tab/>
        <w:t>图表</w:t>
      </w:r>
      <w:r>
        <w:rPr>
          <w:b/>
          <w:spacing w:val="-46"/>
          <w:sz w:val="18"/>
        </w:rPr>
        <w:t xml:space="preserve"> </w:t>
      </w:r>
      <w:r>
        <w:rPr>
          <w:b/>
          <w:sz w:val="18"/>
        </w:rPr>
        <w:t>4：聚变堆基本结构剖面图</w:t>
      </w:r>
    </w:p>
    <w:p>
      <w:pPr>
        <w:spacing w:line="20" w:lineRule="exact"/>
        <w:ind w:left="2" w:right="0" w:firstLine="0"/>
        <w:rPr>
          <w:sz w:val="2"/>
        </w:rPr>
      </w:pPr>
      <w:r>
        <w:rPr>
          <w:sz w:val="2"/>
        </w:rPr>
        <w:pict>
          <v:group id="_x0000_i1028" style="width:256.3pt;height:1pt;mso-position-horizontal-relative:char;mso-position-vertical-relative:line" coordorigin="0,0" coordsize="5126,20">
            <v:line id="_x0000_s1029" style="position:absolute" from="0,10" to="5125,10" stroked="t" strokecolor="#1f4e79" strokeweight="0.96pt">
              <v:stroke dashstyle="solid"/>
            </v:line>
            <w10:wrap type="none"/>
          </v:group>
        </w:pict>
      </w:r>
      <w:r>
        <w:rPr>
          <w:rFonts w:ascii="Times New Roman"/>
          <w:spacing w:val="182"/>
          <w:sz w:val="2"/>
        </w:rPr>
        <w:t xml:space="preserve"> </w:t>
      </w:r>
      <w:r>
        <w:rPr>
          <w:spacing w:val="182"/>
          <w:sz w:val="2"/>
        </w:rPr>
        <w:pict>
          <v:group id="_x0000_i1030" style="width:242.95pt;height:1pt;mso-position-horizontal-relative:char;mso-position-vertical-relative:line" coordorigin="0,0" coordsize="4859,20">
            <v:line id="_x0000_s1031" style="position:absolute" from="0,10" to="4859,10" stroked="t" strokecolor="#1f4e79" strokeweight="0.96pt">
              <v:stroke dashstyle="solid"/>
            </v:line>
            <w10:wrap type="none"/>
          </v:group>
        </w:pict>
      </w:r>
    </w:p>
    <w:p>
      <w:pPr>
        <w:pStyle w:val="BodyText"/>
        <w:spacing w:before="6"/>
        <w:rPr>
          <w:b/>
          <w:sz w:val="7"/>
        </w:rPr>
      </w:pPr>
      <w:r>
        <w:drawing>
          <wp:anchor distT="0" distB="0" distL="0" distR="0" simplePos="0" relativeHeight="251664384" behindDoc="0" locked="0" layoutInCell="1" allowOverlap="1">
            <wp:simplePos x="0" y="0"/>
            <wp:positionH relativeFrom="page">
              <wp:posOffset>608965</wp:posOffset>
            </wp:positionH>
            <wp:positionV relativeFrom="paragraph">
              <wp:posOffset>85668</wp:posOffset>
            </wp:positionV>
            <wp:extent cx="3046547" cy="2355056"/>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pic:nvPicPr>
                  <pic:blipFill>
                    <a:blip xmlns:r="http://schemas.openxmlformats.org/officeDocument/2006/relationships" r:embed="rId14" cstate="print"/>
                    <a:stretch>
                      <a:fillRect/>
                    </a:stretch>
                  </pic:blipFill>
                  <pic:spPr>
                    <a:xfrm>
                      <a:off x="0" y="0"/>
                      <a:ext cx="3046547" cy="2355056"/>
                    </a:xfrm>
                    <a:prstGeom prst="rect">
                      <a:avLst/>
                    </a:prstGeom>
                  </pic:spPr>
                </pic:pic>
              </a:graphicData>
            </a:graphic>
          </wp:anchor>
        </w:drawing>
      </w:r>
      <w:r>
        <w:drawing>
          <wp:anchor distT="0" distB="0" distL="0" distR="0" simplePos="0" relativeHeight="251665408" behindDoc="0" locked="0" layoutInCell="1" allowOverlap="1">
            <wp:simplePos x="0" y="0"/>
            <wp:positionH relativeFrom="page">
              <wp:posOffset>4036948</wp:posOffset>
            </wp:positionH>
            <wp:positionV relativeFrom="paragraph">
              <wp:posOffset>137488</wp:posOffset>
            </wp:positionV>
            <wp:extent cx="2920455" cy="2326005"/>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pic:nvPicPr>
                  <pic:blipFill>
                    <a:blip xmlns:r="http://schemas.openxmlformats.org/officeDocument/2006/relationships" r:embed="rId15" cstate="print"/>
                    <a:stretch>
                      <a:fillRect/>
                    </a:stretch>
                  </pic:blipFill>
                  <pic:spPr>
                    <a:xfrm>
                      <a:off x="0" y="0"/>
                      <a:ext cx="2920455" cy="2326005"/>
                    </a:xfrm>
                    <a:prstGeom prst="rect">
                      <a:avLst/>
                    </a:prstGeom>
                  </pic:spPr>
                </pic:pic>
              </a:graphicData>
            </a:graphic>
          </wp:anchor>
        </w:drawing>
      </w:r>
      <w:r>
        <w:pict>
          <v:shape id="_x0000_s1032" style="width:256.3pt;height:0.1pt;margin-top:203.31pt;margin-left:42.6pt;mso-position-horizontal-relative:page;mso-wrap-distance-left:0;mso-wrap-distance-right:0;position:absolute;z-index:-251650048" coordorigin="852,4066" coordsize="5126,0" path="m852,4066l5977,4066e" filled="f" stroked="t" strokecolor="#1f4e79" strokeweight="0.96pt">
            <v:stroke dashstyle="solid"/>
            <v:path arrowok="t"/>
            <w10:wrap type="topAndBottom"/>
          </v:shape>
        </w:pict>
      </w:r>
      <w:r>
        <w:pict>
          <v:shape id="_x0000_s1033" style="width:242.95pt;height:0.1pt;margin-top:203.31pt;margin-left:310.03pt;mso-position-horizontal-relative:page;mso-wrap-distance-left:0;mso-wrap-distance-right:0;position:absolute;z-index:-251649024" coordorigin="6201,4066" coordsize="4859,0" path="m6201,4066l11059,4066e" filled="f" stroked="t" strokecolor="#1f4e79" strokeweight="0.96pt">
            <v:stroke dashstyle="solid"/>
            <v:path arrowok="t"/>
            <w10:wrap type="topAndBottom"/>
          </v:shape>
        </w:pict>
      </w:r>
    </w:p>
    <w:p>
      <w:pPr>
        <w:pStyle w:val="BodyText"/>
        <w:spacing w:before="6"/>
        <w:rPr>
          <w:b/>
          <w:sz w:val="8"/>
        </w:rPr>
      </w:pPr>
    </w:p>
    <w:p>
      <w:pPr>
        <w:tabs>
          <w:tab w:val="left" w:pos="5466"/>
        </w:tabs>
        <w:spacing w:before="0"/>
        <w:ind w:left="120" w:right="0" w:firstLine="0"/>
        <w:jc w:val="left"/>
        <w:rPr>
          <w:i/>
          <w:sz w:val="17"/>
        </w:rPr>
      </w:pPr>
      <w:r>
        <w:t xml:space="preserve">资料来源：中国激光杂志社，激光评论公众号， </w:t>
        <w:tab/>
        <w:t xml:space="preserve">资料来源：中国激光杂志社，激光评论公众号， </w:t>
      </w:r>
    </w:p>
    <w:p>
      <w:pPr>
        <w:pStyle w:val="BodyText"/>
        <w:rPr>
          <w:i/>
          <w:sz w:val="20"/>
        </w:rPr>
      </w:pPr>
    </w:p>
    <w:p>
      <w:pPr>
        <w:pStyle w:val="BodyText"/>
        <w:spacing w:before="7"/>
        <w:rPr>
          <w:i/>
        </w:rPr>
      </w:pPr>
    </w:p>
    <w:p>
      <w:pPr>
        <w:pStyle w:val="Heading1"/>
        <w:rPr>
          <w:u w:val="none"/>
        </w:rPr>
      </w:pPr>
      <w:r>
        <w:rPr>
          <w:u w:val="single"/>
        </w:rPr>
        <w:t>二、核聚变技术以托卡马克为主，其他多种技术持续探索</w:t>
      </w:r>
    </w:p>
    <w:p>
      <w:pPr>
        <w:pStyle w:val="Heading3"/>
        <w:spacing w:before="99"/>
        <w:rPr>
          <w:rFonts w:ascii="Microsoft JhengHei" w:eastAsia="Microsoft JhengHei" w:hint="eastAsia"/>
        </w:rPr>
      </w:pPr>
      <w:r>
        <w:rPr>
          <w:rFonts w:ascii="Microsoft JhengHei" w:eastAsia="Microsoft JhengHei" w:hint="eastAsia"/>
        </w:rPr>
        <w:t>核聚变的技术路线主要包括磁约束和惯性约束两种类型，而磁约束技术路线比较丰富。</w:t>
      </w:r>
    </w:p>
    <w:p>
      <w:pPr>
        <w:pStyle w:val="BodyText"/>
        <w:spacing w:before="159" w:line="285" w:lineRule="auto"/>
        <w:ind w:left="1903" w:right="540"/>
        <w:jc w:val="both"/>
        <w:rPr>
          <w:rFonts w:ascii="宋体" w:eastAsia="宋体" w:hAnsi="宋体" w:hint="eastAsia"/>
        </w:rPr>
      </w:pPr>
      <w:r>
        <w:rPr>
          <w:rFonts w:ascii="宋体" w:eastAsia="宋体" w:hAnsi="宋体" w:hint="eastAsia"/>
          <w:spacing w:val="-1"/>
          <w:u w:val="single"/>
        </w:rPr>
        <w:t>惯性约束</w:t>
      </w:r>
      <w:r>
        <w:rPr>
          <w:rFonts w:ascii="宋体" w:eastAsia="宋体" w:hAnsi="宋体" w:hint="eastAsia"/>
          <w:spacing w:val="-10"/>
        </w:rPr>
        <w:t>：根据《自然资源科普与文化》，惯性约束指利用外壳的惯性限制聚变规模，通过</w:t>
      </w:r>
      <w:r>
        <w:rPr>
          <w:rFonts w:ascii="宋体" w:eastAsia="宋体" w:hAnsi="宋体" w:hint="eastAsia"/>
          <w:spacing w:val="-9"/>
        </w:rPr>
        <w:t>内爆对热核燃料进行压缩，使其达到高温高密度条件，进而实现热核点火并燃烧，其中最有</w:t>
      </w:r>
      <w:r>
        <w:rPr>
          <w:rFonts w:ascii="宋体" w:eastAsia="宋体" w:hAnsi="宋体" w:hint="eastAsia"/>
          <w:spacing w:val="-5"/>
        </w:rPr>
        <w:t>名的是用激光作为驱动源的惯性约束。</w:t>
      </w:r>
      <w:r>
        <w:rPr>
          <w:rFonts w:ascii="Arial" w:eastAsia="Arial" w:hAnsi="Arial"/>
        </w:rPr>
        <w:t>2023</w:t>
      </w:r>
      <w:r>
        <w:rPr>
          <w:rFonts w:ascii="Arial" w:eastAsia="Arial" w:hAnsi="Arial"/>
          <w:spacing w:val="4"/>
        </w:rPr>
        <w:t xml:space="preserve"> </w:t>
      </w:r>
      <w:r>
        <w:rPr>
          <w:rFonts w:ascii="宋体" w:eastAsia="宋体" w:hAnsi="宋体" w:hint="eastAsia"/>
          <w:spacing w:val="-20"/>
        </w:rPr>
        <w:t xml:space="preserve">年 </w:t>
      </w:r>
      <w:r>
        <w:rPr>
          <w:rFonts w:ascii="Arial" w:eastAsia="Arial" w:hAnsi="Arial"/>
        </w:rPr>
        <w:t>7</w:t>
      </w:r>
      <w:r>
        <w:rPr>
          <w:rFonts w:ascii="Arial" w:eastAsia="Arial" w:hAnsi="Arial"/>
          <w:spacing w:val="5"/>
        </w:rPr>
        <w:t xml:space="preserve"> </w:t>
      </w:r>
      <w:r>
        <w:rPr>
          <w:rFonts w:ascii="宋体" w:eastAsia="宋体" w:hAnsi="宋体" w:hint="eastAsia"/>
          <w:spacing w:val="-20"/>
        </w:rPr>
        <w:t xml:space="preserve">月 </w:t>
      </w:r>
      <w:r>
        <w:rPr>
          <w:rFonts w:ascii="Arial" w:eastAsia="Arial" w:hAnsi="Arial"/>
        </w:rPr>
        <w:t>30</w:t>
      </w:r>
      <w:r>
        <w:rPr>
          <w:rFonts w:ascii="Arial" w:eastAsia="Arial" w:hAnsi="Arial"/>
          <w:spacing w:val="5"/>
        </w:rPr>
        <w:t xml:space="preserve"> </w:t>
      </w:r>
      <w:r>
        <w:rPr>
          <w:rFonts w:ascii="宋体" w:eastAsia="宋体" w:hAnsi="宋体" w:hint="eastAsia"/>
          <w:spacing w:val="-3"/>
        </w:rPr>
        <w:t>日，美国劳伦斯</w:t>
      </w:r>
      <w:r>
        <w:rPr>
          <w:rFonts w:ascii="Arial" w:eastAsia="Arial" w:hAnsi="Arial"/>
        </w:rPr>
        <w:t>·</w:t>
      </w:r>
      <w:r>
        <w:rPr>
          <w:rFonts w:ascii="宋体" w:eastAsia="宋体" w:hAnsi="宋体" w:hint="eastAsia"/>
          <w:spacing w:val="-3"/>
        </w:rPr>
        <w:t>利弗莫尔国家实验</w:t>
      </w:r>
    </w:p>
    <w:p>
      <w:pPr>
        <w:pStyle w:val="BodyText"/>
        <w:ind w:left="1903"/>
        <w:jc w:val="both"/>
        <w:rPr>
          <w:rFonts w:ascii="宋体" w:eastAsia="宋体" w:hAnsi="宋体" w:hint="eastAsia"/>
        </w:rPr>
      </w:pPr>
      <w:r>
        <w:rPr>
          <w:rFonts w:ascii="宋体" w:eastAsia="宋体" w:hAnsi="宋体" w:hint="eastAsia"/>
          <w:spacing w:val="-11"/>
        </w:rPr>
        <w:t>室宣布国家点火装置</w:t>
      </w:r>
      <w:r>
        <w:rPr>
          <w:rFonts w:ascii="宋体" w:eastAsia="宋体" w:hAnsi="宋体" w:hint="eastAsia"/>
          <w:spacing w:val="-15"/>
        </w:rPr>
        <w:t>（</w:t>
      </w:r>
      <w:r>
        <w:rPr>
          <w:rFonts w:ascii="Arial" w:eastAsia="Arial" w:hAnsi="Arial"/>
          <w:spacing w:val="-15"/>
        </w:rPr>
        <w:t>NIF</w:t>
      </w:r>
      <w:r>
        <w:rPr>
          <w:rFonts w:ascii="宋体" w:eastAsia="宋体" w:hAnsi="宋体" w:hint="eastAsia"/>
          <w:spacing w:val="-15"/>
        </w:rPr>
        <w:t>）</w:t>
      </w:r>
      <w:r>
        <w:rPr>
          <w:rFonts w:ascii="宋体" w:eastAsia="宋体" w:hAnsi="宋体" w:hint="eastAsia"/>
          <w:spacing w:val="-10"/>
        </w:rPr>
        <w:t>取得新突破，就是采用了</w:t>
      </w:r>
      <w:r>
        <w:rPr>
          <w:rFonts w:ascii="Arial" w:eastAsia="Arial" w:hAnsi="Arial"/>
          <w:spacing w:val="-4"/>
        </w:rPr>
        <w:t>“</w:t>
      </w:r>
      <w:r>
        <w:rPr>
          <w:rFonts w:ascii="宋体" w:eastAsia="宋体" w:hAnsi="宋体" w:hint="eastAsia"/>
          <w:spacing w:val="-2"/>
        </w:rPr>
        <w:t>激光惯性约束</w:t>
      </w:r>
      <w:r>
        <w:rPr>
          <w:rFonts w:ascii="Arial" w:eastAsia="Arial" w:hAnsi="Arial"/>
        </w:rPr>
        <w:t>”</w:t>
      </w:r>
      <w:r>
        <w:rPr>
          <w:rFonts w:ascii="宋体" w:eastAsia="宋体" w:hAnsi="宋体" w:hint="eastAsia"/>
          <w:spacing w:val="-19"/>
        </w:rPr>
        <w:t xml:space="preserve">制造，耗资 </w:t>
      </w:r>
      <w:r>
        <w:rPr>
          <w:rFonts w:ascii="Arial" w:eastAsia="Arial" w:hAnsi="Arial"/>
        </w:rPr>
        <w:t>35</w:t>
      </w:r>
      <w:r>
        <w:rPr>
          <w:rFonts w:ascii="Arial" w:eastAsia="Arial" w:hAnsi="Arial"/>
          <w:spacing w:val="19"/>
        </w:rPr>
        <w:t xml:space="preserve"> </w:t>
      </w:r>
      <w:r>
        <w:rPr>
          <w:rFonts w:ascii="宋体" w:eastAsia="宋体" w:hAnsi="宋体" w:hint="eastAsia"/>
          <w:spacing w:val="-3"/>
        </w:rPr>
        <w:t>亿美元。</w:t>
      </w:r>
    </w:p>
    <w:p>
      <w:pPr>
        <w:spacing w:before="102"/>
        <w:ind w:left="1920" w:right="0" w:firstLine="0"/>
        <w:jc w:val="left"/>
        <w:rPr>
          <w:rFonts w:ascii="Microsoft JhengHei" w:eastAsia="Microsoft JhengHei" w:hint="eastAsia"/>
          <w:b/>
          <w:sz w:val="18"/>
        </w:rPr>
      </w:pPr>
      <w:r>
        <w:pict>
          <v:line id="_x0000_s1034" style="mso-position-horizontal-relative:page;position:absolute;z-index:251668480" from="132pt,20.2pt" to="554.75pt,20.2pt" stroked="t" strokecolor="#1f4e79" strokeweight="0.96pt">
            <v:stroke dashstyle="solid"/>
          </v:line>
        </w:pict>
      </w:r>
      <w:r>
        <w:rPr>
          <w:rFonts w:ascii="Microsoft JhengHei" w:eastAsia="Microsoft JhengHei" w:hint="eastAsia"/>
          <w:b/>
          <w:color w:val="152E57"/>
          <w:sz w:val="18"/>
        </w:rPr>
        <w:t xml:space="preserve">图表 </w:t>
      </w:r>
      <w:r>
        <w:rPr>
          <w:rFonts w:ascii="Arial" w:eastAsia="Arial"/>
          <w:b/>
          <w:color w:val="152E57"/>
          <w:sz w:val="18"/>
        </w:rPr>
        <w:t>5</w:t>
      </w:r>
      <w:r>
        <w:rPr>
          <w:rFonts w:ascii="Microsoft JhengHei" w:eastAsia="Microsoft JhengHei" w:hint="eastAsia"/>
          <w:b/>
          <w:color w:val="152E57"/>
          <w:sz w:val="18"/>
        </w:rPr>
        <w:t>：惯性约束装置示意图</w:t>
      </w:r>
    </w:p>
    <w:p>
      <w:pPr>
        <w:spacing w:after="0"/>
        <w:jc w:val="left"/>
        <w:rPr>
          <w:rFonts w:ascii="Microsoft JhengHei" w:eastAsia="Microsoft JhengHei" w:hint="eastAsia"/>
          <w:sz w:val="18"/>
        </w:rPr>
        <w:sectPr>
          <w:headerReference w:type="default" r:id="rId16"/>
          <w:footerReference w:type="default" r:id="rId17"/>
          <w:pgSz w:w="11910" w:h="16840"/>
          <w:pgMar w:top="840" w:right="300" w:bottom="1200" w:left="840" w:header="708" w:footer="708"/>
          <w:pgNumType w:start="4"/>
          <w:cols w:space="708"/>
        </w:sectPr>
      </w:pPr>
    </w:p>
    <w:p>
      <w:pPr>
        <w:pStyle w:val="BodyText"/>
        <w:rPr>
          <w:rFonts w:ascii="Microsoft JhengHei"/>
          <w:b/>
          <w:sz w:val="2"/>
        </w:rPr>
      </w:pPr>
    </w:p>
    <w:p>
      <w:pPr>
        <w:pStyle w:val="BodyText"/>
        <w:ind w:left="1804"/>
        <w:rPr>
          <w:rFonts w:ascii="Microsoft JhengHei"/>
          <w:sz w:val="20"/>
        </w:rPr>
      </w:pPr>
      <w:r>
        <w:rPr>
          <w:rFonts w:ascii="Microsoft JhengHei"/>
          <w:sz w:val="20"/>
        </w:rPr>
        <w:pict>
          <v:group id="_x0000_i1035" style="width:422.05pt;height:358.4pt;mso-position-horizontal-relative:char;mso-position-vertical-relative:line" coordorigin="0,0" coordsize="8441,7168">
            <v:line id="_x0000_s1036" style="position:absolute" from="0,7158" to="8440,7158" stroked="t" strokecolor="#1f4e79" strokeweight="0.96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7" type="#_x0000_t75" style="width:7175;height:7120;left:627;position:absolute" stroked="f">
              <v:imagedata r:id="rId18" o:title=""/>
            </v:shape>
            <w10:wrap type="none"/>
          </v:group>
        </w:pict>
      </w:r>
    </w:p>
    <w:p>
      <w:pPr>
        <w:spacing w:before="20"/>
        <w:ind w:left="1920" w:right="0" w:firstLine="0"/>
        <w:jc w:val="left"/>
        <w:rPr>
          <w:rFonts w:ascii="宋体" w:eastAsia="宋体" w:hAnsi="宋体" w:hint="eastAsia"/>
          <w:sz w:val="17"/>
        </w:rPr>
      </w:pPr>
      <w:r>
        <w:t xml:space="preserve">资料来源：吴西顺等《人类“终极能源”：可控核聚变》，自然资源科普与文化，地球科普网， </w:t>
      </w:r>
    </w:p>
    <w:p>
      <w:pPr>
        <w:pStyle w:val="BodyText"/>
        <w:spacing w:before="97" w:line="285" w:lineRule="auto"/>
        <w:ind w:left="1903" w:right="540"/>
        <w:jc w:val="both"/>
        <w:rPr>
          <w:rFonts w:ascii="宋体" w:eastAsia="宋体" w:hAnsi="宋体" w:hint="eastAsia"/>
        </w:rPr>
      </w:pPr>
      <w:r>
        <w:rPr>
          <w:rFonts w:ascii="宋体" w:eastAsia="宋体" w:hAnsi="宋体" w:hint="eastAsia"/>
          <w:spacing w:val="-1"/>
          <w:u w:val="single"/>
        </w:rPr>
        <w:t>磁约束</w:t>
      </w:r>
      <w:r>
        <w:rPr>
          <w:rFonts w:ascii="宋体" w:eastAsia="宋体" w:hAnsi="宋体" w:hint="eastAsia"/>
          <w:spacing w:val="-11"/>
        </w:rPr>
        <w:t>：根据《自然资源科普与文化》，磁约束指利用磁场把氘、氚等轻原子核和自由电子</w:t>
      </w:r>
      <w:r>
        <w:rPr>
          <w:rFonts w:ascii="宋体" w:eastAsia="宋体" w:hAnsi="宋体" w:hint="eastAsia"/>
          <w:spacing w:val="-10"/>
        </w:rPr>
        <w:t>组成的超高温等离子体约束在有限空间内，让核聚变反应发生并释放能量。由于在核聚变高</w:t>
      </w:r>
      <w:r>
        <w:rPr>
          <w:rFonts w:ascii="宋体" w:eastAsia="宋体" w:hAnsi="宋体" w:hint="eastAsia"/>
          <w:spacing w:val="-6"/>
        </w:rPr>
        <w:t xml:space="preserve">温下没有任何材料是固态的，俄国科学家于 </w:t>
      </w:r>
      <w:r>
        <w:rPr>
          <w:rFonts w:ascii="Arial" w:eastAsia="Arial" w:hAnsi="Arial"/>
        </w:rPr>
        <w:t xml:space="preserve">1968 </w:t>
      </w:r>
      <w:r>
        <w:rPr>
          <w:rFonts w:ascii="宋体" w:eastAsia="宋体" w:hAnsi="宋体" w:hint="eastAsia"/>
          <w:spacing w:val="-2"/>
        </w:rPr>
        <w:t>年首先提出用</w:t>
      </w:r>
      <w:r>
        <w:rPr>
          <w:rFonts w:ascii="Arial" w:eastAsia="Arial" w:hAnsi="Arial"/>
        </w:rPr>
        <w:t>“</w:t>
      </w:r>
      <w:r>
        <w:rPr>
          <w:rFonts w:ascii="宋体" w:eastAsia="宋体" w:hAnsi="宋体" w:hint="eastAsia"/>
          <w:spacing w:val="-3"/>
        </w:rPr>
        <w:t>托卡马克</w:t>
      </w:r>
      <w:r>
        <w:rPr>
          <w:rFonts w:ascii="宋体" w:eastAsia="宋体" w:hAnsi="宋体" w:hint="eastAsia"/>
          <w:spacing w:val="-4"/>
        </w:rPr>
        <w:t>（</w:t>
      </w:r>
      <w:r>
        <w:rPr>
          <w:rFonts w:ascii="Arial" w:eastAsia="Arial" w:hAnsi="Arial"/>
          <w:spacing w:val="-4"/>
        </w:rPr>
        <w:t>Tokamak</w:t>
      </w:r>
      <w:r>
        <w:rPr>
          <w:rFonts w:ascii="宋体" w:eastAsia="宋体" w:hAnsi="宋体" w:hint="eastAsia"/>
          <w:spacing w:val="-4"/>
        </w:rPr>
        <w:t>）</w:t>
      </w:r>
      <w:r>
        <w:rPr>
          <w:rFonts w:ascii="Arial" w:eastAsia="Arial" w:hAnsi="Arial"/>
          <w:spacing w:val="-4"/>
        </w:rPr>
        <w:t>”</w:t>
      </w:r>
      <w:r>
        <w:rPr>
          <w:rFonts w:ascii="宋体" w:eastAsia="宋体" w:hAnsi="宋体" w:hint="eastAsia"/>
        </w:rPr>
        <w:t>方</w:t>
      </w:r>
      <w:r>
        <w:rPr>
          <w:rFonts w:ascii="宋体" w:eastAsia="宋体" w:hAnsi="宋体" w:hint="eastAsia"/>
          <w:spacing w:val="-9"/>
        </w:rPr>
        <w:t>法来约束核聚变。托卡马克是俄语中</w:t>
      </w:r>
      <w:r>
        <w:rPr>
          <w:rFonts w:ascii="Arial" w:eastAsia="Arial" w:hAnsi="Arial"/>
          <w:spacing w:val="-4"/>
        </w:rPr>
        <w:t>“</w:t>
      </w:r>
      <w:r>
        <w:rPr>
          <w:rFonts w:ascii="宋体" w:eastAsia="宋体" w:hAnsi="宋体" w:hint="eastAsia"/>
        </w:rPr>
        <w:t>磁场</w:t>
      </w:r>
      <w:r>
        <w:rPr>
          <w:rFonts w:ascii="Arial" w:eastAsia="Arial" w:hAnsi="Arial"/>
          <w:spacing w:val="-3"/>
        </w:rPr>
        <w:t>”“</w:t>
      </w:r>
      <w:r>
        <w:rPr>
          <w:rFonts w:ascii="宋体" w:eastAsia="宋体" w:hAnsi="宋体" w:hint="eastAsia"/>
        </w:rPr>
        <w:t>环形</w:t>
      </w:r>
      <w:r>
        <w:rPr>
          <w:rFonts w:ascii="Arial" w:eastAsia="Arial" w:hAnsi="Arial"/>
        </w:rPr>
        <w:t>”“</w:t>
      </w:r>
      <w:r>
        <w:rPr>
          <w:rFonts w:ascii="宋体" w:eastAsia="宋体" w:hAnsi="宋体" w:hint="eastAsia"/>
          <w:spacing w:val="-2"/>
        </w:rPr>
        <w:t>真空室</w:t>
      </w:r>
      <w:r>
        <w:rPr>
          <w:rFonts w:ascii="Arial" w:eastAsia="Arial" w:hAnsi="Arial"/>
        </w:rPr>
        <w:t>”</w:t>
      </w:r>
      <w:r>
        <w:rPr>
          <w:rFonts w:ascii="宋体" w:eastAsia="宋体" w:hAnsi="宋体" w:hint="eastAsia"/>
          <w:spacing w:val="-8"/>
        </w:rPr>
        <w:t>三个词词头的组合。这种磁约束的</w:t>
      </w:r>
      <w:r>
        <w:rPr>
          <w:rFonts w:ascii="宋体" w:eastAsia="宋体" w:hAnsi="宋体" w:hint="eastAsia"/>
          <w:spacing w:val="-5"/>
        </w:rPr>
        <w:t>形状就像一个</w:t>
      </w:r>
      <w:r>
        <w:rPr>
          <w:rFonts w:ascii="Arial" w:eastAsia="Arial" w:hAnsi="Arial"/>
        </w:rPr>
        <w:t>“</w:t>
      </w:r>
      <w:r>
        <w:rPr>
          <w:rFonts w:ascii="宋体" w:eastAsia="宋体" w:hAnsi="宋体" w:hint="eastAsia"/>
          <w:spacing w:val="-2"/>
        </w:rPr>
        <w:t>甜甜圈</w:t>
      </w:r>
      <w:r>
        <w:rPr>
          <w:rFonts w:ascii="Arial" w:eastAsia="Arial" w:hAnsi="Arial"/>
          <w:spacing w:val="-6"/>
        </w:rPr>
        <w:t>”</w:t>
      </w:r>
      <w:r>
        <w:rPr>
          <w:rFonts w:ascii="宋体" w:eastAsia="宋体" w:hAnsi="宋体" w:hint="eastAsia"/>
          <w:spacing w:val="-4"/>
        </w:rPr>
        <w:t>，用无形的磁场将等离子体束缚住而持续反应。托卡马克技术较为成</w:t>
      </w:r>
      <w:r>
        <w:rPr>
          <w:rFonts w:ascii="宋体" w:eastAsia="宋体" w:hAnsi="宋体" w:hint="eastAsia"/>
          <w:spacing w:val="-8"/>
        </w:rPr>
        <w:t xml:space="preserve">熟，如位于英国的 </w:t>
      </w:r>
      <w:r>
        <w:rPr>
          <w:rFonts w:ascii="Arial" w:eastAsia="Arial" w:hAnsi="Arial"/>
        </w:rPr>
        <w:t xml:space="preserve">JET </w:t>
      </w:r>
      <w:r>
        <w:rPr>
          <w:rFonts w:ascii="宋体" w:eastAsia="宋体" w:hAnsi="宋体" w:hint="eastAsia"/>
          <w:spacing w:val="-13"/>
        </w:rPr>
        <w:t xml:space="preserve">装置于 </w:t>
      </w:r>
      <w:r>
        <w:rPr>
          <w:rFonts w:ascii="Arial" w:eastAsia="Arial" w:hAnsi="Arial"/>
        </w:rPr>
        <w:t xml:space="preserve">2021 </w:t>
      </w:r>
      <w:r>
        <w:rPr>
          <w:rFonts w:ascii="宋体" w:eastAsia="宋体" w:hAnsi="宋体" w:hint="eastAsia"/>
          <w:spacing w:val="-21"/>
        </w:rPr>
        <w:t xml:space="preserve">年 </w:t>
      </w:r>
      <w:r>
        <w:rPr>
          <w:rFonts w:ascii="Arial" w:eastAsia="Arial" w:hAnsi="Arial"/>
        </w:rPr>
        <w:t xml:space="preserve">12 </w:t>
      </w:r>
      <w:r>
        <w:rPr>
          <w:rFonts w:ascii="宋体" w:eastAsia="宋体" w:hAnsi="宋体" w:hint="eastAsia"/>
          <w:spacing w:val="-12"/>
        </w:rPr>
        <w:t xml:space="preserve">月生产了 </w:t>
      </w:r>
      <w:r>
        <w:rPr>
          <w:rFonts w:ascii="Arial" w:eastAsia="Arial" w:hAnsi="Arial"/>
        </w:rPr>
        <w:t xml:space="preserve">5 </w:t>
      </w:r>
      <w:r>
        <w:rPr>
          <w:rFonts w:ascii="宋体" w:eastAsia="宋体" w:hAnsi="宋体" w:hint="eastAsia"/>
          <w:spacing w:val="-9"/>
        </w:rPr>
        <w:t xml:space="preserve">秒内持续提供 </w:t>
      </w:r>
      <w:r>
        <w:rPr>
          <w:rFonts w:ascii="Arial" w:eastAsia="Arial" w:hAnsi="Arial"/>
        </w:rPr>
        <w:t xml:space="preserve">59 </w:t>
      </w:r>
      <w:r>
        <w:rPr>
          <w:rFonts w:ascii="宋体" w:eastAsia="宋体" w:hAnsi="宋体" w:hint="eastAsia"/>
          <w:spacing w:val="-3"/>
        </w:rPr>
        <w:t>兆焦耳的能量。除了托卡马克，仿星器、磁镜、球形环、紧凑环、环箍缩等采用的也是磁约束方法。</w:t>
      </w:r>
    </w:p>
    <w:p>
      <w:pPr>
        <w:spacing w:before="48"/>
        <w:ind w:left="1920" w:right="0" w:firstLine="0"/>
        <w:jc w:val="both"/>
        <w:rPr>
          <w:rFonts w:ascii="Microsoft JhengHei" w:eastAsia="Microsoft JhengHei" w:hint="eastAsia"/>
          <w:b/>
          <w:sz w:val="18"/>
        </w:rPr>
      </w:pPr>
      <w:r>
        <w:pict>
          <v:line id="_x0000_s1038" style="mso-position-horizontal-relative:page;position:absolute;z-index:251669504" from="132pt,17.6pt" to="554.75pt,17.6pt" stroked="t" strokecolor="#1f4e79" strokeweight="0.96pt">
            <v:stroke dashstyle="solid"/>
          </v:line>
        </w:pict>
      </w:r>
      <w:r>
        <w:rPr>
          <w:rFonts w:ascii="Microsoft JhengHei" w:eastAsia="Microsoft JhengHei" w:hint="eastAsia"/>
          <w:b/>
          <w:color w:val="152E57"/>
          <w:sz w:val="18"/>
        </w:rPr>
        <w:t xml:space="preserve">图表 </w:t>
      </w:r>
      <w:r>
        <w:rPr>
          <w:rFonts w:ascii="Arial" w:eastAsia="Arial"/>
          <w:b/>
          <w:color w:val="152E57"/>
          <w:sz w:val="18"/>
        </w:rPr>
        <w:t>6</w:t>
      </w:r>
      <w:r>
        <w:rPr>
          <w:rFonts w:ascii="Microsoft JhengHei" w:eastAsia="Microsoft JhengHei" w:hint="eastAsia"/>
          <w:b/>
          <w:color w:val="152E57"/>
          <w:sz w:val="18"/>
        </w:rPr>
        <w:t>：托卡马克装置示意图</w:t>
      </w:r>
    </w:p>
    <w:p>
      <w:pPr>
        <w:spacing w:after="0"/>
        <w:jc w:val="both"/>
        <w:rPr>
          <w:rFonts w:ascii="Microsoft JhengHei" w:eastAsia="Microsoft JhengHei" w:hint="eastAsia"/>
          <w:sz w:val="18"/>
        </w:rPr>
        <w:sectPr>
          <w:headerReference w:type="default" r:id="rId19"/>
          <w:footerReference w:type="default" r:id="rId20"/>
          <w:pgSz w:w="11910" w:h="16840"/>
          <w:pgMar w:top="1100" w:right="300" w:bottom="1200" w:left="840" w:header="708" w:footer="708"/>
          <w:pgNumType w:start="5"/>
          <w:cols w:space="708"/>
        </w:sectPr>
      </w:pPr>
    </w:p>
    <w:p>
      <w:pPr>
        <w:pStyle w:val="BodyText"/>
        <w:spacing w:before="17"/>
        <w:rPr>
          <w:rFonts w:ascii="Microsoft JhengHei"/>
          <w:b/>
          <w:sz w:val="4"/>
        </w:rPr>
      </w:pPr>
    </w:p>
    <w:p>
      <w:pPr>
        <w:pStyle w:val="BodyText"/>
        <w:ind w:left="2322"/>
        <w:rPr>
          <w:rFonts w:ascii="Microsoft JhengHei"/>
          <w:sz w:val="20"/>
        </w:rPr>
      </w:pPr>
      <w:r>
        <w:rPr>
          <w:rFonts w:ascii="Microsoft JhengHei"/>
          <w:sz w:val="20"/>
        </w:rPr>
        <w:drawing>
          <wp:inline distT="0" distB="0" distL="0" distR="0">
            <wp:extent cx="4695535" cy="3833622"/>
            <wp:effectExtent l="0" t="0" r="0" b="0"/>
            <wp:docPr id="11"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jpeg"/>
                    <pic:cNvPicPr/>
                  </pic:nvPicPr>
                  <pic:blipFill>
                    <a:blip xmlns:r="http://schemas.openxmlformats.org/officeDocument/2006/relationships" r:embed="rId21" cstate="print"/>
                    <a:stretch>
                      <a:fillRect/>
                    </a:stretch>
                  </pic:blipFill>
                  <pic:spPr>
                    <a:xfrm>
                      <a:off x="0" y="0"/>
                      <a:ext cx="4695535" cy="3833622"/>
                    </a:xfrm>
                    <a:prstGeom prst="rect">
                      <a:avLst/>
                    </a:prstGeom>
                  </pic:spPr>
                </pic:pic>
              </a:graphicData>
            </a:graphic>
          </wp:inline>
        </w:drawing>
      </w:r>
    </w:p>
    <w:p>
      <w:pPr>
        <w:pStyle w:val="BodyText"/>
        <w:spacing w:before="1"/>
        <w:rPr>
          <w:rFonts w:ascii="Microsoft JhengHei"/>
          <w:b/>
          <w:sz w:val="6"/>
        </w:rPr>
      </w:pPr>
    </w:p>
    <w:p>
      <w:pPr>
        <w:pStyle w:val="BodyText"/>
        <w:spacing w:line="20" w:lineRule="exact"/>
        <w:ind w:left="1804"/>
        <w:rPr>
          <w:rFonts w:ascii="Microsoft JhengHei"/>
          <w:sz w:val="2"/>
        </w:rPr>
      </w:pPr>
      <w:r>
        <w:rPr>
          <w:rFonts w:ascii="Microsoft JhengHei"/>
          <w:sz w:val="2"/>
        </w:rPr>
        <w:pict>
          <v:group id="_x0000_i1039" style="width:422.05pt;height:1pt;mso-position-horizontal-relative:char;mso-position-vertical-relative:line" coordorigin="0,0" coordsize="8441,20">
            <v:line id="_x0000_s1040" style="position:absolute" from="0,10" to="8440,10" stroked="t" strokecolor="#1f4e79" strokeweight="0.96pt">
              <v:stroke dashstyle="solid"/>
            </v:line>
            <w10:wrap type="none"/>
          </v:group>
        </w:pict>
      </w:r>
    </w:p>
    <w:p>
      <w:pPr>
        <w:spacing w:before="0" w:line="211" w:lineRule="exact"/>
        <w:ind w:left="1920" w:right="0" w:firstLine="0"/>
        <w:jc w:val="left"/>
        <w:rPr>
          <w:rFonts w:ascii="宋体" w:eastAsia="宋体" w:hAnsi="宋体" w:hint="eastAsia"/>
          <w:sz w:val="17"/>
        </w:rPr>
      </w:pPr>
      <w:r>
        <w:t xml:space="preserve">资料来源：吴西顺等《人类“终极能源”：可控核聚变》，自然资源科普与文化，地球科普网， </w:t>
      </w:r>
    </w:p>
    <w:p>
      <w:pPr>
        <w:pStyle w:val="BodyText"/>
        <w:spacing w:before="1"/>
        <w:rPr>
          <w:rFonts w:ascii="宋体"/>
          <w:sz w:val="10"/>
        </w:rPr>
      </w:pPr>
    </w:p>
    <w:p>
      <w:pPr>
        <w:spacing w:before="2" w:line="242" w:lineRule="auto"/>
        <w:ind w:left="1903" w:right="439" w:firstLine="0"/>
        <w:jc w:val="left"/>
        <w:rPr>
          <w:rFonts w:ascii="宋体" w:eastAsia="宋体" w:hint="eastAsia"/>
          <w:sz w:val="21"/>
        </w:rPr>
      </w:pPr>
      <w:r>
        <w:rPr>
          <w:rFonts w:ascii="Microsoft JhengHei" w:eastAsia="Microsoft JhengHei" w:hint="eastAsia"/>
          <w:b/>
          <w:spacing w:val="-9"/>
          <w:sz w:val="21"/>
        </w:rPr>
        <w:t>在磁约束领域，除托卡马克外仍有其他技术路线持续探索。</w:t>
      </w:r>
      <w:r>
        <w:rPr>
          <w:rFonts w:ascii="宋体" w:eastAsia="宋体" w:hint="eastAsia"/>
          <w:spacing w:val="-3"/>
          <w:sz w:val="21"/>
        </w:rPr>
        <w:t>仿星器的设计与托卡马克一样是</w:t>
      </w:r>
      <w:r>
        <w:rPr>
          <w:rFonts w:ascii="宋体" w:eastAsia="宋体" w:hint="eastAsia"/>
          <w:spacing w:val="-4"/>
          <w:sz w:val="21"/>
        </w:rPr>
        <w:t>将等离子体限制在一个密封的环形腔体内，但通过使用一组更复杂的外部线圈</w:t>
      </w:r>
      <w:r>
        <w:rPr>
          <w:rFonts w:ascii="Arial" w:eastAsia="Arial"/>
          <w:sz w:val="21"/>
        </w:rPr>
        <w:t>(</w:t>
      </w:r>
      <w:r>
        <w:rPr>
          <w:rFonts w:ascii="宋体" w:eastAsia="宋体" w:hint="eastAsia"/>
          <w:sz w:val="21"/>
        </w:rPr>
        <w:t>蓝色</w:t>
      </w:r>
      <w:r>
        <w:rPr>
          <w:rFonts w:ascii="Arial" w:eastAsia="Arial"/>
          <w:spacing w:val="-4"/>
          <w:sz w:val="21"/>
        </w:rPr>
        <w:t>)</w:t>
      </w:r>
      <w:r>
        <w:rPr>
          <w:rFonts w:ascii="宋体" w:eastAsia="宋体" w:hint="eastAsia"/>
          <w:spacing w:val="-2"/>
          <w:sz w:val="21"/>
        </w:rPr>
        <w:t>来控制</w:t>
      </w:r>
    </w:p>
    <w:p>
      <w:pPr>
        <w:pStyle w:val="BodyText"/>
        <w:spacing w:before="49" w:line="285" w:lineRule="auto"/>
        <w:ind w:left="1903" w:right="439"/>
        <w:rPr>
          <w:rFonts w:ascii="宋体" w:eastAsia="宋体" w:hint="eastAsia"/>
        </w:rPr>
      </w:pPr>
      <w:r>
        <w:rPr>
          <w:rFonts w:ascii="宋体" w:eastAsia="宋体" w:hint="eastAsia"/>
          <w:spacing w:val="-13"/>
        </w:rPr>
        <w:t>等离子体，从而消除了对环形腔体中循环电流的需求；场反转结构</w:t>
      </w:r>
      <w:r>
        <w:rPr>
          <w:rFonts w:ascii="Arial" w:eastAsia="Arial"/>
        </w:rPr>
        <w:t>(FRC)</w:t>
      </w:r>
      <w:r>
        <w:rPr>
          <w:rFonts w:ascii="宋体" w:eastAsia="宋体" w:hint="eastAsia"/>
          <w:spacing w:val="-3"/>
        </w:rPr>
        <w:t xml:space="preserve">是一种线性反应堆， </w:t>
      </w:r>
      <w:r>
        <w:rPr>
          <w:rFonts w:ascii="宋体" w:eastAsia="宋体" w:hint="eastAsia"/>
          <w:spacing w:val="-10"/>
        </w:rPr>
        <w:t>由于其结构的简单性，目标是实现更小的体积和更低的成本，该结构是由等离子枪从反应室的两端发射的两个更简单的漩涡合并而成的，从侧面加入燃料束使该结构保持高温并快速旋</w:t>
      </w:r>
      <w:r>
        <w:rPr>
          <w:rFonts w:ascii="宋体" w:eastAsia="宋体" w:hint="eastAsia"/>
          <w:spacing w:val="-5"/>
        </w:rPr>
        <w:t>转，它拥有稳定的等离子体漩涡并与自己的内部电流和磁场结合在一起。</w:t>
      </w:r>
    </w:p>
    <w:p>
      <w:pPr>
        <w:tabs>
          <w:tab w:val="left" w:pos="5007"/>
        </w:tabs>
        <w:spacing w:before="48"/>
        <w:ind w:left="120" w:right="0" w:firstLine="0"/>
        <w:jc w:val="left"/>
        <w:rPr>
          <w:rFonts w:ascii="Microsoft JhengHei" w:eastAsia="Microsoft JhengHei" w:hint="eastAsia"/>
          <w:b/>
          <w:sz w:val="18"/>
        </w:rPr>
      </w:pPr>
      <w:r>
        <w:pict>
          <v:line id="_x0000_s1041" style="mso-position-horizontal-relative:page;position:absolute;z-index:251673600" from="42.6pt,17.6pt" to="275.95pt,17.6pt" stroked="t" strokecolor="#1f4e79" strokeweight="0.96pt">
            <v:stroke dashstyle="solid"/>
          </v:line>
        </w:pict>
      </w:r>
      <w:r>
        <w:pict>
          <v:group id="_x0000_s1042" style="width:265.85pt;height:180.35pt;margin-top:17.13pt;margin-left:287.11pt;mso-position-horizontal-relative:page;position:absolute;z-index:251674624" coordorigin="5742,343" coordsize="5317,3607">
            <v:line id="_x0000_s1043" style="position:absolute" from="5742,352" to="11059,352" stroked="t" strokecolor="#1f4e79" strokeweight="0.96pt">
              <v:stroke dashstyle="solid"/>
            </v:line>
            <v:shape id="_x0000_s1044" type="#_x0000_t75" style="width:4975;height:3558;left:5890;position:absolute;top:392" stroked="f">
              <v:imagedata r:id="rId22" o:title=""/>
            </v:shape>
          </v:group>
        </w:pict>
      </w:r>
      <w:r>
        <w:rPr>
          <w:rFonts w:ascii="Microsoft JhengHei" w:eastAsia="Microsoft JhengHei" w:hint="eastAsia"/>
          <w:b/>
          <w:color w:val="152E57"/>
          <w:sz w:val="18"/>
        </w:rPr>
        <w:t>图表</w:t>
      </w:r>
      <w:r>
        <w:rPr>
          <w:rFonts w:ascii="Microsoft JhengHei" w:eastAsia="Microsoft JhengHei" w:hint="eastAsia"/>
          <w:b/>
          <w:color w:val="152E57"/>
          <w:spacing w:val="3"/>
          <w:sz w:val="18"/>
        </w:rPr>
        <w:t xml:space="preserve"> </w:t>
      </w:r>
      <w:r>
        <w:rPr>
          <w:rFonts w:ascii="Arial" w:eastAsia="Arial"/>
          <w:b/>
          <w:color w:val="152E57"/>
          <w:sz w:val="18"/>
        </w:rPr>
        <w:t>7</w:t>
      </w:r>
      <w:r>
        <w:rPr>
          <w:rFonts w:ascii="Microsoft JhengHei" w:eastAsia="Microsoft JhengHei" w:hint="eastAsia"/>
          <w:b/>
          <w:color w:val="152E57"/>
          <w:sz w:val="18"/>
        </w:rPr>
        <w:t>：仿星器示意图</w:t>
        <w:tab/>
        <w:t>图表</w:t>
      </w:r>
      <w:r>
        <w:rPr>
          <w:rFonts w:ascii="Microsoft JhengHei" w:eastAsia="Microsoft JhengHei" w:hint="eastAsia"/>
          <w:b/>
          <w:color w:val="152E57"/>
          <w:spacing w:val="3"/>
          <w:sz w:val="18"/>
        </w:rPr>
        <w:t xml:space="preserve"> </w:t>
      </w:r>
      <w:r>
        <w:rPr>
          <w:rFonts w:ascii="Arial" w:eastAsia="Arial"/>
          <w:b/>
          <w:color w:val="152E57"/>
          <w:sz w:val="18"/>
        </w:rPr>
        <w:t>8</w:t>
      </w:r>
      <w:r>
        <w:rPr>
          <w:rFonts w:ascii="Microsoft JhengHei" w:eastAsia="Microsoft JhengHei" w:hint="eastAsia"/>
          <w:b/>
          <w:color w:val="152E57"/>
          <w:sz w:val="18"/>
        </w:rPr>
        <w:t>：场反转结构示意图</w:t>
      </w:r>
    </w:p>
    <w:p>
      <w:pPr>
        <w:pStyle w:val="BodyText"/>
        <w:spacing w:before="9"/>
        <w:rPr>
          <w:rFonts w:ascii="Microsoft JhengHei"/>
          <w:b/>
          <w:sz w:val="7"/>
        </w:rPr>
      </w:pPr>
      <w:r>
        <w:drawing>
          <wp:anchor distT="0" distB="0" distL="0" distR="0" simplePos="0" relativeHeight="251670528" behindDoc="0" locked="0" layoutInCell="1" allowOverlap="1">
            <wp:simplePos x="0" y="0"/>
            <wp:positionH relativeFrom="page">
              <wp:posOffset>802640</wp:posOffset>
            </wp:positionH>
            <wp:positionV relativeFrom="paragraph">
              <wp:posOffset>112396</wp:posOffset>
            </wp:positionV>
            <wp:extent cx="2315311" cy="2286000"/>
            <wp:effectExtent l="0" t="0" r="0" b="0"/>
            <wp:wrapTopAndBottom/>
            <wp:docPr id="13"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9.jpeg"/>
                    <pic:cNvPicPr/>
                  </pic:nvPicPr>
                  <pic:blipFill>
                    <a:blip xmlns:r="http://schemas.openxmlformats.org/officeDocument/2006/relationships" r:embed="rId23" cstate="print"/>
                    <a:stretch>
                      <a:fillRect/>
                    </a:stretch>
                  </pic:blipFill>
                  <pic:spPr>
                    <a:xfrm>
                      <a:off x="0" y="0"/>
                      <a:ext cx="2315311" cy="2286000"/>
                    </a:xfrm>
                    <a:prstGeom prst="rect">
                      <a:avLst/>
                    </a:prstGeom>
                  </pic:spPr>
                </pic:pic>
              </a:graphicData>
            </a:graphic>
          </wp:anchor>
        </w:drawing>
      </w:r>
      <w:r>
        <w:pict>
          <v:shape id="_x0000_s1045" style="width:233.35pt;height:0.1pt;margin-top:202.48pt;margin-left:42.6pt;mso-position-horizontal-relative:page;mso-wrap-distance-left:0;mso-wrap-distance-right:0;position:absolute;z-index:-251644928" coordorigin="852,4050" coordsize="4667,0" path="m852,4050l5519,4050e" filled="f" stroked="t" strokecolor="#1f4e79" strokeweight="0.96pt">
            <v:stroke dashstyle="solid"/>
            <v:path arrowok="t"/>
            <w10:wrap type="topAndBottom"/>
          </v:shape>
        </w:pict>
      </w:r>
      <w:r>
        <w:pict>
          <v:shape id="_x0000_s1046" style="width:265.85pt;height:0.1pt;margin-top:202.48pt;margin-left:287.11pt;mso-position-horizontal-relative:page;mso-wrap-distance-left:0;mso-wrap-distance-right:0;position:absolute;z-index:-251643904" coordorigin="5742,4050" coordsize="5317,0" path="m5742,4050l11059,4050e" filled="f" stroked="t" strokecolor="#1f4e79" strokeweight="0.96pt">
            <v:stroke dashstyle="solid"/>
            <v:path arrowok="t"/>
            <w10:wrap type="topAndBottom"/>
          </v:shape>
        </w:pict>
      </w:r>
    </w:p>
    <w:p>
      <w:pPr>
        <w:pStyle w:val="BodyText"/>
        <w:spacing w:before="10"/>
        <w:rPr>
          <w:rFonts w:ascii="Microsoft JhengHei"/>
          <w:b/>
          <w:sz w:val="10"/>
        </w:rPr>
      </w:pPr>
    </w:p>
    <w:p>
      <w:pPr>
        <w:tabs>
          <w:tab w:val="left" w:pos="5007"/>
        </w:tabs>
        <w:spacing w:before="0"/>
        <w:ind w:left="120" w:right="0" w:firstLine="0"/>
        <w:jc w:val="left"/>
        <w:rPr>
          <w:rFonts w:ascii="宋体" w:eastAsia="宋体" w:hint="eastAsia"/>
          <w:sz w:val="17"/>
        </w:rPr>
      </w:pPr>
      <w:r>
        <w:t xml:space="preserve">资料来源：中国物理学会期刊网， </w:t>
        <w:tab/>
        <w:t xml:space="preserve">资料来源：中国物理学会期刊网， </w:t>
      </w:r>
    </w:p>
    <w:p>
      <w:pPr>
        <w:pStyle w:val="BodyText"/>
        <w:spacing w:before="3"/>
        <w:rPr>
          <w:rFonts w:ascii="宋体"/>
          <w:sz w:val="10"/>
        </w:rPr>
      </w:pPr>
    </w:p>
    <w:p>
      <w:pPr>
        <w:spacing w:before="2"/>
        <w:ind w:left="1903" w:right="0" w:firstLine="0"/>
        <w:jc w:val="left"/>
        <w:rPr>
          <w:rFonts w:ascii="宋体" w:eastAsia="宋体" w:hint="eastAsia"/>
          <w:sz w:val="21"/>
        </w:rPr>
      </w:pPr>
      <w:r>
        <w:rPr>
          <w:rFonts w:ascii="Microsoft JhengHei" w:eastAsia="Microsoft JhengHei" w:hint="eastAsia"/>
          <w:b/>
          <w:spacing w:val="-6"/>
          <w:sz w:val="21"/>
        </w:rPr>
        <w:t>聚变裂变混合堆具备发展可能性。</w:t>
      </w:r>
      <w:r>
        <w:rPr>
          <w:rFonts w:ascii="宋体" w:eastAsia="宋体" w:hint="eastAsia"/>
          <w:spacing w:val="-5"/>
          <w:sz w:val="21"/>
        </w:rPr>
        <w:t>该结构是在聚变反应室外放置一层足够厚的由天然铀、铀</w:t>
      </w:r>
    </w:p>
    <w:p>
      <w:pPr>
        <w:pStyle w:val="BodyText"/>
        <w:spacing w:before="3" w:line="285" w:lineRule="auto"/>
        <w:ind w:left="1903" w:right="540"/>
        <w:rPr>
          <w:rFonts w:ascii="宋体" w:eastAsia="宋体" w:hint="eastAsia"/>
        </w:rPr>
        <w:sectPr>
          <w:headerReference w:type="default" r:id="rId24"/>
          <w:footerReference w:type="default" r:id="rId25"/>
          <w:pgSz w:w="11910" w:h="16840"/>
          <w:pgMar w:top="1100" w:right="300" w:bottom="1200" w:left="840" w:header="708" w:footer="708"/>
          <w:pgNumType w:start="6"/>
          <w:cols w:space="708"/>
        </w:sectPr>
      </w:pPr>
      <w:r>
        <w:rPr>
          <w:rFonts w:ascii="宋体" w:eastAsia="宋体" w:hint="eastAsia"/>
        </w:rPr>
        <w:t>－</w:t>
      </w:r>
      <w:r>
        <w:rPr>
          <w:rFonts w:ascii="Arial" w:eastAsia="Arial"/>
        </w:rPr>
        <w:t>238</w:t>
      </w:r>
      <w:r>
        <w:rPr>
          <w:rFonts w:ascii="Arial" w:eastAsia="Arial"/>
          <w:spacing w:val="-24"/>
        </w:rPr>
        <w:t xml:space="preserve"> </w:t>
      </w:r>
      <w:r>
        <w:rPr>
          <w:rFonts w:ascii="宋体" w:eastAsia="宋体" w:hint="eastAsia"/>
          <w:spacing w:val="-2"/>
        </w:rPr>
        <w:t>或钍－</w:t>
      </w:r>
      <w:r>
        <w:rPr>
          <w:rFonts w:ascii="Arial" w:eastAsia="Arial"/>
        </w:rPr>
        <w:t>232</w:t>
      </w:r>
      <w:r>
        <w:rPr>
          <w:rFonts w:ascii="Arial" w:eastAsia="Arial"/>
          <w:spacing w:val="-20"/>
        </w:rPr>
        <w:t xml:space="preserve"> </w:t>
      </w:r>
      <w:r>
        <w:rPr>
          <w:rFonts w:ascii="宋体" w:eastAsia="宋体" w:hint="eastAsia"/>
          <w:spacing w:val="-12"/>
        </w:rPr>
        <w:t>组成的裂变包层，聚变产生的中子将在裂变包层生产钚－</w:t>
      </w:r>
      <w:r>
        <w:rPr>
          <w:rFonts w:ascii="Arial" w:eastAsia="Arial"/>
        </w:rPr>
        <w:t>239</w:t>
      </w:r>
      <w:r>
        <w:rPr>
          <w:rFonts w:ascii="Arial" w:eastAsia="Arial"/>
          <w:spacing w:val="-23"/>
        </w:rPr>
        <w:t xml:space="preserve"> </w:t>
      </w:r>
      <w:r>
        <w:rPr>
          <w:rFonts w:ascii="宋体" w:eastAsia="宋体" w:hint="eastAsia"/>
        </w:rPr>
        <w:t>及铀－</w:t>
      </w:r>
      <w:r>
        <w:rPr>
          <w:rFonts w:ascii="Arial" w:eastAsia="Arial"/>
        </w:rPr>
        <w:t>233</w:t>
      </w:r>
      <w:r>
        <w:rPr>
          <w:rFonts w:ascii="宋体" w:eastAsia="宋体" w:hint="eastAsia"/>
        </w:rPr>
        <w:t xml:space="preserve">， </w:t>
      </w:r>
    </w:p>
    <w:p>
      <w:pPr>
        <w:pStyle w:val="BodyText"/>
        <w:spacing w:before="3" w:line="285" w:lineRule="auto"/>
        <w:ind w:left="1903" w:right="540"/>
        <w:rPr>
          <w:rFonts w:ascii="宋体" w:eastAsia="宋体" w:hint="eastAsia"/>
        </w:rPr>
      </w:pPr>
      <w:r>
        <w:rPr>
          <w:rFonts w:ascii="宋体" w:eastAsia="宋体" w:hint="eastAsia"/>
          <w:spacing w:val="-9"/>
        </w:rPr>
        <w:t>并释放出裂变能。混合堆相较于快堆具有不需要初始装料、生产燃料速度快的优势，相较于</w:t>
      </w:r>
    </w:p>
    <w:p>
      <w:pPr>
        <w:spacing w:after="0" w:line="285" w:lineRule="auto"/>
        <w:rPr>
          <w:rFonts w:ascii="宋体" w:eastAsia="宋体" w:hint="eastAsia"/>
        </w:rPr>
        <w:sectPr>
          <w:headerReference w:type="default" r:id="rId26"/>
          <w:footerReference w:type="default" r:id="rId27"/>
          <w:type w:val="nextPage"/>
          <w:pgSz w:w="11910" w:h="16840"/>
          <w:pgMar w:top="1100" w:right="300" w:bottom="1200" w:left="840" w:header="708" w:footer="708"/>
          <w:pgNumType w:start="7"/>
          <w:cols w:space="708"/>
          <w:titlePg w:val="0"/>
        </w:sectPr>
      </w:pPr>
    </w:p>
    <w:p>
      <w:pPr>
        <w:pStyle w:val="BodyText"/>
        <w:spacing w:before="8"/>
        <w:rPr>
          <w:rFonts w:ascii="宋体"/>
          <w:sz w:val="16"/>
        </w:rPr>
      </w:pPr>
    </w:p>
    <w:p>
      <w:pPr>
        <w:pStyle w:val="BodyText"/>
        <w:spacing w:before="72"/>
        <w:ind w:left="1903"/>
        <w:rPr>
          <w:rFonts w:ascii="宋体" w:eastAsia="宋体" w:hint="eastAsia"/>
        </w:rPr>
      </w:pPr>
      <w:r>
        <w:rPr>
          <w:rFonts w:ascii="宋体" w:eastAsia="宋体" w:hint="eastAsia"/>
        </w:rPr>
        <w:t>纯聚变堆也有更低的工程要求。</w:t>
      </w:r>
    </w:p>
    <w:p>
      <w:pPr>
        <w:pStyle w:val="BodyText"/>
        <w:spacing w:before="139" w:line="264" w:lineRule="auto"/>
        <w:ind w:left="1903" w:right="540"/>
        <w:jc w:val="both"/>
        <w:rPr>
          <w:rFonts w:ascii="宋体" w:eastAsia="宋体" w:hint="eastAsia"/>
        </w:rPr>
      </w:pPr>
      <w:r>
        <w:rPr>
          <w:rFonts w:ascii="Arial" w:eastAsia="Arial"/>
          <w:b/>
        </w:rPr>
        <w:t xml:space="preserve">AI </w:t>
      </w:r>
      <w:r>
        <w:rPr>
          <w:rFonts w:ascii="Microsoft JhengHei" w:eastAsia="Microsoft JhengHei" w:hint="eastAsia"/>
          <w:b/>
          <w:spacing w:val="-6"/>
        </w:rPr>
        <w:t>技术有望助力于托卡马克的等离子体维持。</w:t>
      </w:r>
      <w:r>
        <w:rPr>
          <w:rFonts w:ascii="宋体" w:eastAsia="宋体" w:hint="eastAsia"/>
          <w:spacing w:val="-9"/>
        </w:rPr>
        <w:t xml:space="preserve">核聚变过程中等离子体难以控制、容易撕裂， </w:t>
      </w:r>
      <w:r>
        <w:rPr>
          <w:rFonts w:ascii="宋体" w:eastAsia="宋体" w:hint="eastAsia"/>
          <w:spacing w:val="-25"/>
        </w:rPr>
        <w:t xml:space="preserve">根据 </w:t>
      </w:r>
      <w:r>
        <w:rPr>
          <w:rFonts w:ascii="Arial" w:eastAsia="Arial"/>
        </w:rPr>
        <w:t xml:space="preserve">Jaemin Seo,Joseph Abbate </w:t>
      </w:r>
      <w:r>
        <w:rPr>
          <w:rFonts w:ascii="宋体" w:eastAsia="宋体" w:hint="eastAsia"/>
          <w:spacing w:val="-2"/>
        </w:rPr>
        <w:t>等《</w:t>
      </w:r>
      <w:r>
        <w:rPr>
          <w:rFonts w:ascii="Arial" w:eastAsia="Arial"/>
        </w:rPr>
        <w:t>Avoiding fusion plasma tearing instability with deep reinforcement learning</w:t>
      </w:r>
      <w:r>
        <w:rPr>
          <w:rFonts w:ascii="宋体" w:eastAsia="宋体" w:hint="eastAsia"/>
          <w:spacing w:val="-11"/>
        </w:rPr>
        <w:t xml:space="preserve">》，研究人员发现了一种用 </w:t>
      </w:r>
      <w:r>
        <w:rPr>
          <w:rFonts w:ascii="Arial" w:eastAsia="Arial"/>
        </w:rPr>
        <w:t xml:space="preserve">AI </w:t>
      </w:r>
      <w:r>
        <w:rPr>
          <w:rFonts w:ascii="宋体" w:eastAsia="宋体" w:hint="eastAsia"/>
          <w:spacing w:val="-8"/>
        </w:rPr>
        <w:t xml:space="preserve">预测等离子体撕裂的方法，该 </w:t>
      </w:r>
      <w:r>
        <w:rPr>
          <w:rFonts w:ascii="Arial" w:eastAsia="Arial"/>
        </w:rPr>
        <w:t xml:space="preserve">AI </w:t>
      </w:r>
      <w:r>
        <w:rPr>
          <w:rFonts w:ascii="宋体" w:eastAsia="宋体" w:hint="eastAsia"/>
        </w:rPr>
        <w:t>控制</w:t>
      </w:r>
    </w:p>
    <w:p>
      <w:pPr>
        <w:pStyle w:val="BodyText"/>
        <w:spacing w:before="13"/>
        <w:ind w:left="1903"/>
        <w:rPr>
          <w:rFonts w:ascii="宋体" w:eastAsia="宋体" w:hint="eastAsia"/>
        </w:rPr>
      </w:pPr>
      <w:r>
        <w:rPr>
          <w:rFonts w:ascii="宋体" w:eastAsia="宋体" w:hint="eastAsia"/>
        </w:rPr>
        <w:t xml:space="preserve">系统能够提前 </w:t>
      </w:r>
      <w:r>
        <w:rPr>
          <w:rFonts w:ascii="Arial" w:eastAsia="Arial"/>
        </w:rPr>
        <w:t xml:space="preserve">300 </w:t>
      </w:r>
      <w:r>
        <w:rPr>
          <w:rFonts w:ascii="宋体" w:eastAsia="宋体" w:hint="eastAsia"/>
        </w:rPr>
        <w:t xml:space="preserve">毫秒预测，该报告已经登上 </w:t>
      </w:r>
      <w:r>
        <w:rPr>
          <w:rFonts w:ascii="Arial" w:eastAsia="Arial"/>
        </w:rPr>
        <w:t>Nature</w:t>
      </w:r>
      <w:r>
        <w:rPr>
          <w:rFonts w:ascii="宋体" w:eastAsia="宋体" w:hint="eastAsia"/>
        </w:rPr>
        <w:t>。</w:t>
      </w:r>
    </w:p>
    <w:p>
      <w:pPr>
        <w:pStyle w:val="BodyText"/>
        <w:rPr>
          <w:rFonts w:ascii="宋体"/>
          <w:sz w:val="24"/>
        </w:rPr>
      </w:pPr>
    </w:p>
    <w:p>
      <w:pPr>
        <w:pStyle w:val="BodyText"/>
        <w:spacing w:before="4"/>
        <w:rPr>
          <w:rFonts w:ascii="宋体"/>
          <w:sz w:val="22"/>
        </w:rPr>
      </w:pPr>
    </w:p>
    <w:p>
      <w:pPr>
        <w:pStyle w:val="Heading1"/>
        <w:spacing w:before="0"/>
        <w:rPr>
          <w:u w:val="none"/>
        </w:rPr>
      </w:pPr>
      <w:r>
        <w:rPr>
          <w:u w:val="single"/>
        </w:rPr>
        <w:t>三、国际可控核聚变加速推进，中国可控核聚变发展进入新时期</w:t>
      </w:r>
    </w:p>
    <w:p>
      <w:pPr>
        <w:pStyle w:val="Heading2"/>
        <w:numPr>
          <w:ilvl w:val="1"/>
          <w:numId w:val="6"/>
        </w:numPr>
        <w:tabs>
          <w:tab w:val="left" w:pos="2026"/>
        </w:tabs>
        <w:spacing w:before="125" w:after="0" w:line="240" w:lineRule="auto"/>
        <w:ind w:left="2026" w:right="0" w:hanging="456"/>
        <w:jc w:val="left"/>
      </w:pPr>
      <w:r>
        <w:rPr>
          <w:spacing w:val="-9"/>
        </w:rPr>
        <w:t xml:space="preserve">多国合作推进 </w:t>
      </w:r>
      <w:r>
        <w:rPr>
          <w:rFonts w:ascii="Arial" w:eastAsia="Arial"/>
        </w:rPr>
        <w:t>ITER</w:t>
      </w:r>
      <w:r>
        <w:rPr>
          <w:rFonts w:ascii="Arial" w:eastAsia="Arial"/>
          <w:spacing w:val="53"/>
        </w:rPr>
        <w:t xml:space="preserve"> </w:t>
      </w:r>
      <w:r>
        <w:t>项目，将建成世界最大托卡马克装置</w:t>
      </w:r>
    </w:p>
    <w:p>
      <w:pPr>
        <w:pStyle w:val="BodyText"/>
        <w:spacing w:before="7"/>
        <w:rPr>
          <w:sz w:val="20"/>
        </w:rPr>
      </w:pPr>
    </w:p>
    <w:p>
      <w:pPr>
        <w:pStyle w:val="ListParagraph"/>
        <w:numPr>
          <w:ilvl w:val="2"/>
          <w:numId w:val="6"/>
        </w:numPr>
        <w:tabs>
          <w:tab w:val="left" w:pos="2383"/>
        </w:tabs>
        <w:spacing w:before="1" w:after="0" w:line="240" w:lineRule="auto"/>
        <w:ind w:left="2382" w:right="0" w:hanging="602"/>
        <w:jc w:val="left"/>
        <w:rPr>
          <w:rFonts w:ascii="Arial" w:eastAsia="Arial"/>
          <w:sz w:val="24"/>
        </w:rPr>
      </w:pPr>
      <w:r>
        <w:rPr>
          <w:rFonts w:ascii="Arial" w:eastAsia="Arial"/>
          <w:sz w:val="24"/>
        </w:rPr>
        <w:t>ITER</w:t>
      </w:r>
      <w:r>
        <w:rPr>
          <w:rFonts w:ascii="Arial" w:eastAsia="Arial"/>
          <w:spacing w:val="-6"/>
          <w:sz w:val="24"/>
        </w:rPr>
        <w:t xml:space="preserve"> </w:t>
      </w:r>
      <w:r>
        <w:rPr>
          <w:spacing w:val="-1"/>
          <w:sz w:val="24"/>
        </w:rPr>
        <w:t>是一个国际合作的托卡马克实验项目</w:t>
      </w:r>
    </w:p>
    <w:p>
      <w:pPr>
        <w:pStyle w:val="BodyText"/>
        <w:spacing w:before="5"/>
        <w:rPr>
          <w:sz w:val="18"/>
        </w:rPr>
      </w:pPr>
    </w:p>
    <w:p>
      <w:pPr>
        <w:spacing w:before="0" w:line="264" w:lineRule="auto"/>
        <w:ind w:left="1903" w:right="540" w:firstLine="0"/>
        <w:jc w:val="both"/>
        <w:rPr>
          <w:rFonts w:ascii="宋体" w:eastAsia="宋体" w:hint="eastAsia"/>
          <w:sz w:val="21"/>
        </w:rPr>
      </w:pPr>
      <w:r>
        <w:rPr>
          <w:rFonts w:ascii="Microsoft JhengHei" w:eastAsia="Microsoft JhengHei" w:hint="eastAsia"/>
          <w:b/>
          <w:spacing w:val="-3"/>
          <w:sz w:val="21"/>
        </w:rPr>
        <w:t>可控核聚变研究耗资巨大、研究周期长，要求广泛的国际合作，</w:t>
      </w:r>
      <w:r>
        <w:rPr>
          <w:rFonts w:ascii="Arial" w:eastAsia="Arial"/>
          <w:b/>
          <w:sz w:val="21"/>
        </w:rPr>
        <w:t xml:space="preserve">ITER </w:t>
      </w:r>
      <w:r>
        <w:rPr>
          <w:rFonts w:ascii="Microsoft JhengHei" w:eastAsia="Microsoft JhengHei" w:hint="eastAsia"/>
          <w:b/>
          <w:spacing w:val="-2"/>
          <w:sz w:val="21"/>
        </w:rPr>
        <w:t>应运而生。</w:t>
      </w:r>
      <w:r>
        <w:rPr>
          <w:rFonts w:ascii="宋体" w:eastAsia="宋体" w:hint="eastAsia"/>
          <w:spacing w:val="-3"/>
          <w:sz w:val="21"/>
        </w:rPr>
        <w:t>根据赵君</w:t>
      </w:r>
      <w:r>
        <w:rPr>
          <w:rFonts w:ascii="宋体" w:eastAsia="宋体" w:hint="eastAsia"/>
          <w:spacing w:val="-5"/>
          <w:sz w:val="21"/>
        </w:rPr>
        <w:t xml:space="preserve">煜《国际热核聚变实验堆 </w:t>
      </w:r>
      <w:r>
        <w:rPr>
          <w:rFonts w:ascii="Arial" w:eastAsia="Arial"/>
          <w:sz w:val="21"/>
        </w:rPr>
        <w:t xml:space="preserve">ITER </w:t>
      </w:r>
      <w:r>
        <w:rPr>
          <w:rFonts w:ascii="宋体" w:eastAsia="宋体" w:hint="eastAsia"/>
          <w:spacing w:val="-3"/>
          <w:sz w:val="21"/>
        </w:rPr>
        <w:t>计划》一文，</w:t>
      </w:r>
      <w:r>
        <w:rPr>
          <w:rFonts w:ascii="Arial" w:eastAsia="Arial"/>
          <w:sz w:val="21"/>
        </w:rPr>
        <w:t xml:space="preserve">1985 </w:t>
      </w:r>
      <w:r>
        <w:rPr>
          <w:rFonts w:ascii="宋体" w:eastAsia="宋体" w:hint="eastAsia"/>
          <w:spacing w:val="-3"/>
          <w:sz w:val="21"/>
        </w:rPr>
        <w:t>年提出设计和建造国际热核聚变实验堆</w:t>
      </w:r>
      <w:r>
        <w:rPr>
          <w:rFonts w:ascii="Arial" w:eastAsia="Arial"/>
          <w:spacing w:val="-3"/>
          <w:sz w:val="21"/>
        </w:rPr>
        <w:t>ITER</w:t>
      </w:r>
      <w:r>
        <w:rPr>
          <w:rFonts w:ascii="Arial" w:eastAsia="Arial"/>
          <w:spacing w:val="51"/>
          <w:sz w:val="21"/>
        </w:rPr>
        <w:t xml:space="preserve"> </w:t>
      </w:r>
      <w:r>
        <w:rPr>
          <w:rFonts w:ascii="宋体" w:eastAsia="宋体" w:hint="eastAsia"/>
          <w:spacing w:val="-3"/>
          <w:sz w:val="21"/>
        </w:rPr>
        <w:t>的倡议。根据中国科学院文章，</w:t>
      </w:r>
      <w:r>
        <w:rPr>
          <w:rFonts w:ascii="Arial" w:eastAsia="Arial"/>
          <w:sz w:val="21"/>
        </w:rPr>
        <w:t>2007</w:t>
      </w:r>
      <w:r>
        <w:rPr>
          <w:rFonts w:ascii="Arial" w:eastAsia="Arial"/>
          <w:spacing w:val="54"/>
          <w:sz w:val="21"/>
        </w:rPr>
        <w:t xml:space="preserve"> </w:t>
      </w:r>
      <w:r>
        <w:rPr>
          <w:rFonts w:ascii="宋体" w:eastAsia="宋体" w:hint="eastAsia"/>
          <w:spacing w:val="2"/>
          <w:sz w:val="21"/>
        </w:rPr>
        <w:t xml:space="preserve">年 </w:t>
      </w:r>
      <w:r>
        <w:rPr>
          <w:rFonts w:ascii="Arial" w:eastAsia="Arial"/>
          <w:sz w:val="21"/>
        </w:rPr>
        <w:t>10</w:t>
      </w:r>
      <w:r>
        <w:rPr>
          <w:rFonts w:ascii="Arial" w:eastAsia="Arial"/>
          <w:spacing w:val="53"/>
          <w:sz w:val="21"/>
        </w:rPr>
        <w:t xml:space="preserve"> </w:t>
      </w:r>
      <w:r>
        <w:rPr>
          <w:rFonts w:ascii="宋体" w:eastAsia="宋体" w:hint="eastAsia"/>
          <w:spacing w:val="-3"/>
          <w:sz w:val="21"/>
        </w:rPr>
        <w:t>月核技术研究中心国际热核聚变实验堆</w:t>
      </w:r>
    </w:p>
    <w:p>
      <w:pPr>
        <w:pStyle w:val="BodyText"/>
        <w:spacing w:before="13" w:line="285" w:lineRule="auto"/>
        <w:ind w:left="1903" w:right="540"/>
        <w:jc w:val="both"/>
        <w:rPr>
          <w:rFonts w:ascii="宋体" w:eastAsia="宋体" w:hint="eastAsia"/>
        </w:rPr>
      </w:pPr>
      <w:r>
        <w:rPr>
          <w:rFonts w:ascii="宋体" w:eastAsia="宋体" w:hint="eastAsia"/>
          <w:spacing w:val="-9"/>
        </w:rPr>
        <w:t>（</w:t>
      </w:r>
      <w:r>
        <w:rPr>
          <w:rFonts w:ascii="Arial" w:eastAsia="Arial"/>
          <w:spacing w:val="-9"/>
        </w:rPr>
        <w:t>ITER</w:t>
      </w:r>
      <w:r>
        <w:rPr>
          <w:rFonts w:ascii="宋体" w:eastAsia="宋体" w:hint="eastAsia"/>
          <w:spacing w:val="-9"/>
        </w:rPr>
        <w:t>）</w:t>
      </w:r>
      <w:r>
        <w:rPr>
          <w:rFonts w:ascii="宋体" w:eastAsia="宋体" w:hint="eastAsia"/>
          <w:spacing w:val="-10"/>
        </w:rPr>
        <w:t>组织在法国正式成立，标志着目前全球规模最大、影响最深远的国际重大科研合作</w:t>
      </w:r>
      <w:r>
        <w:rPr>
          <w:rFonts w:ascii="宋体" w:eastAsia="宋体" w:hint="eastAsia"/>
          <w:spacing w:val="-9"/>
        </w:rPr>
        <w:t xml:space="preserve">协议正式启动。当前承担 </w:t>
      </w:r>
      <w:r>
        <w:rPr>
          <w:rFonts w:ascii="Arial" w:eastAsia="Arial"/>
        </w:rPr>
        <w:t xml:space="preserve">ITER </w:t>
      </w:r>
      <w:r>
        <w:rPr>
          <w:rFonts w:ascii="宋体" w:eastAsia="宋体" w:hint="eastAsia"/>
          <w:spacing w:val="-7"/>
        </w:rPr>
        <w:t>计划的是美国、日本、欧盟、中国、俄罗斯、韩国和印度七</w:t>
      </w:r>
      <w:r>
        <w:rPr>
          <w:rFonts w:ascii="宋体" w:eastAsia="宋体" w:hint="eastAsia"/>
          <w:spacing w:val="-5"/>
        </w:rPr>
        <w:t>方，将建设一个为验证全尺寸可控核聚变技术可行性的国际托卡马克实验堆。</w:t>
      </w:r>
    </w:p>
    <w:p>
      <w:pPr>
        <w:tabs>
          <w:tab w:val="left" w:pos="5605"/>
        </w:tabs>
        <w:spacing w:before="49"/>
        <w:ind w:left="120" w:right="0" w:firstLine="0"/>
        <w:jc w:val="left"/>
        <w:rPr>
          <w:rFonts w:ascii="Microsoft JhengHei" w:eastAsia="Microsoft JhengHei" w:hint="eastAsia"/>
          <w:b/>
          <w:sz w:val="18"/>
        </w:rPr>
      </w:pPr>
      <w:r>
        <w:pict>
          <v:group id="_x0000_s1047" style="width:263.25pt;height:189.2pt;margin-top:17.18pt;margin-left:42.6pt;mso-position-horizontal-relative:page;position:absolute;z-index:251675648" coordorigin="852,344" coordsize="5265,3784">
            <v:line id="_x0000_s1048" style="position:absolute" from="852,353" to="6117,353" stroked="t" strokecolor="#1f4e79" strokeweight="0.96pt">
              <v:stroke dashstyle="solid"/>
            </v:line>
            <v:line id="_x0000_s1049" style="position:absolute" from="852,4117" to="6117,4117" stroked="t" strokecolor="#1f4e79" strokeweight="0.96pt">
              <v:stroke dashstyle="solid"/>
            </v:line>
            <v:shape id="_x0000_s1050" type="#_x0000_t75" style="width:5154;height:3646;left:959;position:absolute;top:410" stroked="f">
              <v:imagedata r:id="rId28" o:title=""/>
            </v:shape>
          </v:group>
        </w:pict>
      </w:r>
      <w:r>
        <w:pict>
          <v:group id="_x0000_s1051" style="width:236.1pt;height:189.2pt;margin-top:17.18pt;margin-left:316.87pt;mso-position-horizontal-relative:page;position:absolute;z-index:251676672" coordorigin="6337,344" coordsize="4722,3784">
            <v:line id="_x0000_s1052" style="position:absolute" from="6337,353" to="11059,353" stroked="t" strokecolor="#1f4e79" strokeweight="0.96pt">
              <v:stroke dashstyle="solid"/>
            </v:line>
            <v:line id="_x0000_s1053" style="position:absolute" from="6337,4117" to="11059,4117" stroked="t" strokecolor="#1f4e79" strokeweight="0.96pt">
              <v:stroke dashstyle="solid"/>
            </v:line>
            <v:shape id="_x0000_s1054" type="#_x0000_t75" style="width:4611;height:3645;left:6444;position:absolute;top:410" stroked="f">
              <v:imagedata r:id="rId29" o:title=""/>
            </v:shape>
          </v:group>
        </w:pict>
      </w:r>
      <w:r>
        <w:rPr>
          <w:rFonts w:ascii="Microsoft JhengHei" w:eastAsia="Microsoft JhengHei" w:hint="eastAsia"/>
          <w:b/>
          <w:color w:val="152E57"/>
          <w:sz w:val="18"/>
        </w:rPr>
        <w:t>图表</w:t>
      </w:r>
      <w:r>
        <w:rPr>
          <w:rFonts w:ascii="Microsoft JhengHei" w:eastAsia="Microsoft JhengHei" w:hint="eastAsia"/>
          <w:b/>
          <w:color w:val="152E57"/>
          <w:spacing w:val="3"/>
          <w:sz w:val="18"/>
        </w:rPr>
        <w:t xml:space="preserve"> </w:t>
      </w:r>
      <w:r>
        <w:rPr>
          <w:rFonts w:ascii="Arial" w:eastAsia="Arial"/>
          <w:b/>
          <w:color w:val="152E57"/>
          <w:sz w:val="18"/>
        </w:rPr>
        <w:t>9</w:t>
      </w:r>
      <w:r>
        <w:rPr>
          <w:rFonts w:ascii="Microsoft JhengHei" w:eastAsia="Microsoft JhengHei" w:hint="eastAsia"/>
          <w:b/>
          <w:color w:val="152E57"/>
          <w:sz w:val="18"/>
        </w:rPr>
        <w:t>：</w:t>
      </w:r>
      <w:r>
        <w:rPr>
          <w:rFonts w:ascii="Arial" w:eastAsia="Arial"/>
          <w:b/>
          <w:color w:val="152E57"/>
          <w:sz w:val="18"/>
        </w:rPr>
        <w:t>ITER</w:t>
      </w:r>
      <w:r>
        <w:rPr>
          <w:rFonts w:ascii="Arial" w:eastAsia="Arial"/>
          <w:b/>
          <w:color w:val="152E57"/>
          <w:spacing w:val="-8"/>
          <w:sz w:val="18"/>
        </w:rPr>
        <w:t xml:space="preserve"> </w:t>
      </w:r>
      <w:r>
        <w:rPr>
          <w:rFonts w:ascii="Microsoft JhengHei" w:eastAsia="Microsoft JhengHei" w:hint="eastAsia"/>
          <w:b/>
          <w:color w:val="152E57"/>
          <w:sz w:val="18"/>
        </w:rPr>
        <w:t>装置图</w:t>
        <w:tab/>
        <w:t>图表</w:t>
      </w:r>
      <w:r>
        <w:rPr>
          <w:rFonts w:ascii="Microsoft JhengHei" w:eastAsia="Microsoft JhengHei" w:hint="eastAsia"/>
          <w:b/>
          <w:color w:val="152E57"/>
          <w:spacing w:val="3"/>
          <w:sz w:val="18"/>
        </w:rPr>
        <w:t xml:space="preserve"> </w:t>
      </w:r>
      <w:r>
        <w:rPr>
          <w:rFonts w:ascii="Arial" w:eastAsia="Arial"/>
          <w:b/>
          <w:color w:val="152E57"/>
          <w:sz w:val="18"/>
        </w:rPr>
        <w:t>10</w:t>
      </w:r>
      <w:r>
        <w:rPr>
          <w:rFonts w:ascii="Microsoft JhengHei" w:eastAsia="Microsoft JhengHei" w:hint="eastAsia"/>
          <w:b/>
          <w:color w:val="152E57"/>
          <w:sz w:val="18"/>
        </w:rPr>
        <w:t>：</w:t>
      </w:r>
      <w:r>
        <w:rPr>
          <w:rFonts w:ascii="Arial" w:eastAsia="Arial"/>
          <w:b/>
          <w:color w:val="152E57"/>
          <w:sz w:val="18"/>
        </w:rPr>
        <w:t>ITER</w:t>
      </w:r>
      <w:r>
        <w:rPr>
          <w:rFonts w:ascii="Arial" w:eastAsia="Arial"/>
          <w:b/>
          <w:color w:val="152E57"/>
          <w:spacing w:val="-8"/>
          <w:sz w:val="18"/>
        </w:rPr>
        <w:t xml:space="preserve"> </w:t>
      </w:r>
      <w:r>
        <w:rPr>
          <w:rFonts w:ascii="Microsoft JhengHei" w:eastAsia="Microsoft JhengHei" w:hint="eastAsia"/>
          <w:b/>
          <w:color w:val="152E57"/>
          <w:sz w:val="18"/>
        </w:rPr>
        <w:t>现场准备工作</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3"/>
        <w:rPr>
          <w:rFonts w:ascii="Microsoft JhengHei"/>
          <w:b/>
          <w:sz w:val="19"/>
        </w:rPr>
      </w:pPr>
    </w:p>
    <w:p>
      <w:pPr>
        <w:tabs>
          <w:tab w:val="left" w:pos="5605"/>
        </w:tabs>
        <w:spacing w:before="76"/>
        <w:ind w:left="120" w:right="0" w:firstLine="0"/>
        <w:jc w:val="left"/>
        <w:rPr>
          <w:rFonts w:ascii="宋体" w:eastAsia="宋体" w:hint="eastAsia"/>
          <w:sz w:val="17"/>
        </w:rPr>
      </w:pPr>
      <w:r>
        <w:t xml:space="preserve">资料来源：ITER 官网， </w:t>
        <w:tab/>
        <w:t xml:space="preserve">资料来源：ITER 官网， </w:t>
      </w:r>
    </w:p>
    <w:p>
      <w:pPr>
        <w:pStyle w:val="BodyText"/>
        <w:rPr>
          <w:rFonts w:ascii="宋体"/>
          <w:sz w:val="20"/>
        </w:rPr>
      </w:pPr>
    </w:p>
    <w:p>
      <w:pPr>
        <w:pStyle w:val="Heading2"/>
        <w:numPr>
          <w:ilvl w:val="2"/>
          <w:numId w:val="6"/>
        </w:numPr>
        <w:tabs>
          <w:tab w:val="left" w:pos="2383"/>
        </w:tabs>
        <w:spacing w:before="214" w:after="0" w:line="240" w:lineRule="auto"/>
        <w:ind w:left="2382" w:right="0" w:hanging="602"/>
        <w:jc w:val="left"/>
        <w:rPr>
          <w:rFonts w:ascii="Arial" w:eastAsia="Arial"/>
        </w:rPr>
      </w:pPr>
      <w:r>
        <w:rPr>
          <w:rFonts w:ascii="Arial" w:eastAsia="Arial"/>
        </w:rPr>
        <w:t>ITER</w:t>
      </w:r>
      <w:r>
        <w:rPr>
          <w:rFonts w:ascii="Arial" w:eastAsia="Arial"/>
          <w:spacing w:val="-6"/>
        </w:rPr>
        <w:t xml:space="preserve"> </w:t>
      </w:r>
      <w:r>
        <w:rPr>
          <w:spacing w:val="-1"/>
        </w:rPr>
        <w:t>设立两阶段目标，探索可控聚变发电可能性</w:t>
      </w:r>
    </w:p>
    <w:p>
      <w:pPr>
        <w:pStyle w:val="BodyText"/>
        <w:spacing w:before="6"/>
        <w:rPr>
          <w:sz w:val="18"/>
        </w:rPr>
      </w:pPr>
    </w:p>
    <w:p>
      <w:pPr>
        <w:spacing w:before="0" w:line="264" w:lineRule="auto"/>
        <w:ind w:left="1903" w:right="542" w:firstLine="0"/>
        <w:jc w:val="both"/>
        <w:rPr>
          <w:rFonts w:ascii="宋体" w:eastAsia="宋体" w:hint="eastAsia"/>
          <w:sz w:val="21"/>
        </w:rPr>
      </w:pPr>
      <w:r>
        <w:rPr>
          <w:rFonts w:ascii="Arial" w:eastAsia="Arial"/>
          <w:b/>
          <w:sz w:val="21"/>
        </w:rPr>
        <w:t xml:space="preserve">ITER </w:t>
      </w:r>
      <w:r>
        <w:rPr>
          <w:rFonts w:ascii="Microsoft JhengHei" w:eastAsia="Microsoft JhengHei" w:hint="eastAsia"/>
          <w:b/>
          <w:spacing w:val="-3"/>
          <w:sz w:val="21"/>
        </w:rPr>
        <w:t>将分两阶段进行研究，为商用可控聚变堆提供重要依据。</w:t>
      </w:r>
      <w:r>
        <w:rPr>
          <w:rFonts w:ascii="宋体" w:eastAsia="宋体" w:hint="eastAsia"/>
          <w:spacing w:val="-4"/>
          <w:sz w:val="21"/>
        </w:rPr>
        <w:t>根据赵君煜《国际热核聚变</w:t>
      </w:r>
      <w:r>
        <w:rPr>
          <w:rFonts w:ascii="宋体" w:eastAsia="宋体" w:hint="eastAsia"/>
          <w:spacing w:val="-7"/>
          <w:sz w:val="21"/>
        </w:rPr>
        <w:t xml:space="preserve">实验堆 </w:t>
      </w:r>
      <w:r>
        <w:rPr>
          <w:rFonts w:ascii="Arial" w:eastAsia="Arial"/>
          <w:sz w:val="21"/>
        </w:rPr>
        <w:t xml:space="preserve">ITER </w:t>
      </w:r>
      <w:r>
        <w:rPr>
          <w:rFonts w:ascii="宋体" w:eastAsia="宋体" w:hint="eastAsia"/>
          <w:spacing w:val="-3"/>
          <w:sz w:val="21"/>
        </w:rPr>
        <w:t>计划》一文，</w:t>
      </w:r>
      <w:r>
        <w:rPr>
          <w:rFonts w:ascii="Arial" w:eastAsia="Arial"/>
          <w:sz w:val="21"/>
          <w:u w:val="single"/>
        </w:rPr>
        <w:t>ITER</w:t>
      </w:r>
      <w:r>
        <w:rPr>
          <w:rFonts w:ascii="Arial" w:eastAsia="Arial"/>
          <w:spacing w:val="52"/>
          <w:sz w:val="21"/>
          <w:u w:val="single"/>
        </w:rPr>
        <w:t xml:space="preserve"> </w:t>
      </w:r>
      <w:r>
        <w:rPr>
          <w:rFonts w:ascii="宋体" w:eastAsia="宋体" w:hint="eastAsia"/>
          <w:spacing w:val="-3"/>
          <w:sz w:val="21"/>
          <w:u w:val="single"/>
        </w:rPr>
        <w:t>第一阶段的主要目标</w:t>
      </w:r>
      <w:r>
        <w:rPr>
          <w:rFonts w:ascii="宋体" w:eastAsia="宋体" w:hint="eastAsia"/>
          <w:spacing w:val="-5"/>
          <w:sz w:val="21"/>
        </w:rPr>
        <w:t xml:space="preserve">是建设一个能产生 </w:t>
      </w:r>
      <w:r>
        <w:rPr>
          <w:rFonts w:ascii="Arial" w:eastAsia="Arial"/>
          <w:sz w:val="21"/>
        </w:rPr>
        <w:t>5x10</w:t>
      </w:r>
      <w:r>
        <w:rPr>
          <w:rFonts w:ascii="Arial" w:eastAsia="Arial"/>
          <w:position w:val="7"/>
          <w:sz w:val="14"/>
        </w:rPr>
        <w:t>5</w:t>
      </w:r>
      <w:r>
        <w:rPr>
          <w:rFonts w:ascii="Arial" w:eastAsia="Arial"/>
          <w:sz w:val="21"/>
        </w:rPr>
        <w:t xml:space="preserve">kW </w:t>
      </w:r>
      <w:r>
        <w:rPr>
          <w:rFonts w:ascii="宋体" w:eastAsia="宋体" w:hint="eastAsia"/>
          <w:spacing w:val="-2"/>
          <w:sz w:val="21"/>
        </w:rPr>
        <w:t>聚变功</w:t>
      </w:r>
      <w:r>
        <w:rPr>
          <w:rFonts w:ascii="宋体" w:eastAsia="宋体" w:hint="eastAsia"/>
          <w:spacing w:val="4"/>
          <w:sz w:val="21"/>
        </w:rPr>
        <w:t xml:space="preserve">率、能量增益大于 </w:t>
      </w:r>
      <w:r>
        <w:rPr>
          <w:rFonts w:ascii="Arial" w:eastAsia="Arial"/>
          <w:spacing w:val="2"/>
          <w:sz w:val="21"/>
        </w:rPr>
        <w:t>10</w:t>
      </w:r>
      <w:r>
        <w:rPr>
          <w:rFonts w:ascii="宋体" w:eastAsia="宋体" w:hint="eastAsia"/>
          <w:spacing w:val="2"/>
          <w:sz w:val="21"/>
        </w:rPr>
        <w:t>（</w:t>
      </w:r>
      <w:r>
        <w:rPr>
          <w:rFonts w:ascii="宋体" w:eastAsia="宋体" w:hint="eastAsia"/>
          <w:spacing w:val="1"/>
          <w:sz w:val="21"/>
        </w:rPr>
        <w:t xml:space="preserve">在其他参数不变的情况下，若运行电流为 </w:t>
      </w:r>
      <w:r>
        <w:rPr>
          <w:rFonts w:ascii="Arial" w:eastAsia="Arial"/>
          <w:sz w:val="21"/>
        </w:rPr>
        <w:t>17MA</w:t>
      </w:r>
      <w:r>
        <w:rPr>
          <w:rFonts w:ascii="宋体" w:eastAsia="宋体" w:hint="eastAsia"/>
          <w:sz w:val="21"/>
        </w:rPr>
        <w:t>，则总聚变功率</w:t>
      </w:r>
    </w:p>
    <w:p>
      <w:pPr>
        <w:pStyle w:val="BodyText"/>
        <w:spacing w:before="12" w:line="285" w:lineRule="auto"/>
        <w:ind w:left="1903" w:right="434"/>
        <w:rPr>
          <w:rFonts w:ascii="宋体" w:eastAsia="宋体" w:hint="eastAsia"/>
        </w:rPr>
      </w:pPr>
      <w:r>
        <w:rPr>
          <w:rFonts w:ascii="Arial" w:eastAsia="Arial"/>
        </w:rPr>
        <w:t>700MW</w:t>
      </w:r>
      <w:r>
        <w:rPr>
          <w:rFonts w:ascii="宋体" w:eastAsia="宋体" w:hint="eastAsia"/>
        </w:rPr>
        <w:t>）</w:t>
      </w:r>
      <w:r>
        <w:rPr>
          <w:rFonts w:ascii="宋体" w:eastAsia="宋体" w:hint="eastAsia"/>
          <w:spacing w:val="-9"/>
        </w:rPr>
        <w:t xml:space="preserve">、重复脉冲大于 </w:t>
      </w:r>
      <w:r>
        <w:rPr>
          <w:rFonts w:ascii="Arial" w:eastAsia="Arial"/>
        </w:rPr>
        <w:t>500s</w:t>
      </w:r>
      <w:r>
        <w:rPr>
          <w:rFonts w:ascii="Arial" w:eastAsia="Arial"/>
          <w:spacing w:val="-3"/>
        </w:rPr>
        <w:t xml:space="preserve"> </w:t>
      </w:r>
      <w:r>
        <w:rPr>
          <w:rFonts w:ascii="宋体" w:eastAsia="宋体" w:hint="eastAsia"/>
          <w:spacing w:val="-3"/>
        </w:rPr>
        <w:t>氘氚燃烧的托卡马克型实验聚变堆。</w:t>
      </w:r>
      <w:r>
        <w:rPr>
          <w:rFonts w:ascii="Arial" w:eastAsia="Arial"/>
        </w:rPr>
        <w:t>ITER</w:t>
      </w:r>
      <w:r>
        <w:rPr>
          <w:rFonts w:ascii="Arial" w:eastAsia="Arial"/>
          <w:spacing w:val="1"/>
        </w:rPr>
        <w:t xml:space="preserve"> </w:t>
      </w:r>
      <w:r>
        <w:rPr>
          <w:rFonts w:ascii="宋体" w:eastAsia="宋体" w:hint="eastAsia"/>
          <w:spacing w:val="-3"/>
        </w:rPr>
        <w:t>的建造是受控热</w:t>
      </w:r>
      <w:r>
        <w:rPr>
          <w:rFonts w:ascii="宋体" w:eastAsia="宋体" w:hint="eastAsia"/>
          <w:spacing w:val="-9"/>
        </w:rPr>
        <w:t>核聚变研究</w:t>
      </w:r>
      <w:r>
        <w:rPr>
          <w:rFonts w:ascii="宋体" w:eastAsia="宋体" w:hint="eastAsia"/>
        </w:rPr>
        <w:t>（</w:t>
      </w:r>
      <w:r>
        <w:rPr>
          <w:rFonts w:ascii="宋体" w:eastAsia="宋体" w:hint="eastAsia"/>
          <w:spacing w:val="-3"/>
        </w:rPr>
        <w:t>包括等离子体物理和等离子体技术</w:t>
      </w:r>
      <w:r>
        <w:rPr>
          <w:rFonts w:ascii="宋体" w:eastAsia="宋体" w:hint="eastAsia"/>
          <w:spacing w:val="-32"/>
        </w:rPr>
        <w:t>）</w:t>
      </w:r>
      <w:r>
        <w:rPr>
          <w:rFonts w:ascii="宋体" w:eastAsia="宋体" w:hint="eastAsia"/>
          <w:spacing w:val="-6"/>
        </w:rPr>
        <w:t>的新阶段，并直接为设计托卡马克型商用</w:t>
      </w:r>
      <w:r>
        <w:rPr>
          <w:rFonts w:ascii="宋体" w:eastAsia="宋体" w:hint="eastAsia"/>
          <w:spacing w:val="-4"/>
        </w:rPr>
        <w:t xml:space="preserve">聚变堆提供依据。同时 </w:t>
      </w:r>
      <w:r>
        <w:rPr>
          <w:rFonts w:ascii="Arial" w:eastAsia="Arial"/>
        </w:rPr>
        <w:t>ITER</w:t>
      </w:r>
      <w:r>
        <w:rPr>
          <w:rFonts w:ascii="Arial" w:eastAsia="Arial"/>
          <w:spacing w:val="45"/>
        </w:rPr>
        <w:t xml:space="preserve"> </w:t>
      </w:r>
      <w:r>
        <w:rPr>
          <w:rFonts w:ascii="宋体" w:eastAsia="宋体" w:hint="eastAsia"/>
          <w:spacing w:val="-3"/>
        </w:rPr>
        <w:t xml:space="preserve">还考虑了可供探索进一步改进燃烧等离子体性能的可能途径， </w:t>
      </w:r>
      <w:r>
        <w:rPr>
          <w:rFonts w:ascii="宋体" w:eastAsia="宋体" w:hint="eastAsia"/>
          <w:spacing w:val="-8"/>
        </w:rPr>
        <w:t>并准备了多种控制燃烧等离子体的手段。</w:t>
      </w:r>
      <w:r>
        <w:rPr>
          <w:rFonts w:ascii="Arial" w:eastAsia="Arial"/>
          <w:u w:val="single"/>
        </w:rPr>
        <w:t>ITER</w:t>
      </w:r>
      <w:r>
        <w:rPr>
          <w:rFonts w:ascii="Arial" w:eastAsia="Arial"/>
          <w:spacing w:val="22"/>
          <w:u w:val="single"/>
        </w:rPr>
        <w:t xml:space="preserve"> </w:t>
      </w:r>
      <w:r>
        <w:rPr>
          <w:rFonts w:ascii="宋体" w:eastAsia="宋体" w:hint="eastAsia"/>
          <w:spacing w:val="-3"/>
          <w:u w:val="single"/>
        </w:rPr>
        <w:t>第二阶段的目标</w:t>
      </w:r>
      <w:r>
        <w:rPr>
          <w:rFonts w:ascii="宋体" w:eastAsia="宋体" w:hint="eastAsia"/>
          <w:spacing w:val="-3"/>
        </w:rPr>
        <w:t>是拉长可控核聚变持续时间， 实现更长脉冲或接近成为准稳态或稳态运行。</w:t>
      </w:r>
    </w:p>
    <w:p>
      <w:pPr>
        <w:spacing w:before="50"/>
        <w:ind w:left="120" w:right="0" w:firstLine="0"/>
        <w:jc w:val="left"/>
        <w:rPr>
          <w:rFonts w:ascii="Microsoft JhengHei" w:eastAsia="Microsoft JhengHei" w:hint="eastAsia"/>
          <w:b/>
          <w:sz w:val="18"/>
        </w:rPr>
      </w:pPr>
      <w:r>
        <w:pict>
          <v:line id="_x0000_s1055" style="mso-position-horizontal-relative:page;position:absolute;z-index:251677696" from="41.9pt,17.6pt" to="552.95pt,17.6pt" stroked="t" strokecolor="#1f4e79" strokeweight="0.96pt">
            <v:stroke dashstyle="solid"/>
          </v:line>
        </w:pict>
      </w:r>
      <w:r>
        <w:rPr>
          <w:rFonts w:ascii="Microsoft JhengHei" w:eastAsia="Microsoft JhengHei" w:hint="eastAsia"/>
          <w:b/>
          <w:color w:val="152E57"/>
          <w:sz w:val="18"/>
        </w:rPr>
        <w:t xml:space="preserve">图表 </w:t>
      </w:r>
      <w:r>
        <w:rPr>
          <w:rFonts w:ascii="Arial" w:eastAsia="Arial"/>
          <w:b/>
          <w:color w:val="152E57"/>
          <w:sz w:val="18"/>
        </w:rPr>
        <w:t>11</w:t>
      </w:r>
      <w:r>
        <w:rPr>
          <w:rFonts w:ascii="Microsoft JhengHei" w:eastAsia="Microsoft JhengHei" w:hint="eastAsia"/>
          <w:b/>
          <w:color w:val="152E57"/>
          <w:sz w:val="18"/>
        </w:rPr>
        <w:t>：</w:t>
      </w:r>
      <w:r>
        <w:rPr>
          <w:rFonts w:ascii="Arial" w:eastAsia="Arial"/>
          <w:b/>
          <w:color w:val="152E57"/>
          <w:sz w:val="18"/>
        </w:rPr>
        <w:t xml:space="preserve">ITER </w:t>
      </w:r>
      <w:r>
        <w:rPr>
          <w:rFonts w:ascii="Microsoft JhengHei" w:eastAsia="Microsoft JhengHei" w:hint="eastAsia"/>
          <w:b/>
          <w:color w:val="152E57"/>
          <w:sz w:val="18"/>
        </w:rPr>
        <w:t>主要典型参数</w:t>
      </w:r>
    </w:p>
    <w:p>
      <w:pPr>
        <w:spacing w:after="0"/>
        <w:jc w:val="left"/>
        <w:rPr>
          <w:rFonts w:ascii="Microsoft JhengHei" w:eastAsia="Microsoft JhengHei" w:hint="eastAsia"/>
          <w:sz w:val="18"/>
        </w:rPr>
        <w:sectPr>
          <w:headerReference w:type="default" r:id="rId30"/>
          <w:footerReference w:type="default" r:id="rId31"/>
          <w:pgSz w:w="11910" w:h="16840"/>
          <w:pgMar w:top="840" w:right="300" w:bottom="1200" w:left="840" w:header="708" w:footer="708"/>
          <w:pgNumType w:start="8"/>
          <w:cols w:space="708"/>
        </w:sectPr>
      </w:pPr>
    </w:p>
    <w:p>
      <w:pPr>
        <w:pStyle w:val="BodyText"/>
        <w:spacing w:before="9"/>
        <w:rPr>
          <w:rFonts w:ascii="Microsoft JhengHei"/>
          <w:b/>
          <w:sz w:val="13"/>
        </w:rPr>
      </w:pPr>
      <w:r>
        <w:pict>
          <v:line id="_x0000_s1056" style="mso-position-horizontal-relative:page;mso-position-vertical-relative:page;position:absolute;z-index:251679744" from="42.6pt,55.2pt" to="552.95pt,55.2pt" stroked="t" strokecolor="#1f4e79" strokeweight="0.96pt">
            <v:stroke dashstyle="solid"/>
          </v:line>
        </w:pict>
      </w:r>
    </w:p>
    <w:tbl>
      <w:tblPr>
        <w:tblStyle w:val="TableNormal0"/>
        <w:tblW w:w="0" w:type="auto"/>
        <w:jc w:val="left"/>
        <w:tblInd w:w="130" w:type="dxa"/>
        <w:tblBorders>
          <w:top w:val="single" w:sz="4" w:space="0" w:color="1F4E79"/>
          <w:left w:val="single" w:sz="4" w:space="0" w:color="1F4E79"/>
          <w:bottom w:val="single" w:sz="4" w:space="0" w:color="1F4E79"/>
          <w:right w:val="single" w:sz="4" w:space="0" w:color="1F4E79"/>
          <w:insideH w:val="single" w:sz="4" w:space="0" w:color="1F4E79"/>
          <w:insideV w:val="single" w:sz="4" w:space="0" w:color="1F4E79"/>
        </w:tblBorders>
        <w:tblLayout w:type="fixed"/>
        <w:tblCellMar>
          <w:top w:w="0" w:type="dxa"/>
          <w:left w:w="0" w:type="dxa"/>
          <w:bottom w:w="0" w:type="dxa"/>
          <w:right w:w="0" w:type="dxa"/>
        </w:tblCellMar>
        <w:tblLook w:val="01E0"/>
      </w:tblPr>
      <w:tblGrid>
        <w:gridCol w:w="5553"/>
        <w:gridCol w:w="4429"/>
      </w:tblGrid>
      <w:tr>
        <w:tblPrEx>
          <w:tblW w:w="0" w:type="auto"/>
          <w:jc w:val="left"/>
          <w:tblInd w:w="130" w:type="dxa"/>
          <w:tblBorders>
            <w:top w:val="single" w:sz="4" w:space="0" w:color="1F4E79"/>
            <w:left w:val="single" w:sz="4" w:space="0" w:color="1F4E79"/>
            <w:bottom w:val="single" w:sz="4" w:space="0" w:color="1F4E79"/>
            <w:right w:val="single" w:sz="4" w:space="0" w:color="1F4E79"/>
            <w:insideH w:val="single" w:sz="4" w:space="0" w:color="1F4E79"/>
            <w:insideV w:val="single" w:sz="4" w:space="0" w:color="1F4E79"/>
          </w:tblBorders>
          <w:tblLayout w:type="fixed"/>
          <w:tblCellMar>
            <w:top w:w="0" w:type="dxa"/>
            <w:left w:w="0" w:type="dxa"/>
            <w:bottom w:w="0" w:type="dxa"/>
            <w:right w:w="0" w:type="dxa"/>
          </w:tblCellMar>
          <w:tblLook w:val="01E0"/>
        </w:tblPrEx>
        <w:trPr>
          <w:trHeight w:val="330"/>
          <w:jc w:val="left"/>
        </w:trPr>
        <w:tc>
          <w:tcPr>
            <w:tcW w:w="5553" w:type="dxa"/>
            <w:tcBorders>
              <w:left w:val="single" w:sz="4" w:space="0" w:color="000000"/>
              <w:bottom w:val="single" w:sz="4" w:space="0" w:color="000000"/>
              <w:right w:val="single" w:sz="4" w:space="0" w:color="000000"/>
            </w:tcBorders>
            <w:shd w:val="clear" w:color="auto" w:fill="2F5395"/>
          </w:tcPr>
          <w:p>
            <w:pPr>
              <w:pStyle w:val="TableParagraph"/>
              <w:spacing w:before="41"/>
              <w:ind w:left="1752"/>
              <w:rPr>
                <w:b/>
                <w:sz w:val="20"/>
              </w:rPr>
            </w:pPr>
            <w:r>
              <w:rPr>
                <w:b/>
                <w:color w:val="FFFFFF"/>
                <w:sz w:val="20"/>
              </w:rPr>
              <w:t>总聚变功率</w:t>
            </w:r>
          </w:p>
        </w:tc>
        <w:tc>
          <w:tcPr>
            <w:tcW w:w="4429" w:type="dxa"/>
            <w:tcBorders>
              <w:left w:val="single" w:sz="4" w:space="0" w:color="000000"/>
              <w:bottom w:val="single" w:sz="4" w:space="0" w:color="000000"/>
              <w:right w:val="single" w:sz="4" w:space="0" w:color="000000"/>
            </w:tcBorders>
            <w:shd w:val="clear" w:color="auto" w:fill="2F5395"/>
          </w:tcPr>
          <w:p>
            <w:pPr>
              <w:pStyle w:val="TableParagraph"/>
              <w:spacing w:before="41"/>
              <w:ind w:left="1240" w:right="1236"/>
              <w:rPr>
                <w:b/>
                <w:sz w:val="20"/>
              </w:rPr>
            </w:pPr>
            <w:r>
              <w:rPr>
                <w:b/>
                <w:color w:val="FFFFFF"/>
                <w:sz w:val="20"/>
              </w:rPr>
              <w:t>500MW（70MW）</w:t>
            </w:r>
          </w:p>
        </w:tc>
      </w:tr>
      <w:tr>
        <w:tblPrEx>
          <w:tblW w:w="0" w:type="auto"/>
          <w:jc w:val="left"/>
          <w:tblInd w:w="130" w:type="dxa"/>
          <w:tblLayout w:type="fixed"/>
          <w:tblCellMar>
            <w:top w:w="0" w:type="dxa"/>
            <w:left w:w="0" w:type="dxa"/>
            <w:bottom w:w="0" w:type="dxa"/>
            <w:right w:w="0" w:type="dxa"/>
          </w:tblCellMar>
          <w:tblLook w:val="01E0"/>
        </w:tblPrEx>
        <w:trPr>
          <w:trHeight w:val="321"/>
          <w:jc w:val="left"/>
        </w:trPr>
        <w:tc>
          <w:tcPr>
            <w:tcW w:w="5553" w:type="dxa"/>
            <w:tcBorders>
              <w:top w:val="single" w:sz="4" w:space="0" w:color="000000"/>
              <w:left w:val="single" w:sz="4" w:space="0" w:color="000000"/>
              <w:bottom w:val="single" w:sz="4" w:space="0" w:color="000000"/>
              <w:right w:val="single" w:sz="4" w:space="0" w:color="000000"/>
            </w:tcBorders>
          </w:tcPr>
          <w:p>
            <w:pPr>
              <w:pStyle w:val="TableParagraph"/>
              <w:spacing w:before="32"/>
              <w:ind w:left="1754" w:right="1746"/>
              <w:rPr>
                <w:sz w:val="20"/>
              </w:rPr>
            </w:pPr>
            <w:r>
              <w:rPr>
                <w:sz w:val="20"/>
              </w:rPr>
              <w:t>Q(聚变功率/加热功率)</w:t>
            </w:r>
          </w:p>
        </w:tc>
        <w:tc>
          <w:tcPr>
            <w:tcW w:w="4429" w:type="dxa"/>
            <w:tcBorders>
              <w:top w:val="single" w:sz="4" w:space="0" w:color="000000"/>
              <w:left w:val="single" w:sz="4" w:space="0" w:color="000000"/>
              <w:bottom w:val="single" w:sz="4" w:space="0" w:color="000000"/>
              <w:right w:val="single" w:sz="4" w:space="0" w:color="000000"/>
            </w:tcBorders>
          </w:tcPr>
          <w:p>
            <w:pPr>
              <w:pStyle w:val="TableParagraph"/>
              <w:spacing w:before="32"/>
              <w:ind w:left="1240" w:right="1236"/>
              <w:rPr>
                <w:sz w:val="20"/>
              </w:rPr>
            </w:pPr>
            <w:r>
              <w:rPr>
                <w:sz w:val="20"/>
              </w:rPr>
              <w:t>＞10</w:t>
            </w:r>
          </w:p>
        </w:tc>
      </w:tr>
      <w:tr>
        <w:tblPrEx>
          <w:tblW w:w="0" w:type="auto"/>
          <w:jc w:val="left"/>
          <w:tblInd w:w="130" w:type="dxa"/>
          <w:tblLayout w:type="fixed"/>
          <w:tblCellMar>
            <w:top w:w="0" w:type="dxa"/>
            <w:left w:w="0" w:type="dxa"/>
            <w:bottom w:w="0" w:type="dxa"/>
            <w:right w:w="0" w:type="dxa"/>
          </w:tblCellMar>
          <w:tblLook w:val="01E0"/>
        </w:tblPrEx>
        <w:trPr>
          <w:trHeight w:val="318"/>
          <w:jc w:val="left"/>
        </w:trPr>
        <w:tc>
          <w:tcPr>
            <w:tcW w:w="5553" w:type="dxa"/>
            <w:tcBorders>
              <w:top w:val="single" w:sz="4" w:space="0" w:color="000000"/>
              <w:left w:val="single" w:sz="4" w:space="0" w:color="000000"/>
              <w:bottom w:val="single" w:sz="4" w:space="0" w:color="000000"/>
              <w:right w:val="single" w:sz="4" w:space="0" w:color="000000"/>
            </w:tcBorders>
          </w:tcPr>
          <w:p>
            <w:pPr>
              <w:pStyle w:val="TableParagraph"/>
              <w:spacing w:before="30"/>
              <w:ind w:left="1751"/>
              <w:rPr>
                <w:sz w:val="20"/>
              </w:rPr>
            </w:pPr>
            <w:r>
              <w:rPr>
                <w:sz w:val="20"/>
              </w:rPr>
              <w:t>14MeV 中子平均负载</w:t>
            </w:r>
          </w:p>
        </w:tc>
        <w:tc>
          <w:tcPr>
            <w:tcW w:w="4429" w:type="dxa"/>
            <w:tcBorders>
              <w:top w:val="single" w:sz="4" w:space="0" w:color="000000"/>
              <w:left w:val="single" w:sz="4" w:space="0" w:color="000000"/>
              <w:bottom w:val="single" w:sz="4" w:space="0" w:color="000000"/>
              <w:right w:val="single" w:sz="4" w:space="0" w:color="000000"/>
            </w:tcBorders>
          </w:tcPr>
          <w:p>
            <w:pPr>
              <w:pStyle w:val="TableParagraph"/>
              <w:spacing w:before="30"/>
              <w:ind w:left="1243" w:right="1236"/>
              <w:rPr>
                <w:sz w:val="20"/>
              </w:rPr>
            </w:pPr>
            <w:r>
              <w:rPr>
                <w:sz w:val="20"/>
              </w:rPr>
              <w:t>0.57MW/m</w:t>
            </w:r>
            <w:r>
              <w:rPr>
                <w:position w:val="10"/>
                <w:sz w:val="10"/>
              </w:rPr>
              <w:t>2</w:t>
            </w:r>
            <w:r>
              <w:rPr>
                <w:sz w:val="20"/>
              </w:rPr>
              <w:t>(0.58MW/m</w:t>
            </w:r>
            <w:r>
              <w:rPr>
                <w:position w:val="10"/>
                <w:sz w:val="10"/>
              </w:rPr>
              <w:t>2</w:t>
            </w:r>
            <w:r>
              <w:rPr>
                <w:sz w:val="20"/>
              </w:rPr>
              <w:t>)</w:t>
            </w:r>
          </w:p>
        </w:tc>
      </w:tr>
      <w:tr>
        <w:tblPrEx>
          <w:tblW w:w="0" w:type="auto"/>
          <w:jc w:val="left"/>
          <w:tblInd w:w="130" w:type="dxa"/>
          <w:tblLayout w:type="fixed"/>
          <w:tblCellMar>
            <w:top w:w="0" w:type="dxa"/>
            <w:left w:w="0" w:type="dxa"/>
            <w:bottom w:w="0" w:type="dxa"/>
            <w:right w:w="0" w:type="dxa"/>
          </w:tblCellMar>
          <w:tblLook w:val="01E0"/>
        </w:tblPrEx>
        <w:trPr>
          <w:trHeight w:val="321"/>
          <w:jc w:val="left"/>
        </w:trPr>
        <w:tc>
          <w:tcPr>
            <w:tcW w:w="5553" w:type="dxa"/>
            <w:tcBorders>
              <w:top w:val="single" w:sz="4" w:space="0" w:color="000000"/>
              <w:left w:val="single" w:sz="4" w:space="0" w:color="000000"/>
              <w:bottom w:val="single" w:sz="4" w:space="0" w:color="000000"/>
              <w:right w:val="single" w:sz="4" w:space="0" w:color="000000"/>
            </w:tcBorders>
          </w:tcPr>
          <w:p>
            <w:pPr>
              <w:pStyle w:val="TableParagraph"/>
              <w:spacing w:before="32"/>
              <w:ind w:left="1750"/>
              <w:rPr>
                <w:sz w:val="20"/>
              </w:rPr>
            </w:pPr>
            <w:r>
              <w:rPr>
                <w:sz w:val="20"/>
              </w:rPr>
              <w:t>每次燃烧时间</w:t>
            </w:r>
          </w:p>
        </w:tc>
        <w:tc>
          <w:tcPr>
            <w:tcW w:w="4429" w:type="dxa"/>
            <w:tcBorders>
              <w:top w:val="single" w:sz="4" w:space="0" w:color="000000"/>
              <w:left w:val="single" w:sz="4" w:space="0" w:color="000000"/>
              <w:bottom w:val="single" w:sz="4" w:space="0" w:color="000000"/>
              <w:right w:val="single" w:sz="4" w:space="0" w:color="000000"/>
            </w:tcBorders>
          </w:tcPr>
          <w:p>
            <w:pPr>
              <w:pStyle w:val="TableParagraph"/>
              <w:spacing w:before="32"/>
              <w:ind w:left="1243" w:right="1234"/>
              <w:rPr>
                <w:sz w:val="20"/>
              </w:rPr>
            </w:pPr>
            <w:r>
              <w:rPr>
                <w:sz w:val="20"/>
              </w:rPr>
              <w:t>＞500s</w:t>
            </w:r>
          </w:p>
        </w:tc>
      </w:tr>
      <w:tr>
        <w:tblPrEx>
          <w:tblW w:w="0" w:type="auto"/>
          <w:jc w:val="left"/>
          <w:tblInd w:w="130" w:type="dxa"/>
          <w:tblLayout w:type="fixed"/>
          <w:tblCellMar>
            <w:top w:w="0" w:type="dxa"/>
            <w:left w:w="0" w:type="dxa"/>
            <w:bottom w:w="0" w:type="dxa"/>
            <w:right w:w="0" w:type="dxa"/>
          </w:tblCellMar>
          <w:tblLook w:val="01E0"/>
        </w:tblPrEx>
        <w:trPr>
          <w:trHeight w:val="318"/>
          <w:jc w:val="left"/>
        </w:trPr>
        <w:tc>
          <w:tcPr>
            <w:tcW w:w="5553" w:type="dxa"/>
            <w:tcBorders>
              <w:top w:val="single" w:sz="4" w:space="0" w:color="000000"/>
              <w:left w:val="single" w:sz="4" w:space="0" w:color="000000"/>
              <w:bottom w:val="single" w:sz="4" w:space="0" w:color="000000"/>
              <w:right w:val="single" w:sz="4" w:space="0" w:color="000000"/>
            </w:tcBorders>
          </w:tcPr>
          <w:p>
            <w:pPr>
              <w:pStyle w:val="TableParagraph"/>
              <w:spacing w:before="30"/>
              <w:ind w:left="1753"/>
              <w:rPr>
                <w:sz w:val="20"/>
              </w:rPr>
            </w:pPr>
            <w:r>
              <w:rPr>
                <w:sz w:val="20"/>
              </w:rPr>
              <w:t>等离子体大半径</w:t>
            </w:r>
          </w:p>
        </w:tc>
        <w:tc>
          <w:tcPr>
            <w:tcW w:w="4429" w:type="dxa"/>
            <w:tcBorders>
              <w:top w:val="single" w:sz="4" w:space="0" w:color="000000"/>
              <w:left w:val="single" w:sz="4" w:space="0" w:color="000000"/>
              <w:bottom w:val="single" w:sz="4" w:space="0" w:color="000000"/>
              <w:right w:val="single" w:sz="4" w:space="0" w:color="000000"/>
            </w:tcBorders>
          </w:tcPr>
          <w:p>
            <w:pPr>
              <w:pStyle w:val="TableParagraph"/>
              <w:spacing w:before="30"/>
              <w:ind w:left="1242" w:right="1236"/>
              <w:rPr>
                <w:sz w:val="20"/>
              </w:rPr>
            </w:pPr>
            <w:r>
              <w:rPr>
                <w:sz w:val="20"/>
              </w:rPr>
              <w:t>6.2m</w:t>
            </w:r>
          </w:p>
        </w:tc>
      </w:tr>
      <w:tr>
        <w:tblPrEx>
          <w:tblW w:w="0" w:type="auto"/>
          <w:jc w:val="left"/>
          <w:tblInd w:w="130" w:type="dxa"/>
          <w:tblLayout w:type="fixed"/>
          <w:tblCellMar>
            <w:top w:w="0" w:type="dxa"/>
            <w:left w:w="0" w:type="dxa"/>
            <w:bottom w:w="0" w:type="dxa"/>
            <w:right w:w="0" w:type="dxa"/>
          </w:tblCellMar>
          <w:tblLook w:val="01E0"/>
        </w:tblPrEx>
        <w:trPr>
          <w:trHeight w:val="321"/>
          <w:jc w:val="left"/>
        </w:trPr>
        <w:tc>
          <w:tcPr>
            <w:tcW w:w="5553" w:type="dxa"/>
            <w:tcBorders>
              <w:top w:val="single" w:sz="4" w:space="0" w:color="000000"/>
              <w:left w:val="single" w:sz="4" w:space="0" w:color="000000"/>
              <w:bottom w:val="single" w:sz="4" w:space="0" w:color="000000"/>
              <w:right w:val="single" w:sz="4" w:space="0" w:color="000000"/>
            </w:tcBorders>
          </w:tcPr>
          <w:p>
            <w:pPr>
              <w:pStyle w:val="TableParagraph"/>
              <w:spacing w:before="32"/>
              <w:ind w:left="1753"/>
              <w:rPr>
                <w:sz w:val="20"/>
              </w:rPr>
            </w:pPr>
            <w:r>
              <w:rPr>
                <w:sz w:val="20"/>
              </w:rPr>
              <w:t>等离子体小半径</w:t>
            </w:r>
          </w:p>
        </w:tc>
        <w:tc>
          <w:tcPr>
            <w:tcW w:w="4429" w:type="dxa"/>
            <w:tcBorders>
              <w:top w:val="single" w:sz="4" w:space="0" w:color="000000"/>
              <w:left w:val="single" w:sz="4" w:space="0" w:color="000000"/>
              <w:bottom w:val="single" w:sz="4" w:space="0" w:color="000000"/>
              <w:right w:val="single" w:sz="4" w:space="0" w:color="000000"/>
            </w:tcBorders>
          </w:tcPr>
          <w:p>
            <w:pPr>
              <w:pStyle w:val="TableParagraph"/>
              <w:spacing w:before="32"/>
              <w:ind w:left="1242" w:right="1236"/>
              <w:rPr>
                <w:sz w:val="20"/>
              </w:rPr>
            </w:pPr>
            <w:r>
              <w:rPr>
                <w:sz w:val="20"/>
              </w:rPr>
              <w:t>0.2m</w:t>
            </w:r>
          </w:p>
        </w:tc>
      </w:tr>
      <w:tr>
        <w:tblPrEx>
          <w:tblW w:w="0" w:type="auto"/>
          <w:jc w:val="left"/>
          <w:tblInd w:w="130" w:type="dxa"/>
          <w:tblLayout w:type="fixed"/>
          <w:tblCellMar>
            <w:top w:w="0" w:type="dxa"/>
            <w:left w:w="0" w:type="dxa"/>
            <w:bottom w:w="0" w:type="dxa"/>
            <w:right w:w="0" w:type="dxa"/>
          </w:tblCellMar>
          <w:tblLook w:val="01E0"/>
        </w:tblPrEx>
        <w:trPr>
          <w:trHeight w:val="318"/>
          <w:jc w:val="left"/>
        </w:trPr>
        <w:tc>
          <w:tcPr>
            <w:tcW w:w="5553" w:type="dxa"/>
            <w:tcBorders>
              <w:top w:val="single" w:sz="4" w:space="0" w:color="000000"/>
              <w:left w:val="single" w:sz="4" w:space="0" w:color="000000"/>
              <w:bottom w:val="single" w:sz="4" w:space="0" w:color="000000"/>
              <w:right w:val="single" w:sz="4" w:space="0" w:color="000000"/>
            </w:tcBorders>
          </w:tcPr>
          <w:p>
            <w:pPr>
              <w:pStyle w:val="TableParagraph"/>
              <w:spacing w:before="30"/>
              <w:ind w:left="1750"/>
              <w:rPr>
                <w:sz w:val="20"/>
              </w:rPr>
            </w:pPr>
            <w:r>
              <w:rPr>
                <w:sz w:val="20"/>
              </w:rPr>
              <w:t>等离子体电流</w:t>
            </w:r>
          </w:p>
        </w:tc>
        <w:tc>
          <w:tcPr>
            <w:tcW w:w="4429" w:type="dxa"/>
            <w:tcBorders>
              <w:top w:val="single" w:sz="4" w:space="0" w:color="000000"/>
              <w:left w:val="single" w:sz="4" w:space="0" w:color="000000"/>
              <w:bottom w:val="single" w:sz="4" w:space="0" w:color="000000"/>
              <w:right w:val="single" w:sz="4" w:space="0" w:color="000000"/>
            </w:tcBorders>
          </w:tcPr>
          <w:p>
            <w:pPr>
              <w:pStyle w:val="TableParagraph"/>
              <w:spacing w:before="30"/>
              <w:ind w:left="1243" w:right="1234"/>
              <w:rPr>
                <w:sz w:val="20"/>
              </w:rPr>
            </w:pPr>
            <w:r>
              <w:rPr>
                <w:sz w:val="20"/>
              </w:rPr>
              <w:t>15MA（17MA）</w:t>
            </w:r>
          </w:p>
        </w:tc>
      </w:tr>
      <w:tr>
        <w:tblPrEx>
          <w:tblW w:w="0" w:type="auto"/>
          <w:jc w:val="left"/>
          <w:tblInd w:w="130" w:type="dxa"/>
          <w:tblLayout w:type="fixed"/>
          <w:tblCellMar>
            <w:top w:w="0" w:type="dxa"/>
            <w:left w:w="0" w:type="dxa"/>
            <w:bottom w:w="0" w:type="dxa"/>
            <w:right w:w="0" w:type="dxa"/>
          </w:tblCellMar>
          <w:tblLook w:val="01E0"/>
        </w:tblPrEx>
        <w:trPr>
          <w:trHeight w:val="321"/>
          <w:jc w:val="left"/>
        </w:trPr>
        <w:tc>
          <w:tcPr>
            <w:tcW w:w="5553" w:type="dxa"/>
            <w:tcBorders>
              <w:top w:val="single" w:sz="4" w:space="0" w:color="000000"/>
              <w:left w:val="single" w:sz="4" w:space="0" w:color="000000"/>
              <w:bottom w:val="single" w:sz="4" w:space="0" w:color="000000"/>
              <w:right w:val="single" w:sz="4" w:space="0" w:color="000000"/>
            </w:tcBorders>
          </w:tcPr>
          <w:p>
            <w:pPr>
              <w:pStyle w:val="TableParagraph"/>
              <w:spacing w:before="32"/>
              <w:ind w:left="1750"/>
              <w:rPr>
                <w:sz w:val="20"/>
              </w:rPr>
            </w:pPr>
            <w:r>
              <w:rPr>
                <w:sz w:val="20"/>
              </w:rPr>
              <w:t>小截面拉长比</w:t>
            </w:r>
          </w:p>
        </w:tc>
        <w:tc>
          <w:tcPr>
            <w:tcW w:w="4429" w:type="dxa"/>
            <w:tcBorders>
              <w:top w:val="single" w:sz="4" w:space="0" w:color="000000"/>
              <w:left w:val="single" w:sz="4" w:space="0" w:color="000000"/>
              <w:bottom w:val="single" w:sz="4" w:space="0" w:color="000000"/>
              <w:right w:val="single" w:sz="4" w:space="0" w:color="000000"/>
            </w:tcBorders>
          </w:tcPr>
          <w:p>
            <w:pPr>
              <w:pStyle w:val="TableParagraph"/>
              <w:spacing w:before="32"/>
              <w:ind w:left="1242" w:right="1236"/>
              <w:rPr>
                <w:sz w:val="20"/>
              </w:rPr>
            </w:pPr>
            <w:r>
              <w:rPr>
                <w:sz w:val="20"/>
              </w:rPr>
              <w:t>1.7</w:t>
            </w:r>
          </w:p>
        </w:tc>
      </w:tr>
      <w:tr>
        <w:tblPrEx>
          <w:tblW w:w="0" w:type="auto"/>
          <w:jc w:val="left"/>
          <w:tblInd w:w="130" w:type="dxa"/>
          <w:tblLayout w:type="fixed"/>
          <w:tblCellMar>
            <w:top w:w="0" w:type="dxa"/>
            <w:left w:w="0" w:type="dxa"/>
            <w:bottom w:w="0" w:type="dxa"/>
            <w:right w:w="0" w:type="dxa"/>
          </w:tblCellMar>
          <w:tblLook w:val="01E0"/>
        </w:tblPrEx>
        <w:trPr>
          <w:trHeight w:val="318"/>
          <w:jc w:val="left"/>
        </w:trPr>
        <w:tc>
          <w:tcPr>
            <w:tcW w:w="5553" w:type="dxa"/>
            <w:tcBorders>
              <w:top w:val="single" w:sz="4" w:space="0" w:color="000000"/>
              <w:left w:val="single" w:sz="4" w:space="0" w:color="000000"/>
              <w:bottom w:val="single" w:sz="4" w:space="0" w:color="000000"/>
              <w:right w:val="single" w:sz="4" w:space="0" w:color="000000"/>
            </w:tcBorders>
          </w:tcPr>
          <w:p>
            <w:pPr>
              <w:pStyle w:val="TableParagraph"/>
              <w:spacing w:before="30"/>
              <w:ind w:left="1752"/>
              <w:rPr>
                <w:sz w:val="20"/>
              </w:rPr>
            </w:pPr>
            <w:r>
              <w:rPr>
                <w:sz w:val="20"/>
              </w:rPr>
              <w:t>等离子体中心磁场强度</w:t>
            </w:r>
          </w:p>
        </w:tc>
        <w:tc>
          <w:tcPr>
            <w:tcW w:w="4429" w:type="dxa"/>
            <w:tcBorders>
              <w:top w:val="single" w:sz="4" w:space="0" w:color="000000"/>
              <w:left w:val="single" w:sz="4" w:space="0" w:color="000000"/>
              <w:bottom w:val="single" w:sz="4" w:space="0" w:color="000000"/>
              <w:right w:val="single" w:sz="4" w:space="0" w:color="000000"/>
            </w:tcBorders>
          </w:tcPr>
          <w:p>
            <w:pPr>
              <w:pStyle w:val="TableParagraph"/>
              <w:spacing w:before="30"/>
              <w:ind w:left="1242" w:right="1236"/>
              <w:rPr>
                <w:sz w:val="20"/>
              </w:rPr>
            </w:pPr>
            <w:r>
              <w:rPr>
                <w:sz w:val="20"/>
              </w:rPr>
              <w:t>5.3T</w:t>
            </w:r>
          </w:p>
        </w:tc>
      </w:tr>
      <w:tr>
        <w:tblPrEx>
          <w:tblW w:w="0" w:type="auto"/>
          <w:jc w:val="left"/>
          <w:tblInd w:w="130" w:type="dxa"/>
          <w:tblLayout w:type="fixed"/>
          <w:tblCellMar>
            <w:top w:w="0" w:type="dxa"/>
            <w:left w:w="0" w:type="dxa"/>
            <w:bottom w:w="0" w:type="dxa"/>
            <w:right w:w="0" w:type="dxa"/>
          </w:tblCellMar>
          <w:tblLook w:val="01E0"/>
        </w:tblPrEx>
        <w:trPr>
          <w:trHeight w:val="321"/>
          <w:jc w:val="left"/>
        </w:trPr>
        <w:tc>
          <w:tcPr>
            <w:tcW w:w="5553" w:type="dxa"/>
            <w:tcBorders>
              <w:top w:val="single" w:sz="4" w:space="0" w:color="000000"/>
              <w:left w:val="single" w:sz="4" w:space="0" w:color="000000"/>
              <w:bottom w:val="single" w:sz="4" w:space="0" w:color="000000"/>
              <w:right w:val="single" w:sz="4" w:space="0" w:color="000000"/>
            </w:tcBorders>
          </w:tcPr>
          <w:p>
            <w:pPr>
              <w:pStyle w:val="TableParagraph"/>
              <w:spacing w:before="32"/>
              <w:ind w:left="1750"/>
              <w:rPr>
                <w:sz w:val="20"/>
              </w:rPr>
            </w:pPr>
            <w:r>
              <w:rPr>
                <w:sz w:val="20"/>
              </w:rPr>
              <w:t>等离子体体积</w:t>
            </w:r>
          </w:p>
        </w:tc>
        <w:tc>
          <w:tcPr>
            <w:tcW w:w="4429" w:type="dxa"/>
            <w:tcBorders>
              <w:top w:val="single" w:sz="4" w:space="0" w:color="000000"/>
              <w:left w:val="single" w:sz="4" w:space="0" w:color="000000"/>
              <w:bottom w:val="single" w:sz="4" w:space="0" w:color="000000"/>
              <w:right w:val="single" w:sz="4" w:space="0" w:color="000000"/>
            </w:tcBorders>
          </w:tcPr>
          <w:p>
            <w:pPr>
              <w:pStyle w:val="TableParagraph"/>
              <w:spacing w:before="32"/>
              <w:ind w:left="1243" w:right="1234"/>
              <w:rPr>
                <w:sz w:val="10"/>
              </w:rPr>
            </w:pPr>
            <w:r>
              <w:rPr>
                <w:sz w:val="20"/>
              </w:rPr>
              <w:t>837m</w:t>
            </w:r>
            <w:r>
              <w:rPr>
                <w:position w:val="10"/>
                <w:sz w:val="10"/>
              </w:rPr>
              <w:t>3</w:t>
            </w:r>
          </w:p>
        </w:tc>
      </w:tr>
      <w:tr>
        <w:tblPrEx>
          <w:tblW w:w="0" w:type="auto"/>
          <w:jc w:val="left"/>
          <w:tblInd w:w="130" w:type="dxa"/>
          <w:tblLayout w:type="fixed"/>
          <w:tblCellMar>
            <w:top w:w="0" w:type="dxa"/>
            <w:left w:w="0" w:type="dxa"/>
            <w:bottom w:w="0" w:type="dxa"/>
            <w:right w:w="0" w:type="dxa"/>
          </w:tblCellMar>
          <w:tblLook w:val="01E0"/>
        </w:tblPrEx>
        <w:trPr>
          <w:trHeight w:val="319"/>
          <w:jc w:val="left"/>
        </w:trPr>
        <w:tc>
          <w:tcPr>
            <w:tcW w:w="5553" w:type="dxa"/>
            <w:tcBorders>
              <w:top w:val="single" w:sz="4" w:space="0" w:color="000000"/>
              <w:left w:val="single" w:sz="4" w:space="0" w:color="000000"/>
              <w:bottom w:val="single" w:sz="4" w:space="0" w:color="000000"/>
              <w:right w:val="single" w:sz="4" w:space="0" w:color="000000"/>
            </w:tcBorders>
          </w:tcPr>
          <w:p>
            <w:pPr>
              <w:pStyle w:val="TableParagraph"/>
              <w:spacing w:before="30"/>
              <w:ind w:left="1753"/>
              <w:rPr>
                <w:sz w:val="20"/>
              </w:rPr>
            </w:pPr>
            <w:r>
              <w:rPr>
                <w:sz w:val="20"/>
              </w:rPr>
              <w:t>等离子体表面积</w:t>
            </w:r>
          </w:p>
        </w:tc>
        <w:tc>
          <w:tcPr>
            <w:tcW w:w="4429" w:type="dxa"/>
            <w:tcBorders>
              <w:top w:val="single" w:sz="4" w:space="0" w:color="000000"/>
              <w:left w:val="single" w:sz="4" w:space="0" w:color="000000"/>
              <w:bottom w:val="single" w:sz="4" w:space="0" w:color="000000"/>
              <w:right w:val="single" w:sz="4" w:space="0" w:color="000000"/>
            </w:tcBorders>
          </w:tcPr>
          <w:p>
            <w:pPr>
              <w:pStyle w:val="TableParagraph"/>
              <w:spacing w:before="30"/>
              <w:ind w:left="1243" w:right="1234"/>
              <w:rPr>
                <w:sz w:val="10"/>
              </w:rPr>
            </w:pPr>
            <w:r>
              <w:rPr>
                <w:sz w:val="20"/>
              </w:rPr>
              <w:t>678m</w:t>
            </w:r>
            <w:r>
              <w:rPr>
                <w:position w:val="10"/>
                <w:sz w:val="10"/>
              </w:rPr>
              <w:t>2</w:t>
            </w:r>
          </w:p>
        </w:tc>
      </w:tr>
      <w:tr>
        <w:tblPrEx>
          <w:tblW w:w="0" w:type="auto"/>
          <w:jc w:val="left"/>
          <w:tblInd w:w="130" w:type="dxa"/>
          <w:tblLayout w:type="fixed"/>
          <w:tblCellMar>
            <w:top w:w="0" w:type="dxa"/>
            <w:left w:w="0" w:type="dxa"/>
            <w:bottom w:w="0" w:type="dxa"/>
            <w:right w:w="0" w:type="dxa"/>
          </w:tblCellMar>
          <w:tblLook w:val="01E0"/>
        </w:tblPrEx>
        <w:trPr>
          <w:trHeight w:val="330"/>
          <w:jc w:val="left"/>
        </w:trPr>
        <w:tc>
          <w:tcPr>
            <w:tcW w:w="5553" w:type="dxa"/>
            <w:tcBorders>
              <w:top w:val="single" w:sz="4" w:space="0" w:color="000000"/>
              <w:left w:val="single" w:sz="4" w:space="0" w:color="000000"/>
              <w:right w:val="single" w:sz="4" w:space="0" w:color="000000"/>
            </w:tcBorders>
          </w:tcPr>
          <w:p>
            <w:pPr>
              <w:pStyle w:val="TableParagraph"/>
              <w:spacing w:before="32"/>
              <w:ind w:left="1752"/>
              <w:rPr>
                <w:sz w:val="20"/>
              </w:rPr>
            </w:pPr>
            <w:r>
              <w:rPr>
                <w:sz w:val="20"/>
              </w:rPr>
              <w:t>加热及驱动电流总功率</w:t>
            </w:r>
          </w:p>
        </w:tc>
        <w:tc>
          <w:tcPr>
            <w:tcW w:w="4429" w:type="dxa"/>
            <w:tcBorders>
              <w:top w:val="single" w:sz="4" w:space="0" w:color="000000"/>
              <w:left w:val="single" w:sz="4" w:space="0" w:color="000000"/>
              <w:right w:val="single" w:sz="4" w:space="0" w:color="000000"/>
            </w:tcBorders>
          </w:tcPr>
          <w:p>
            <w:pPr>
              <w:pStyle w:val="TableParagraph"/>
              <w:spacing w:before="32"/>
              <w:ind w:left="1242" w:right="1236"/>
              <w:rPr>
                <w:sz w:val="20"/>
              </w:rPr>
            </w:pPr>
            <w:r>
              <w:rPr>
                <w:sz w:val="20"/>
              </w:rPr>
              <w:t>73MW</w:t>
            </w:r>
          </w:p>
        </w:tc>
      </w:tr>
    </w:tbl>
    <w:p>
      <w:pPr>
        <w:pStyle w:val="BodyText"/>
        <w:spacing w:line="20" w:lineRule="exact"/>
        <w:ind w:left="2"/>
        <w:rPr>
          <w:rFonts w:ascii="Microsoft JhengHei"/>
          <w:sz w:val="2"/>
        </w:rPr>
      </w:pPr>
      <w:r>
        <w:rPr>
          <w:rFonts w:ascii="Microsoft JhengHei"/>
          <w:sz w:val="2"/>
        </w:rPr>
        <w:pict>
          <v:group id="_x0000_i1057" style="width:510.4pt;height:1pt;mso-position-horizontal-relative:char;mso-position-vertical-relative:line" coordorigin="0,0" coordsize="10208,20">
            <v:line id="_x0000_s1058" style="position:absolute" from="0,10" to="10207,10" stroked="t" strokecolor="#1f4e79" strokeweight="0.96pt">
              <v:stroke dashstyle="solid"/>
            </v:line>
            <w10:wrap type="none"/>
          </v:group>
        </w:pict>
      </w:r>
    </w:p>
    <w:p>
      <w:pPr>
        <w:spacing w:before="0"/>
        <w:ind w:left="120" w:right="0" w:firstLine="0"/>
        <w:jc w:val="left"/>
        <w:rPr>
          <w:rFonts w:ascii="宋体" w:eastAsia="宋体" w:hint="eastAsia"/>
          <w:sz w:val="17"/>
        </w:rPr>
      </w:pPr>
      <w:r>
        <w:t xml:space="preserve">资料来源：《国际热核聚变实验堆ITER 计划》赵君煜，中国科学院等离子体物理研究所， </w:t>
      </w:r>
    </w:p>
    <w:p>
      <w:pPr>
        <w:pStyle w:val="BodyText"/>
        <w:spacing w:before="4"/>
        <w:rPr>
          <w:rFonts w:ascii="宋体"/>
          <w:sz w:val="9"/>
        </w:rPr>
      </w:pPr>
    </w:p>
    <w:p>
      <w:pPr>
        <w:spacing w:before="12" w:line="242" w:lineRule="auto"/>
        <w:ind w:left="1903" w:right="540" w:firstLine="0"/>
        <w:jc w:val="both"/>
        <w:rPr>
          <w:rFonts w:ascii="宋体" w:eastAsia="宋体" w:hint="eastAsia"/>
          <w:sz w:val="21"/>
        </w:rPr>
      </w:pPr>
      <w:r>
        <w:rPr>
          <w:rFonts w:ascii="Arial" w:eastAsia="Arial"/>
          <w:b/>
          <w:sz w:val="21"/>
        </w:rPr>
        <w:t xml:space="preserve">ITER </w:t>
      </w:r>
      <w:r>
        <w:rPr>
          <w:rFonts w:ascii="Microsoft JhengHei" w:eastAsia="Microsoft JhengHei" w:hint="eastAsia"/>
          <w:b/>
          <w:spacing w:val="-6"/>
          <w:sz w:val="21"/>
        </w:rPr>
        <w:t>将聚焦于探索可控核聚变发电可能性。</w:t>
      </w:r>
      <w:r>
        <w:rPr>
          <w:rFonts w:ascii="宋体" w:eastAsia="宋体" w:hint="eastAsia"/>
          <w:spacing w:val="-5"/>
          <w:sz w:val="21"/>
        </w:rPr>
        <w:t>根据澎湃新闻，</w:t>
      </w:r>
      <w:r>
        <w:rPr>
          <w:rFonts w:ascii="Arial" w:eastAsia="Arial"/>
          <w:spacing w:val="-13"/>
          <w:sz w:val="21"/>
        </w:rPr>
        <w:t xml:space="preserve">ITER </w:t>
      </w:r>
      <w:r>
        <w:rPr>
          <w:rFonts w:ascii="宋体" w:eastAsia="宋体" w:hint="eastAsia"/>
          <w:spacing w:val="-3"/>
          <w:sz w:val="21"/>
        </w:rPr>
        <w:t>任务包括探索新的加热方</w:t>
      </w:r>
      <w:r>
        <w:rPr>
          <w:rFonts w:ascii="宋体" w:eastAsia="宋体" w:hint="eastAsia"/>
          <w:spacing w:val="-10"/>
          <w:sz w:val="21"/>
        </w:rPr>
        <w:t>式与能量损失机制；使用超导磁体产生的强磁场改善等离子体的约束性能、探索等离子体密</w:t>
      </w:r>
    </w:p>
    <w:p>
      <w:pPr>
        <w:pStyle w:val="BodyText"/>
        <w:spacing w:before="48" w:line="285" w:lineRule="auto"/>
        <w:ind w:left="1903" w:right="540"/>
        <w:jc w:val="both"/>
        <w:rPr>
          <w:rFonts w:ascii="宋体" w:eastAsia="宋体" w:hint="eastAsia"/>
        </w:rPr>
      </w:pPr>
      <w:r>
        <w:rPr>
          <w:rFonts w:ascii="宋体" w:eastAsia="宋体" w:hint="eastAsia"/>
          <w:spacing w:val="-3"/>
        </w:rPr>
        <w:t>度极限；研究高性能、长寿命的材料；探索可控核聚变堆的最佳化设计等。</w:t>
      </w:r>
      <w:r>
        <w:rPr>
          <w:rFonts w:ascii="Arial" w:eastAsia="Arial"/>
        </w:rPr>
        <w:t xml:space="preserve">ITER </w:t>
      </w:r>
      <w:r>
        <w:rPr>
          <w:rFonts w:ascii="宋体" w:eastAsia="宋体" w:hint="eastAsia"/>
          <w:spacing w:val="-3"/>
        </w:rPr>
        <w:t>的使命是</w:t>
      </w:r>
      <w:r>
        <w:rPr>
          <w:rFonts w:ascii="宋体" w:eastAsia="宋体" w:hint="eastAsia"/>
          <w:spacing w:val="-9"/>
        </w:rPr>
        <w:t>展示可控核聚变发电的可行性，并证明它可以不造成负面影响。它不是磁约束的商用聚变电</w:t>
      </w:r>
      <w:r>
        <w:rPr>
          <w:rFonts w:ascii="宋体" w:eastAsia="宋体" w:hint="eastAsia"/>
          <w:spacing w:val="-5"/>
        </w:rPr>
        <w:t>站的原型，但是，它是迈向磁约束商用可控聚变电站必经的重要阶段之一。</w:t>
      </w:r>
    </w:p>
    <w:p>
      <w:pPr>
        <w:pStyle w:val="Heading2"/>
        <w:numPr>
          <w:ilvl w:val="2"/>
          <w:numId w:val="3"/>
        </w:numPr>
        <w:tabs>
          <w:tab w:val="left" w:pos="2172"/>
        </w:tabs>
        <w:spacing w:before="111" w:after="0" w:line="240" w:lineRule="auto"/>
        <w:ind w:left="2171" w:right="0" w:hanging="602"/>
        <w:jc w:val="left"/>
        <w:rPr>
          <w:rFonts w:ascii="Arial" w:eastAsia="Arial"/>
        </w:rPr>
      </w:pPr>
      <w:r>
        <w:rPr>
          <w:rFonts w:ascii="Arial" w:eastAsia="Arial"/>
        </w:rPr>
        <w:t>ITER</w:t>
      </w:r>
      <w:r>
        <w:rPr>
          <w:rFonts w:ascii="Arial" w:eastAsia="Arial"/>
          <w:spacing w:val="-6"/>
        </w:rPr>
        <w:t xml:space="preserve"> </w:t>
      </w:r>
      <w:r>
        <w:rPr>
          <w:spacing w:val="-1"/>
        </w:rPr>
        <w:t>建设为全球分工，中国承制多类零部件</w:t>
      </w:r>
    </w:p>
    <w:p>
      <w:pPr>
        <w:pStyle w:val="BodyText"/>
        <w:spacing w:before="8"/>
        <w:rPr>
          <w:sz w:val="18"/>
        </w:rPr>
      </w:pPr>
    </w:p>
    <w:p>
      <w:pPr>
        <w:pStyle w:val="BodyText"/>
        <w:spacing w:before="1" w:line="264" w:lineRule="auto"/>
        <w:ind w:left="1903" w:right="542"/>
        <w:jc w:val="both"/>
        <w:rPr>
          <w:rFonts w:ascii="宋体" w:eastAsia="宋体" w:hint="eastAsia"/>
        </w:rPr>
      </w:pPr>
      <w:r>
        <w:rPr>
          <w:rFonts w:ascii="Microsoft JhengHei" w:eastAsia="Microsoft JhengHei" w:hint="eastAsia"/>
          <w:b/>
          <w:spacing w:val="-1"/>
        </w:rPr>
        <w:t xml:space="preserve">各国政府及科技界的高度重视和支持 </w:t>
      </w:r>
      <w:r>
        <w:rPr>
          <w:rFonts w:ascii="Arial" w:eastAsia="Arial"/>
          <w:b/>
        </w:rPr>
        <w:t xml:space="preserve">ITER </w:t>
      </w:r>
      <w:r>
        <w:rPr>
          <w:rFonts w:ascii="Microsoft JhengHei" w:eastAsia="Microsoft JhengHei" w:hint="eastAsia"/>
          <w:b/>
        </w:rPr>
        <w:t>建设</w:t>
      </w:r>
      <w:r>
        <w:rPr>
          <w:rFonts w:ascii="宋体" w:eastAsia="宋体" w:hint="eastAsia"/>
          <w:spacing w:val="-7"/>
        </w:rPr>
        <w:t xml:space="preserve">。目前项目的参与国达 </w:t>
      </w:r>
      <w:r>
        <w:rPr>
          <w:rFonts w:ascii="Arial" w:eastAsia="Arial"/>
        </w:rPr>
        <w:t xml:space="preserve">35 </w:t>
      </w:r>
      <w:r>
        <w:rPr>
          <w:rFonts w:ascii="宋体" w:eastAsia="宋体" w:hint="eastAsia"/>
          <w:spacing w:val="-3"/>
        </w:rPr>
        <w:t>个，其中中国、</w:t>
      </w:r>
      <w:r>
        <w:rPr>
          <w:rFonts w:ascii="宋体" w:eastAsia="宋体" w:hint="eastAsia"/>
          <w:spacing w:val="-6"/>
        </w:rPr>
        <w:t xml:space="preserve">印度、日本、韩国、俄罗斯及美国分别承担 </w:t>
      </w:r>
      <w:r>
        <w:rPr>
          <w:rFonts w:ascii="Arial" w:eastAsia="Arial"/>
        </w:rPr>
        <w:t xml:space="preserve">ITER </w:t>
      </w:r>
      <w:r>
        <w:rPr>
          <w:rFonts w:ascii="宋体" w:eastAsia="宋体" w:hint="eastAsia"/>
          <w:spacing w:val="-8"/>
        </w:rPr>
        <w:t xml:space="preserve">建设阶段费用的 </w:t>
      </w:r>
      <w:r>
        <w:rPr>
          <w:rFonts w:ascii="Arial" w:eastAsia="Arial"/>
        </w:rPr>
        <w:t>9.1%</w:t>
      </w:r>
      <w:r>
        <w:rPr>
          <w:rFonts w:ascii="宋体" w:eastAsia="宋体" w:hint="eastAsia"/>
          <w:spacing w:val="-13"/>
        </w:rPr>
        <w:t xml:space="preserve">，其中 </w:t>
      </w:r>
      <w:r>
        <w:rPr>
          <w:rFonts w:ascii="Arial" w:eastAsia="Arial"/>
        </w:rPr>
        <w:t>90%</w:t>
      </w:r>
      <w:r>
        <w:rPr>
          <w:rFonts w:ascii="宋体" w:eastAsia="宋体" w:hint="eastAsia"/>
          <w:spacing w:val="-3"/>
        </w:rPr>
        <w:t>将以设</w:t>
      </w:r>
      <w:r>
        <w:rPr>
          <w:rFonts w:ascii="宋体" w:eastAsia="宋体" w:hint="eastAsia"/>
          <w:spacing w:val="-13"/>
        </w:rPr>
        <w:t xml:space="preserve">备的形式贡献，另外 </w:t>
      </w:r>
      <w:r>
        <w:rPr>
          <w:rFonts w:ascii="Arial" w:eastAsia="Arial"/>
          <w:spacing w:val="-3"/>
        </w:rPr>
        <w:t>10%</w:t>
      </w:r>
      <w:r>
        <w:rPr>
          <w:rFonts w:ascii="宋体" w:eastAsia="宋体" w:hint="eastAsia"/>
          <w:spacing w:val="-11"/>
        </w:rPr>
        <w:t xml:space="preserve">则为现金贡献；东道方欧盟贡献金额达到 </w:t>
      </w:r>
      <w:r>
        <w:rPr>
          <w:rFonts w:ascii="Arial" w:eastAsia="Arial"/>
          <w:spacing w:val="-14"/>
        </w:rPr>
        <w:t>45%</w:t>
      </w:r>
      <w:r>
        <w:rPr>
          <w:rFonts w:ascii="宋体" w:eastAsia="宋体" w:hint="eastAsia"/>
          <w:spacing w:val="-12"/>
        </w:rPr>
        <w:t xml:space="preserve">，包括部分 </w:t>
      </w:r>
      <w:r>
        <w:rPr>
          <w:rFonts w:ascii="Arial" w:eastAsia="Arial"/>
        </w:rPr>
        <w:t xml:space="preserve">ITER </w:t>
      </w:r>
      <w:r>
        <w:rPr>
          <w:rFonts w:ascii="宋体" w:eastAsia="宋体" w:hint="eastAsia"/>
        </w:rPr>
        <w:t>零</w:t>
      </w:r>
    </w:p>
    <w:p>
      <w:pPr>
        <w:pStyle w:val="BodyText"/>
        <w:spacing w:before="12"/>
        <w:ind w:left="1903"/>
        <w:rPr>
          <w:rFonts w:ascii="宋体" w:eastAsia="宋体" w:hint="eastAsia"/>
        </w:rPr>
      </w:pPr>
      <w:r>
        <w:rPr>
          <w:rFonts w:ascii="宋体" w:eastAsia="宋体" w:hint="eastAsia"/>
        </w:rPr>
        <w:t>部件与系统的制造，以及几乎所有有关该科学研究的投资。</w:t>
      </w:r>
    </w:p>
    <w:p>
      <w:pPr>
        <w:spacing w:before="100"/>
        <w:ind w:left="1920" w:right="0" w:firstLine="0"/>
        <w:jc w:val="left"/>
        <w:rPr>
          <w:rFonts w:ascii="Microsoft JhengHei" w:eastAsia="Microsoft JhengHei" w:hint="eastAsia"/>
          <w:b/>
          <w:sz w:val="18"/>
        </w:rPr>
      </w:pPr>
      <w:r>
        <w:drawing>
          <wp:anchor distT="0" distB="0" distL="0" distR="0" simplePos="0" relativeHeight="251678720" behindDoc="0" locked="0" layoutInCell="1" allowOverlap="1">
            <wp:simplePos x="0" y="0"/>
            <wp:positionH relativeFrom="page">
              <wp:posOffset>1976501</wp:posOffset>
            </wp:positionH>
            <wp:positionV relativeFrom="paragraph">
              <wp:posOffset>351925</wp:posOffset>
            </wp:positionV>
            <wp:extent cx="4800280" cy="3200400"/>
            <wp:effectExtent l="0" t="0" r="0" b="0"/>
            <wp:wrapTopAndBottom/>
            <wp:docPr id="15"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2.jpeg"/>
                    <pic:cNvPicPr/>
                  </pic:nvPicPr>
                  <pic:blipFill>
                    <a:blip xmlns:r="http://schemas.openxmlformats.org/officeDocument/2006/relationships" r:embed="rId32" cstate="print"/>
                    <a:stretch>
                      <a:fillRect/>
                    </a:stretch>
                  </pic:blipFill>
                  <pic:spPr>
                    <a:xfrm>
                      <a:off x="0" y="0"/>
                      <a:ext cx="4800280" cy="3200400"/>
                    </a:xfrm>
                    <a:prstGeom prst="rect">
                      <a:avLst/>
                    </a:prstGeom>
                  </pic:spPr>
                </pic:pic>
              </a:graphicData>
            </a:graphic>
          </wp:anchor>
        </w:drawing>
      </w:r>
      <w:r>
        <w:pict>
          <v:line id="_x0000_s1059" style="mso-position-horizontal-relative:page;position:absolute;z-index:251680768" from="132.75pt,20.2pt" to="554.75pt,20.2pt" stroked="t" strokecolor="#1f4e79" strokeweight="0.96pt">
            <v:stroke dashstyle="solid"/>
          </v:line>
        </w:pict>
      </w:r>
      <w:r>
        <w:rPr>
          <w:rFonts w:ascii="Microsoft JhengHei" w:eastAsia="Microsoft JhengHei" w:hint="eastAsia"/>
          <w:b/>
          <w:color w:val="152E57"/>
          <w:sz w:val="18"/>
        </w:rPr>
        <w:t xml:space="preserve">图表 </w:t>
      </w:r>
      <w:r>
        <w:rPr>
          <w:rFonts w:ascii="Arial" w:eastAsia="Arial"/>
          <w:b/>
          <w:color w:val="152E57"/>
          <w:sz w:val="18"/>
        </w:rPr>
        <w:t>12</w:t>
      </w:r>
      <w:r>
        <w:rPr>
          <w:rFonts w:ascii="Microsoft JhengHei" w:eastAsia="Microsoft JhengHei" w:hint="eastAsia"/>
          <w:b/>
          <w:color w:val="152E57"/>
          <w:sz w:val="18"/>
        </w:rPr>
        <w:t>：</w:t>
      </w:r>
      <w:r>
        <w:rPr>
          <w:rFonts w:ascii="Arial" w:eastAsia="Arial"/>
          <w:b/>
          <w:color w:val="152E57"/>
          <w:sz w:val="18"/>
        </w:rPr>
        <w:t xml:space="preserve">ITER </w:t>
      </w:r>
      <w:r>
        <w:rPr>
          <w:rFonts w:ascii="Microsoft JhengHei" w:eastAsia="Microsoft JhengHei" w:hint="eastAsia"/>
          <w:b/>
          <w:color w:val="152E57"/>
          <w:sz w:val="18"/>
        </w:rPr>
        <w:t>组件建造分工</w:t>
      </w:r>
    </w:p>
    <w:p>
      <w:pPr>
        <w:pStyle w:val="BodyText"/>
        <w:spacing w:before="3"/>
        <w:rPr>
          <w:rFonts w:ascii="Microsoft JhengHei"/>
          <w:b/>
          <w:sz w:val="5"/>
        </w:rPr>
      </w:pPr>
    </w:p>
    <w:p>
      <w:pPr>
        <w:pStyle w:val="BodyText"/>
        <w:spacing w:line="20" w:lineRule="exact"/>
        <w:ind w:left="1804"/>
        <w:rPr>
          <w:rFonts w:ascii="Microsoft JhengHei"/>
          <w:sz w:val="2"/>
        </w:rPr>
      </w:pPr>
      <w:r>
        <w:rPr>
          <w:rFonts w:ascii="Microsoft JhengHei"/>
          <w:sz w:val="2"/>
        </w:rPr>
        <w:pict>
          <v:group id="_x0000_i1060" style="width:422.05pt;height:1pt;mso-position-horizontal-relative:char;mso-position-vertical-relative:line" coordorigin="0,0" coordsize="8441,20">
            <v:line id="_x0000_s1061" style="position:absolute" from="0,10" to="8440,10" stroked="t" strokecolor="#1f4e79" strokeweight="0.96pt">
              <v:stroke dashstyle="solid"/>
            </v:line>
            <w10:wrap type="none"/>
          </v:group>
        </w:pict>
      </w:r>
    </w:p>
    <w:p>
      <w:pPr>
        <w:spacing w:before="0"/>
        <w:ind w:left="1920" w:right="0" w:firstLine="0"/>
        <w:jc w:val="left"/>
        <w:rPr>
          <w:rFonts w:ascii="宋体" w:eastAsia="宋体" w:hint="eastAsia"/>
          <w:sz w:val="17"/>
        </w:rPr>
      </w:pPr>
      <w:r>
        <w:t xml:space="preserve">资料来源：ITER 官网， </w:t>
      </w:r>
    </w:p>
    <w:p>
      <w:pPr>
        <w:spacing w:before="133"/>
        <w:ind w:left="1903" w:right="0" w:firstLine="0"/>
        <w:jc w:val="left"/>
        <w:rPr>
          <w:rFonts w:ascii="Arial" w:eastAsia="Arial"/>
          <w:sz w:val="21"/>
        </w:rPr>
      </w:pPr>
      <w:r>
        <w:rPr>
          <w:rFonts w:ascii="Arial" w:eastAsia="Arial"/>
          <w:b/>
          <w:sz w:val="21"/>
        </w:rPr>
        <w:t xml:space="preserve">ITER </w:t>
      </w:r>
      <w:r>
        <w:rPr>
          <w:rFonts w:ascii="Microsoft JhengHei" w:eastAsia="Microsoft JhengHei" w:hint="eastAsia"/>
          <w:b/>
          <w:spacing w:val="-2"/>
          <w:sz w:val="21"/>
        </w:rPr>
        <w:t xml:space="preserve">装置的部件被拆分为 </w:t>
      </w:r>
      <w:r>
        <w:rPr>
          <w:rFonts w:ascii="Arial" w:eastAsia="Arial"/>
          <w:b/>
          <w:sz w:val="21"/>
        </w:rPr>
        <w:t xml:space="preserve">22 </w:t>
      </w:r>
      <w:r>
        <w:rPr>
          <w:rFonts w:ascii="Microsoft JhengHei" w:eastAsia="Microsoft JhengHei" w:hint="eastAsia"/>
          <w:b/>
          <w:sz w:val="21"/>
        </w:rPr>
        <w:t>个采购包</w:t>
      </w:r>
      <w:r>
        <w:rPr>
          <w:rFonts w:ascii="Arial" w:eastAsia="Arial"/>
          <w:b/>
          <w:spacing w:val="-8"/>
          <w:sz w:val="21"/>
        </w:rPr>
        <w:t xml:space="preserve">, </w:t>
      </w:r>
      <w:r>
        <w:rPr>
          <w:rFonts w:ascii="Arial" w:eastAsia="Arial"/>
          <w:b/>
          <w:sz w:val="21"/>
        </w:rPr>
        <w:t xml:space="preserve">97 </w:t>
      </w:r>
      <w:r>
        <w:rPr>
          <w:rFonts w:ascii="Microsoft JhengHei" w:eastAsia="Microsoft JhengHei" w:hint="eastAsia"/>
          <w:b/>
          <w:spacing w:val="-27"/>
          <w:sz w:val="21"/>
        </w:rPr>
        <w:t>个子包。</w:t>
      </w:r>
      <w:r>
        <w:rPr>
          <w:rFonts w:ascii="宋体" w:eastAsia="宋体" w:hint="eastAsia"/>
          <w:spacing w:val="-16"/>
          <w:sz w:val="21"/>
        </w:rPr>
        <w:t xml:space="preserve">根据潘传红《国际热核实验反应堆 </w:t>
      </w:r>
      <w:r>
        <w:rPr>
          <w:rFonts w:ascii="Arial" w:eastAsia="Arial"/>
          <w:sz w:val="21"/>
        </w:rPr>
        <w:t>ITER</w:t>
      </w:r>
    </w:p>
    <w:p>
      <w:pPr>
        <w:spacing w:after="0"/>
        <w:jc w:val="left"/>
        <w:rPr>
          <w:rFonts w:ascii="Arial" w:eastAsia="Arial"/>
          <w:sz w:val="21"/>
        </w:rPr>
        <w:sectPr>
          <w:headerReference w:type="default" r:id="rId33"/>
          <w:footerReference w:type="default" r:id="rId34"/>
          <w:pgSz w:w="11910" w:h="16840"/>
          <w:pgMar w:top="840" w:right="300" w:bottom="1200" w:left="840" w:header="708" w:footer="708"/>
          <w:pgNumType w:start="9"/>
          <w:cols w:space="708"/>
        </w:sectPr>
      </w:pPr>
    </w:p>
    <w:p>
      <w:pPr>
        <w:pStyle w:val="BodyText"/>
        <w:spacing w:before="8"/>
        <w:rPr>
          <w:rFonts w:ascii="Arial"/>
          <w:sz w:val="17"/>
        </w:rPr>
      </w:pPr>
    </w:p>
    <w:p>
      <w:pPr>
        <w:pStyle w:val="BodyText"/>
        <w:spacing w:before="81"/>
        <w:ind w:left="1903"/>
        <w:jc w:val="both"/>
        <w:rPr>
          <w:rFonts w:ascii="宋体" w:eastAsia="宋体" w:hint="eastAsia"/>
        </w:rPr>
      </w:pPr>
      <w:r>
        <w:rPr>
          <w:rFonts w:ascii="宋体" w:eastAsia="宋体" w:hint="eastAsia"/>
        </w:rPr>
        <w:t>计划与未来核聚变能源》一文，据联合实施协定，</w:t>
      </w:r>
      <w:r>
        <w:rPr>
          <w:rFonts w:ascii="Arial" w:eastAsia="Arial"/>
        </w:rPr>
        <w:t xml:space="preserve">ITER </w:t>
      </w:r>
      <w:r>
        <w:rPr>
          <w:rFonts w:ascii="宋体" w:eastAsia="宋体" w:hint="eastAsia"/>
        </w:rPr>
        <w:t>真空室扇区的制造任务分别由欧盟</w:t>
      </w:r>
    </w:p>
    <w:p>
      <w:pPr>
        <w:pStyle w:val="BodyText"/>
        <w:spacing w:before="53" w:line="285" w:lineRule="auto"/>
        <w:ind w:left="1903" w:right="540"/>
        <w:jc w:val="both"/>
        <w:rPr>
          <w:rFonts w:ascii="宋体" w:eastAsia="宋体" w:hint="eastAsia"/>
        </w:rPr>
      </w:pPr>
      <w:r>
        <w:rPr>
          <w:rFonts w:ascii="宋体" w:eastAsia="宋体" w:hint="eastAsia"/>
        </w:rPr>
        <w:t>（</w:t>
      </w:r>
      <w:r>
        <w:rPr>
          <w:rFonts w:ascii="Arial" w:eastAsia="Arial"/>
        </w:rPr>
        <w:t xml:space="preserve">7 </w:t>
      </w:r>
      <w:r>
        <w:rPr>
          <w:rFonts w:ascii="宋体" w:eastAsia="宋体" w:hint="eastAsia"/>
          <w:spacing w:val="-3"/>
        </w:rPr>
        <w:t>个扇区）与韩国</w:t>
      </w:r>
      <w:r>
        <w:rPr>
          <w:rFonts w:ascii="宋体" w:eastAsia="宋体" w:hint="eastAsia"/>
        </w:rPr>
        <w:t>（</w:t>
      </w:r>
      <w:r>
        <w:rPr>
          <w:rFonts w:ascii="Arial" w:eastAsia="Arial"/>
        </w:rPr>
        <w:t xml:space="preserve">2 </w:t>
      </w:r>
      <w:r>
        <w:rPr>
          <w:rFonts w:ascii="宋体" w:eastAsia="宋体" w:hint="eastAsia"/>
          <w:spacing w:val="-3"/>
        </w:rPr>
        <w:t>个扇区</w:t>
      </w:r>
      <w:r>
        <w:rPr>
          <w:rFonts w:ascii="宋体" w:eastAsia="宋体" w:hint="eastAsia"/>
        </w:rPr>
        <w:t>）</w:t>
      </w:r>
      <w:r>
        <w:rPr>
          <w:rFonts w:ascii="宋体" w:eastAsia="宋体" w:hint="eastAsia"/>
          <w:spacing w:val="-3"/>
        </w:rPr>
        <w:t>分担；中心螺旋管则由美国与日本合作完成；偏滤器的制</w:t>
      </w:r>
      <w:r>
        <w:rPr>
          <w:rFonts w:ascii="宋体" w:eastAsia="宋体" w:hint="eastAsia"/>
          <w:spacing w:val="-8"/>
        </w:rPr>
        <w:t xml:space="preserve">造与测试则分给欧盟、俄罗斯与日本；印度与美国共同负责 </w:t>
      </w:r>
      <w:r>
        <w:rPr>
          <w:rFonts w:ascii="Arial" w:eastAsia="Arial"/>
        </w:rPr>
        <w:t xml:space="preserve">ITER </w:t>
      </w:r>
      <w:r>
        <w:rPr>
          <w:rFonts w:ascii="宋体" w:eastAsia="宋体" w:hint="eastAsia"/>
          <w:spacing w:val="-5"/>
        </w:rPr>
        <w:t>的冷却水系统；包层系统</w:t>
      </w:r>
      <w:r>
        <w:rPr>
          <w:rFonts w:ascii="宋体" w:eastAsia="宋体" w:hint="eastAsia"/>
          <w:spacing w:val="-9"/>
        </w:rPr>
        <w:t xml:space="preserve">将由中国、欧盟、韩国、俄罗斯及美国制造；最后，除印度之外的 </w:t>
      </w:r>
      <w:r>
        <w:rPr>
          <w:rFonts w:ascii="Arial" w:eastAsia="Arial"/>
        </w:rPr>
        <w:t xml:space="preserve">ITER </w:t>
      </w:r>
      <w:r>
        <w:rPr>
          <w:rFonts w:ascii="宋体" w:eastAsia="宋体" w:hint="eastAsia"/>
          <w:spacing w:val="-3"/>
        </w:rPr>
        <w:t>计划六个成员方都</w:t>
      </w:r>
      <w:r>
        <w:rPr>
          <w:rFonts w:ascii="宋体" w:eastAsia="宋体" w:hint="eastAsia"/>
          <w:spacing w:val="-15"/>
        </w:rPr>
        <w:t xml:space="preserve">将参与 </w:t>
      </w:r>
      <w:r>
        <w:rPr>
          <w:rFonts w:ascii="Arial" w:eastAsia="Arial"/>
        </w:rPr>
        <w:t xml:space="preserve">ITER </w:t>
      </w:r>
      <w:r>
        <w:rPr>
          <w:rFonts w:ascii="宋体" w:eastAsia="宋体" w:hint="eastAsia"/>
          <w:spacing w:val="-3"/>
        </w:rPr>
        <w:t>磁体的生产。</w:t>
      </w:r>
    </w:p>
    <w:p>
      <w:pPr>
        <w:spacing w:before="85" w:line="264" w:lineRule="auto"/>
        <w:ind w:left="1903" w:right="541" w:firstLine="0"/>
        <w:jc w:val="both"/>
        <w:rPr>
          <w:rFonts w:ascii="宋体" w:eastAsia="宋体" w:hint="eastAsia"/>
          <w:sz w:val="21"/>
        </w:rPr>
      </w:pPr>
      <w:r>
        <w:rPr>
          <w:rFonts w:ascii="Microsoft JhengHei" w:eastAsia="Microsoft JhengHei" w:hint="eastAsia"/>
          <w:b/>
          <w:spacing w:val="4"/>
          <w:sz w:val="21"/>
        </w:rPr>
        <w:t xml:space="preserve">中国承担了 </w:t>
      </w:r>
      <w:r>
        <w:rPr>
          <w:rFonts w:ascii="Arial" w:eastAsia="Arial"/>
          <w:b/>
          <w:sz w:val="21"/>
        </w:rPr>
        <w:t xml:space="preserve">12 </w:t>
      </w:r>
      <w:r>
        <w:rPr>
          <w:rFonts w:ascii="Microsoft JhengHei" w:eastAsia="Microsoft JhengHei" w:hint="eastAsia"/>
          <w:b/>
          <w:sz w:val="21"/>
        </w:rPr>
        <w:t>个子包</w:t>
      </w:r>
      <w:r>
        <w:rPr>
          <w:rFonts w:ascii="Arial" w:eastAsia="Arial"/>
          <w:b/>
          <w:spacing w:val="-4"/>
          <w:sz w:val="21"/>
        </w:rPr>
        <w:t>(</w:t>
      </w:r>
      <w:r>
        <w:rPr>
          <w:rFonts w:ascii="Microsoft JhengHei" w:eastAsia="Microsoft JhengHei" w:hint="eastAsia"/>
          <w:b/>
          <w:spacing w:val="8"/>
          <w:sz w:val="21"/>
        </w:rPr>
        <w:t xml:space="preserve">分属 </w:t>
      </w:r>
      <w:r>
        <w:rPr>
          <w:rFonts w:ascii="Arial" w:eastAsia="Arial"/>
          <w:b/>
          <w:sz w:val="21"/>
        </w:rPr>
        <w:t xml:space="preserve">6 </w:t>
      </w:r>
      <w:r>
        <w:rPr>
          <w:rFonts w:ascii="Microsoft JhengHei" w:eastAsia="Microsoft JhengHei" w:hint="eastAsia"/>
          <w:b/>
          <w:sz w:val="21"/>
        </w:rPr>
        <w:t>个采购包</w:t>
      </w:r>
      <w:r>
        <w:rPr>
          <w:rFonts w:ascii="Arial" w:eastAsia="Arial"/>
          <w:b/>
          <w:spacing w:val="-4"/>
          <w:sz w:val="21"/>
        </w:rPr>
        <w:t>)</w:t>
      </w:r>
      <w:r>
        <w:rPr>
          <w:rFonts w:ascii="Microsoft JhengHei" w:eastAsia="Microsoft JhengHei" w:hint="eastAsia"/>
          <w:b/>
          <w:sz w:val="21"/>
        </w:rPr>
        <w:t>的制造任务。</w:t>
      </w:r>
      <w:r>
        <w:rPr>
          <w:rFonts w:ascii="宋体" w:eastAsia="宋体" w:hint="eastAsia"/>
          <w:spacing w:val="-6"/>
          <w:sz w:val="21"/>
        </w:rPr>
        <w:t xml:space="preserve">预计研制费和加工费达 </w:t>
      </w:r>
      <w:r>
        <w:rPr>
          <w:rFonts w:ascii="Arial" w:eastAsia="Arial"/>
          <w:sz w:val="21"/>
        </w:rPr>
        <w:t xml:space="preserve">40 </w:t>
      </w:r>
      <w:r>
        <w:rPr>
          <w:rFonts w:ascii="宋体" w:eastAsia="宋体" w:hint="eastAsia"/>
          <w:spacing w:val="-3"/>
          <w:sz w:val="21"/>
        </w:rPr>
        <w:t>亿元人民币，涉及到的部件</w:t>
      </w:r>
      <w:r>
        <w:rPr>
          <w:rFonts w:ascii="Arial" w:eastAsia="Arial"/>
          <w:spacing w:val="-3"/>
          <w:sz w:val="21"/>
        </w:rPr>
        <w:t>(</w:t>
      </w:r>
      <w:r>
        <w:rPr>
          <w:rFonts w:ascii="宋体" w:eastAsia="宋体" w:hint="eastAsia"/>
          <w:spacing w:val="-3"/>
          <w:sz w:val="21"/>
        </w:rPr>
        <w:t>材料</w:t>
      </w:r>
      <w:r>
        <w:rPr>
          <w:rFonts w:ascii="Arial" w:eastAsia="Arial"/>
          <w:spacing w:val="-4"/>
          <w:sz w:val="21"/>
        </w:rPr>
        <w:t>)</w:t>
      </w:r>
      <w:r>
        <w:rPr>
          <w:rFonts w:ascii="宋体" w:eastAsia="宋体" w:hint="eastAsia"/>
          <w:sz w:val="21"/>
        </w:rPr>
        <w:t>为</w:t>
      </w:r>
      <w:r>
        <w:rPr>
          <w:rFonts w:ascii="Arial" w:eastAsia="Arial"/>
          <w:spacing w:val="11"/>
          <w:sz w:val="21"/>
        </w:rPr>
        <w:t xml:space="preserve">: </w:t>
      </w:r>
      <w:r>
        <w:rPr>
          <w:rFonts w:ascii="宋体" w:eastAsia="宋体" w:hint="eastAsia"/>
          <w:spacing w:val="-4"/>
          <w:sz w:val="21"/>
        </w:rPr>
        <w:t>磁体支撑、包层第一壁、包层屏蔽体、气体阀门箱和辉光放电</w:t>
      </w:r>
      <w:r>
        <w:rPr>
          <w:rFonts w:ascii="宋体" w:eastAsia="宋体" w:hint="eastAsia"/>
          <w:sz w:val="21"/>
        </w:rPr>
        <w:t>清洗系统、修正场线圈、磁体引线、高压变电站设备、交</w:t>
      </w:r>
      <w:r>
        <w:rPr>
          <w:rFonts w:ascii="Arial" w:eastAsia="Arial"/>
          <w:sz w:val="21"/>
        </w:rPr>
        <w:t>-</w:t>
      </w:r>
      <w:r>
        <w:rPr>
          <w:rFonts w:ascii="宋体" w:eastAsia="宋体" w:hint="eastAsia"/>
          <w:spacing w:val="-2"/>
          <w:sz w:val="21"/>
        </w:rPr>
        <w:t>直流转换器、环向场磁体线圈导</w:t>
      </w:r>
    </w:p>
    <w:p>
      <w:pPr>
        <w:pStyle w:val="BodyText"/>
        <w:spacing w:before="13" w:line="285" w:lineRule="auto"/>
        <w:ind w:left="1903" w:right="503"/>
        <w:rPr>
          <w:rFonts w:ascii="宋体" w:eastAsia="宋体" w:hint="eastAsia"/>
        </w:rPr>
      </w:pPr>
      <w:r>
        <w:rPr>
          <w:rFonts w:ascii="宋体" w:eastAsia="宋体" w:hint="eastAsia"/>
        </w:rPr>
        <w:t>体、极向场磁体线圈导体、传送车系统、诊断系统</w:t>
      </w:r>
      <w:r>
        <w:rPr>
          <w:rFonts w:ascii="Arial" w:eastAsia="Arial"/>
        </w:rPr>
        <w:t>(</w:t>
      </w:r>
      <w:r>
        <w:rPr>
          <w:rFonts w:ascii="宋体" w:eastAsia="宋体" w:hint="eastAsia"/>
        </w:rPr>
        <w:t>中子通量测量、光学测量、朗缪尔探针</w:t>
      </w:r>
      <w:r>
        <w:rPr>
          <w:rFonts w:ascii="Arial" w:eastAsia="Arial"/>
        </w:rPr>
        <w:t xml:space="preserve">) </w:t>
      </w:r>
      <w:r>
        <w:rPr>
          <w:rFonts w:ascii="宋体" w:eastAsia="宋体" w:hint="eastAsia"/>
        </w:rPr>
        <w:t>等。</w:t>
      </w:r>
    </w:p>
    <w:p>
      <w:pPr>
        <w:spacing w:before="51"/>
        <w:ind w:left="1920" w:right="0" w:firstLine="0"/>
        <w:jc w:val="left"/>
        <w:rPr>
          <w:rFonts w:ascii="Microsoft JhengHei" w:eastAsia="Microsoft JhengHei" w:hint="eastAsia"/>
          <w:b/>
          <w:sz w:val="18"/>
        </w:rPr>
      </w:pPr>
      <w:r>
        <w:pict>
          <v:line id="_x0000_s1062" style="mso-position-horizontal-relative:page;position:absolute;z-index:251682816" from="132.75pt,17.65pt" to="554.75pt,17.65pt" stroked="t" strokecolor="#1f4e79" strokeweight="0.96pt">
            <v:stroke dashstyle="solid"/>
          </v:line>
        </w:pict>
      </w:r>
      <w:r>
        <w:rPr>
          <w:rFonts w:ascii="Microsoft JhengHei" w:eastAsia="Microsoft JhengHei" w:hint="eastAsia"/>
          <w:b/>
          <w:color w:val="152E57"/>
          <w:sz w:val="18"/>
        </w:rPr>
        <w:t xml:space="preserve">图表 </w:t>
      </w:r>
      <w:r>
        <w:rPr>
          <w:rFonts w:ascii="Arial" w:eastAsia="Arial"/>
          <w:b/>
          <w:color w:val="152E57"/>
          <w:sz w:val="18"/>
        </w:rPr>
        <w:t>13</w:t>
      </w:r>
      <w:r>
        <w:rPr>
          <w:rFonts w:ascii="Microsoft JhengHei" w:eastAsia="Microsoft JhengHei" w:hint="eastAsia"/>
          <w:b/>
          <w:color w:val="152E57"/>
          <w:sz w:val="18"/>
        </w:rPr>
        <w:t>：</w:t>
      </w:r>
      <w:r>
        <w:rPr>
          <w:b/>
          <w:color w:val="152E57"/>
          <w:sz w:val="18"/>
        </w:rPr>
        <w:t>I</w:t>
      </w:r>
      <w:r>
        <w:rPr>
          <w:rFonts w:ascii="Arial" w:eastAsia="Arial"/>
          <w:b/>
          <w:color w:val="152E57"/>
          <w:sz w:val="18"/>
        </w:rPr>
        <w:t xml:space="preserve">TER </w:t>
      </w:r>
      <w:r>
        <w:rPr>
          <w:rFonts w:ascii="Microsoft JhengHei" w:eastAsia="Microsoft JhengHei" w:hint="eastAsia"/>
          <w:b/>
          <w:color w:val="152E57"/>
          <w:sz w:val="18"/>
        </w:rPr>
        <w:t>装置及我国承制的部件示意图</w:t>
      </w:r>
    </w:p>
    <w:p>
      <w:pPr>
        <w:pStyle w:val="BodyText"/>
        <w:rPr>
          <w:rFonts w:ascii="Microsoft JhengHei"/>
          <w:b/>
          <w:sz w:val="18"/>
        </w:rPr>
      </w:pPr>
      <w:r>
        <w:drawing>
          <wp:anchor distT="0" distB="0" distL="0" distR="0" simplePos="0" relativeHeight="251681792" behindDoc="0" locked="0" layoutInCell="1" allowOverlap="1">
            <wp:simplePos x="0" y="0"/>
            <wp:positionH relativeFrom="page">
              <wp:posOffset>1851728</wp:posOffset>
            </wp:positionH>
            <wp:positionV relativeFrom="paragraph">
              <wp:posOffset>235529</wp:posOffset>
            </wp:positionV>
            <wp:extent cx="4930260" cy="2489454"/>
            <wp:effectExtent l="0" t="0" r="0" b="0"/>
            <wp:wrapTopAndBottom/>
            <wp:docPr id="17"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3.jpeg"/>
                    <pic:cNvPicPr/>
                  </pic:nvPicPr>
                  <pic:blipFill>
                    <a:blip xmlns:r="http://schemas.openxmlformats.org/officeDocument/2006/relationships" r:embed="rId35" cstate="print"/>
                    <a:stretch>
                      <a:fillRect/>
                    </a:stretch>
                  </pic:blipFill>
                  <pic:spPr>
                    <a:xfrm>
                      <a:off x="0" y="0"/>
                      <a:ext cx="4930260" cy="2489454"/>
                    </a:xfrm>
                    <a:prstGeom prst="rect">
                      <a:avLst/>
                    </a:prstGeom>
                  </pic:spPr>
                </pic:pic>
              </a:graphicData>
            </a:graphic>
          </wp:anchor>
        </w:drawing>
      </w:r>
    </w:p>
    <w:p>
      <w:pPr>
        <w:pStyle w:val="BodyText"/>
        <w:rPr>
          <w:rFonts w:ascii="Microsoft JhengHei"/>
          <w:b/>
          <w:sz w:val="2"/>
        </w:rPr>
      </w:pPr>
    </w:p>
    <w:p>
      <w:pPr>
        <w:pStyle w:val="BodyText"/>
        <w:spacing w:line="20" w:lineRule="exact"/>
        <w:ind w:left="1804"/>
        <w:rPr>
          <w:rFonts w:ascii="Microsoft JhengHei"/>
          <w:sz w:val="2"/>
        </w:rPr>
      </w:pPr>
      <w:r>
        <w:rPr>
          <w:rFonts w:ascii="Microsoft JhengHei"/>
          <w:sz w:val="2"/>
        </w:rPr>
        <w:pict>
          <v:group id="_x0000_i1063" style="width:422.05pt;height:1pt;mso-position-horizontal-relative:char;mso-position-vertical-relative:line" coordorigin="0,0" coordsize="8441,20">
            <v:line id="_x0000_s1064" style="position:absolute" from="0,10" to="8440,10" stroked="t" strokecolor="#1f4e79" strokeweight="0.96pt">
              <v:stroke dashstyle="solid"/>
            </v:line>
            <w10:wrap type="none"/>
          </v:group>
        </w:pict>
      </w:r>
    </w:p>
    <w:p>
      <w:pPr>
        <w:spacing w:before="0" w:line="199" w:lineRule="exact"/>
        <w:ind w:left="1920" w:right="0" w:firstLine="0"/>
        <w:jc w:val="left"/>
        <w:rPr>
          <w:rFonts w:ascii="宋体" w:eastAsia="宋体" w:hint="eastAsia"/>
          <w:sz w:val="17"/>
        </w:rPr>
      </w:pPr>
      <w:r>
        <w:t xml:space="preserve">资料来源：《国际热核实验反应堆(ITER)计划与未来核聚变能源》潘传红， </w:t>
      </w:r>
    </w:p>
    <w:p>
      <w:pPr>
        <w:pStyle w:val="BodyText"/>
        <w:spacing w:before="4"/>
        <w:rPr>
          <w:rFonts w:ascii="宋体"/>
          <w:sz w:val="12"/>
        </w:rPr>
      </w:pPr>
    </w:p>
    <w:p>
      <w:pPr>
        <w:pStyle w:val="Heading2"/>
        <w:numPr>
          <w:ilvl w:val="2"/>
          <w:numId w:val="3"/>
        </w:numPr>
        <w:tabs>
          <w:tab w:val="left" w:pos="2383"/>
        </w:tabs>
        <w:spacing w:before="1" w:after="0" w:line="240" w:lineRule="auto"/>
        <w:ind w:left="2382" w:right="0" w:hanging="602"/>
        <w:jc w:val="left"/>
        <w:rPr>
          <w:rFonts w:ascii="Arial" w:eastAsia="Arial"/>
        </w:rPr>
      </w:pPr>
      <w:r>
        <w:rPr>
          <w:rFonts w:ascii="Arial" w:eastAsia="Arial"/>
        </w:rPr>
        <w:t>ITER</w:t>
      </w:r>
      <w:r>
        <w:rPr>
          <w:rFonts w:ascii="Arial" w:eastAsia="Arial"/>
          <w:spacing w:val="-6"/>
        </w:rPr>
        <w:t xml:space="preserve"> </w:t>
      </w:r>
      <w:r>
        <w:rPr>
          <w:spacing w:val="-1"/>
        </w:rPr>
        <w:t>成本中磁体最高，目前已进入实质建设阶段</w:t>
      </w:r>
    </w:p>
    <w:p>
      <w:pPr>
        <w:pStyle w:val="BodyText"/>
        <w:rPr>
          <w:sz w:val="24"/>
        </w:rPr>
      </w:pPr>
    </w:p>
    <w:p>
      <w:pPr>
        <w:pStyle w:val="BodyText"/>
        <w:spacing w:line="285" w:lineRule="auto"/>
        <w:ind w:left="1903" w:right="540"/>
        <w:jc w:val="both"/>
        <w:rPr>
          <w:rFonts w:ascii="宋体" w:eastAsia="宋体" w:hint="eastAsia"/>
        </w:rPr>
      </w:pPr>
      <w:r>
        <w:rPr>
          <w:rFonts w:ascii="宋体" w:eastAsia="宋体" w:hint="eastAsia"/>
          <w:spacing w:val="-1"/>
        </w:rPr>
        <w:t>根据《</w:t>
      </w:r>
      <w:r>
        <w:rPr>
          <w:rFonts w:ascii="Arial" w:eastAsia="Arial"/>
        </w:rPr>
        <w:t xml:space="preserve">MIT </w:t>
      </w:r>
      <w:r>
        <w:rPr>
          <w:rFonts w:ascii="宋体" w:eastAsia="宋体" w:hint="eastAsia"/>
          <w:spacing w:val="-8"/>
        </w:rPr>
        <w:t xml:space="preserve">科技评论》，截至 </w:t>
      </w:r>
      <w:r>
        <w:rPr>
          <w:rFonts w:ascii="Arial" w:eastAsia="Arial"/>
        </w:rPr>
        <w:t xml:space="preserve">2021 </w:t>
      </w:r>
      <w:r>
        <w:rPr>
          <w:rFonts w:ascii="宋体" w:eastAsia="宋体" w:hint="eastAsia"/>
          <w:spacing w:val="-23"/>
        </w:rPr>
        <w:t xml:space="preserve">年 </w:t>
      </w:r>
      <w:r>
        <w:rPr>
          <w:rFonts w:ascii="Arial" w:eastAsia="Arial"/>
        </w:rPr>
        <w:t xml:space="preserve">6 </w:t>
      </w:r>
      <w:r>
        <w:rPr>
          <w:rFonts w:ascii="宋体" w:eastAsia="宋体" w:hint="eastAsia"/>
        </w:rPr>
        <w:t>月，</w:t>
      </w:r>
      <w:r>
        <w:rPr>
          <w:rFonts w:ascii="Arial" w:eastAsia="Arial"/>
        </w:rPr>
        <w:t xml:space="preserve">ITER </w:t>
      </w:r>
      <w:r>
        <w:rPr>
          <w:rFonts w:ascii="宋体" w:eastAsia="宋体" w:hint="eastAsia"/>
          <w:spacing w:val="-8"/>
        </w:rPr>
        <w:t xml:space="preserve">项目预估成本为 </w:t>
      </w:r>
      <w:r>
        <w:rPr>
          <w:rFonts w:ascii="Arial" w:eastAsia="Arial"/>
        </w:rPr>
        <w:t xml:space="preserve">220 </w:t>
      </w:r>
      <w:r>
        <w:rPr>
          <w:rFonts w:ascii="宋体" w:eastAsia="宋体" w:hint="eastAsia"/>
          <w:spacing w:val="-3"/>
        </w:rPr>
        <w:t>亿美元，其中磁体</w:t>
      </w:r>
      <w:r>
        <w:rPr>
          <w:rFonts w:ascii="宋体" w:eastAsia="宋体" w:hint="eastAsia"/>
          <w:spacing w:val="-10"/>
        </w:rPr>
        <w:t xml:space="preserve">系统、容器内部件、建筑占比最高，分别达到 </w:t>
      </w:r>
      <w:r>
        <w:rPr>
          <w:rFonts w:ascii="Arial" w:eastAsia="Arial"/>
        </w:rPr>
        <w:t>28%</w:t>
      </w:r>
      <w:r>
        <w:rPr>
          <w:rFonts w:ascii="宋体" w:eastAsia="宋体" w:hint="eastAsia"/>
          <w:spacing w:val="-20"/>
        </w:rPr>
        <w:t>、</w:t>
      </w:r>
      <w:r>
        <w:rPr>
          <w:rFonts w:ascii="Arial" w:eastAsia="Arial"/>
        </w:rPr>
        <w:t>17%</w:t>
      </w:r>
      <w:r>
        <w:rPr>
          <w:rFonts w:ascii="宋体" w:eastAsia="宋体" w:hint="eastAsia"/>
          <w:spacing w:val="-21"/>
        </w:rPr>
        <w:t>、</w:t>
      </w:r>
      <w:r>
        <w:rPr>
          <w:rFonts w:ascii="Arial" w:eastAsia="Arial"/>
        </w:rPr>
        <w:t>14%</w:t>
      </w:r>
      <w:r>
        <w:rPr>
          <w:rFonts w:ascii="宋体" w:eastAsia="宋体" w:hint="eastAsia"/>
          <w:spacing w:val="-8"/>
        </w:rPr>
        <w:t>。在实际建造中，工厂总体成本</w:t>
      </w:r>
      <w:r>
        <w:rPr>
          <w:rFonts w:ascii="宋体" w:eastAsia="宋体" w:hint="eastAsia"/>
          <w:spacing w:val="-3"/>
        </w:rPr>
        <w:t>（包括建筑成本和主机装置外的支持部件和附属系统</w:t>
      </w:r>
      <w:r>
        <w:rPr>
          <w:rFonts w:ascii="宋体" w:eastAsia="宋体" w:hint="eastAsia"/>
        </w:rPr>
        <w:t>）</w:t>
      </w:r>
      <w:r>
        <w:rPr>
          <w:rFonts w:ascii="宋体" w:eastAsia="宋体" w:hint="eastAsia"/>
          <w:spacing w:val="-3"/>
        </w:rPr>
        <w:t>被大大低估，</w:t>
      </w:r>
      <w:r>
        <w:rPr>
          <w:rFonts w:ascii="Arial" w:eastAsia="Arial"/>
        </w:rPr>
        <w:t xml:space="preserve">ITER </w:t>
      </w:r>
      <w:r>
        <w:rPr>
          <w:rFonts w:ascii="宋体" w:eastAsia="宋体" w:hint="eastAsia"/>
          <w:spacing w:val="-3"/>
        </w:rPr>
        <w:t>的预算也在</w:t>
      </w:r>
      <w:r>
        <w:rPr>
          <w:rFonts w:ascii="宋体" w:eastAsia="宋体" w:hint="eastAsia"/>
          <w:spacing w:val="-5"/>
        </w:rPr>
        <w:t xml:space="preserve">逐年上升。根据核聚变发电厂 </w:t>
      </w:r>
      <w:r>
        <w:rPr>
          <w:rFonts w:ascii="Arial" w:eastAsia="Arial"/>
        </w:rPr>
        <w:t xml:space="preserve">DEMO </w:t>
      </w:r>
      <w:r>
        <w:rPr>
          <w:rFonts w:ascii="宋体" w:eastAsia="宋体" w:hint="eastAsia"/>
          <w:spacing w:val="-3"/>
        </w:rPr>
        <w:t>的成本估算，制冷系统、容器内部件、磁体系统将分</w:t>
      </w:r>
      <w:r>
        <w:rPr>
          <w:rFonts w:ascii="宋体" w:eastAsia="宋体" w:hint="eastAsia"/>
          <w:spacing w:val="-15"/>
        </w:rPr>
        <w:t xml:space="preserve">别占比 </w:t>
      </w:r>
      <w:r>
        <w:rPr>
          <w:rFonts w:ascii="Arial" w:eastAsia="Arial"/>
        </w:rPr>
        <w:t>16%</w:t>
      </w:r>
      <w:r>
        <w:rPr>
          <w:rFonts w:ascii="宋体" w:eastAsia="宋体" w:hint="eastAsia"/>
        </w:rPr>
        <w:t>、</w:t>
      </w:r>
      <w:r>
        <w:rPr>
          <w:rFonts w:ascii="Arial" w:eastAsia="Arial"/>
        </w:rPr>
        <w:t>15%</w:t>
      </w:r>
      <w:r>
        <w:rPr>
          <w:rFonts w:ascii="宋体" w:eastAsia="宋体" w:hint="eastAsia"/>
          <w:spacing w:val="-3"/>
        </w:rPr>
        <w:t>、</w:t>
      </w:r>
      <w:r>
        <w:rPr>
          <w:rFonts w:ascii="Arial" w:eastAsia="Arial"/>
        </w:rPr>
        <w:t>12%</w:t>
      </w:r>
      <w:r>
        <w:rPr>
          <w:rFonts w:ascii="宋体" w:eastAsia="宋体" w:hint="eastAsia"/>
        </w:rPr>
        <w:t>。</w:t>
      </w:r>
    </w:p>
    <w:p>
      <w:pPr>
        <w:spacing w:after="0" w:line="285" w:lineRule="auto"/>
        <w:jc w:val="both"/>
        <w:rPr>
          <w:rFonts w:ascii="宋体" w:eastAsia="宋体" w:hint="eastAsia"/>
        </w:rPr>
        <w:sectPr>
          <w:headerReference w:type="default" r:id="rId36"/>
          <w:footerReference w:type="default" r:id="rId37"/>
          <w:pgSz w:w="11910" w:h="16840"/>
          <w:pgMar w:top="840" w:right="300" w:bottom="1200" w:left="840" w:header="708" w:footer="708"/>
          <w:pgNumType w:start="10"/>
          <w:cols w:space="708"/>
        </w:sectPr>
      </w:pPr>
    </w:p>
    <w:p>
      <w:pPr>
        <w:pStyle w:val="BodyText"/>
        <w:spacing w:before="1"/>
        <w:rPr>
          <w:rFonts w:ascii="宋体"/>
          <w:sz w:val="12"/>
        </w:rPr>
      </w:pPr>
    </w:p>
    <w:p>
      <w:pPr>
        <w:tabs>
          <w:tab w:val="left" w:pos="5139"/>
        </w:tabs>
        <w:spacing w:before="24"/>
        <w:ind w:left="120" w:right="0" w:firstLine="0"/>
        <w:jc w:val="left"/>
        <w:rPr>
          <w:rFonts w:ascii="Microsoft JhengHei" w:eastAsia="Microsoft JhengHei" w:hint="eastAsia"/>
          <w:b/>
          <w:sz w:val="18"/>
        </w:rPr>
      </w:pPr>
      <w:r>
        <w:drawing>
          <wp:anchor distT="0" distB="0" distL="0" distR="0" simplePos="0" relativeHeight="251683840" behindDoc="0" locked="0" layoutInCell="1" allowOverlap="1">
            <wp:simplePos x="0" y="0"/>
            <wp:positionH relativeFrom="page">
              <wp:posOffset>642003</wp:posOffset>
            </wp:positionH>
            <wp:positionV relativeFrom="paragraph">
              <wp:posOffset>356141</wp:posOffset>
            </wp:positionV>
            <wp:extent cx="2593107" cy="2522981"/>
            <wp:effectExtent l="0" t="0" r="0" b="0"/>
            <wp:wrapTopAndBottom/>
            <wp:docPr id="19"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4.jpeg"/>
                    <pic:cNvPicPr/>
                  </pic:nvPicPr>
                  <pic:blipFill>
                    <a:blip xmlns:r="http://schemas.openxmlformats.org/officeDocument/2006/relationships" r:embed="rId38" cstate="print"/>
                    <a:stretch>
                      <a:fillRect/>
                    </a:stretch>
                  </pic:blipFill>
                  <pic:spPr>
                    <a:xfrm>
                      <a:off x="0" y="0"/>
                      <a:ext cx="2593107" cy="2522981"/>
                    </a:xfrm>
                    <a:prstGeom prst="rect">
                      <a:avLst/>
                    </a:prstGeom>
                  </pic:spPr>
                </pic:pic>
              </a:graphicData>
            </a:graphic>
          </wp:anchor>
        </w:drawing>
      </w:r>
      <w:r>
        <w:drawing>
          <wp:anchor distT="0" distB="0" distL="0" distR="0" simplePos="0" relativeHeight="251684864" behindDoc="0" locked="0" layoutInCell="1" allowOverlap="1">
            <wp:simplePos x="0" y="0"/>
            <wp:positionH relativeFrom="page">
              <wp:posOffset>3895788</wp:posOffset>
            </wp:positionH>
            <wp:positionV relativeFrom="paragraph">
              <wp:posOffset>303158</wp:posOffset>
            </wp:positionV>
            <wp:extent cx="2953011" cy="2619375"/>
            <wp:effectExtent l="0" t="0" r="0" b="0"/>
            <wp:wrapTopAndBottom/>
            <wp:docPr id="21"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5.jpeg"/>
                    <pic:cNvPicPr/>
                  </pic:nvPicPr>
                  <pic:blipFill>
                    <a:blip xmlns:r="http://schemas.openxmlformats.org/officeDocument/2006/relationships" r:embed="rId39" cstate="print"/>
                    <a:stretch>
                      <a:fillRect/>
                    </a:stretch>
                  </pic:blipFill>
                  <pic:spPr>
                    <a:xfrm>
                      <a:off x="0" y="0"/>
                      <a:ext cx="2953011" cy="2619375"/>
                    </a:xfrm>
                    <a:prstGeom prst="rect">
                      <a:avLst/>
                    </a:prstGeom>
                  </pic:spPr>
                </pic:pic>
              </a:graphicData>
            </a:graphic>
          </wp:anchor>
        </w:drawing>
      </w:r>
      <w:r>
        <w:pict>
          <v:line id="_x0000_s1065" style="mso-position-horizontal-relative:page;position:absolute;z-index:251685888" from="42.6pt,16.3pt" to="282.55pt,16.3pt" stroked="t" strokecolor="#1f4e79" strokeweight="0.96pt">
            <v:stroke dashstyle="solid"/>
          </v:line>
        </w:pict>
      </w:r>
      <w:r>
        <w:pict>
          <v:line id="_x0000_s1066" style="mso-position-horizontal-relative:page;position:absolute;z-index:251686912" from="293.6pt,16.3pt" to="552.95pt,16.3pt" stroked="t" strokecolor="#1f4e79" strokeweight="0.96pt">
            <v:stroke dashstyle="solid"/>
          </v:line>
        </w:pict>
      </w:r>
      <w:r>
        <w:rPr>
          <w:rFonts w:ascii="Microsoft JhengHei" w:eastAsia="Microsoft JhengHei" w:hint="eastAsia"/>
          <w:b/>
          <w:color w:val="152E57"/>
          <w:sz w:val="18"/>
        </w:rPr>
        <w:t>图表</w:t>
      </w:r>
      <w:r>
        <w:rPr>
          <w:rFonts w:ascii="Microsoft JhengHei" w:eastAsia="Microsoft JhengHei" w:hint="eastAsia"/>
          <w:b/>
          <w:color w:val="152E57"/>
          <w:spacing w:val="3"/>
          <w:sz w:val="18"/>
        </w:rPr>
        <w:t xml:space="preserve"> </w:t>
      </w:r>
      <w:r>
        <w:rPr>
          <w:rFonts w:ascii="Arial" w:eastAsia="Arial"/>
          <w:b/>
          <w:color w:val="152E57"/>
          <w:sz w:val="18"/>
        </w:rPr>
        <w:t>14</w:t>
      </w:r>
      <w:r>
        <w:rPr>
          <w:rFonts w:ascii="Microsoft JhengHei" w:eastAsia="Microsoft JhengHei" w:hint="eastAsia"/>
          <w:b/>
          <w:color w:val="152E57"/>
          <w:sz w:val="18"/>
        </w:rPr>
        <w:t>：</w:t>
      </w:r>
      <w:r>
        <w:rPr>
          <w:rFonts w:ascii="Arial" w:eastAsia="Arial"/>
          <w:b/>
          <w:color w:val="152E57"/>
          <w:sz w:val="18"/>
        </w:rPr>
        <w:t>ITER</w:t>
      </w:r>
      <w:r>
        <w:rPr>
          <w:rFonts w:ascii="Arial" w:eastAsia="Arial"/>
          <w:b/>
          <w:color w:val="152E57"/>
          <w:spacing w:val="-8"/>
          <w:sz w:val="18"/>
        </w:rPr>
        <w:t xml:space="preserve"> </w:t>
      </w:r>
      <w:r>
        <w:rPr>
          <w:rFonts w:ascii="Microsoft JhengHei" w:eastAsia="Microsoft JhengHei" w:hint="eastAsia"/>
          <w:b/>
          <w:color w:val="152E57"/>
          <w:sz w:val="18"/>
        </w:rPr>
        <w:t>成本拆分</w:t>
        <w:tab/>
        <w:t>图表</w:t>
      </w:r>
      <w:r>
        <w:rPr>
          <w:rFonts w:ascii="Microsoft JhengHei" w:eastAsia="Microsoft JhengHei" w:hint="eastAsia"/>
          <w:b/>
          <w:color w:val="152E57"/>
          <w:spacing w:val="3"/>
          <w:sz w:val="18"/>
        </w:rPr>
        <w:t xml:space="preserve"> </w:t>
      </w:r>
      <w:r>
        <w:rPr>
          <w:rFonts w:ascii="Arial" w:eastAsia="Arial"/>
          <w:b/>
          <w:color w:val="152E57"/>
          <w:sz w:val="18"/>
        </w:rPr>
        <w:t>15</w:t>
      </w:r>
      <w:r>
        <w:rPr>
          <w:rFonts w:ascii="Microsoft JhengHei" w:eastAsia="Microsoft JhengHei" w:hint="eastAsia"/>
          <w:b/>
          <w:color w:val="152E57"/>
          <w:sz w:val="18"/>
        </w:rPr>
        <w:t>：核聚变发电厂</w:t>
      </w:r>
      <w:r>
        <w:rPr>
          <w:rFonts w:ascii="Microsoft JhengHei" w:eastAsia="Microsoft JhengHei" w:hint="eastAsia"/>
          <w:b/>
          <w:color w:val="152E57"/>
          <w:spacing w:val="3"/>
          <w:sz w:val="18"/>
        </w:rPr>
        <w:t xml:space="preserve"> </w:t>
      </w:r>
      <w:r>
        <w:rPr>
          <w:rFonts w:ascii="Arial" w:eastAsia="Arial"/>
          <w:b/>
          <w:color w:val="152E57"/>
          <w:sz w:val="18"/>
        </w:rPr>
        <w:t>DEMO</w:t>
      </w:r>
      <w:r>
        <w:rPr>
          <w:rFonts w:ascii="Arial" w:eastAsia="Arial"/>
          <w:b/>
          <w:color w:val="152E57"/>
          <w:spacing w:val="-5"/>
          <w:sz w:val="18"/>
        </w:rPr>
        <w:t xml:space="preserve"> </w:t>
      </w:r>
      <w:r>
        <w:rPr>
          <w:rFonts w:ascii="Microsoft JhengHei" w:eastAsia="Microsoft JhengHei" w:hint="eastAsia"/>
          <w:b/>
          <w:color w:val="152E57"/>
          <w:sz w:val="18"/>
        </w:rPr>
        <w:t>成本拆分</w:t>
      </w:r>
    </w:p>
    <w:p>
      <w:pPr>
        <w:pStyle w:val="BodyText"/>
        <w:spacing w:before="1"/>
        <w:rPr>
          <w:rFonts w:ascii="Microsoft JhengHei"/>
          <w:b/>
          <w:sz w:val="4"/>
        </w:rPr>
      </w:pPr>
    </w:p>
    <w:p>
      <w:pPr>
        <w:spacing w:line="20" w:lineRule="exact"/>
        <w:ind w:left="2" w:right="0" w:firstLine="0"/>
        <w:rPr>
          <w:rFonts w:ascii="Microsoft JhengHei"/>
          <w:sz w:val="2"/>
        </w:rPr>
      </w:pPr>
      <w:r>
        <w:rPr>
          <w:rFonts w:ascii="Microsoft JhengHei"/>
          <w:sz w:val="2"/>
        </w:rPr>
        <w:pict>
          <v:group id="_x0000_i1067" style="width:239.95pt;height:1pt;mso-position-horizontal-relative:char;mso-position-vertical-relative:line" coordorigin="0,0" coordsize="4799,20">
            <v:line id="_x0000_s1068" style="position:absolute" from="0,10" to="4799,10" stroked="t" strokecolor="#1f4e79" strokeweight="0.96pt">
              <v:stroke dashstyle="solid"/>
            </v:line>
            <w10:wrap type="none"/>
          </v:group>
        </w:pict>
      </w:r>
      <w:r>
        <w:rPr>
          <w:rFonts w:ascii="Times New Roman"/>
          <w:spacing w:val="184"/>
          <w:sz w:val="2"/>
        </w:rPr>
        <w:t xml:space="preserve"> </w:t>
      </w:r>
      <w:r>
        <w:rPr>
          <w:rFonts w:ascii="Microsoft JhengHei"/>
          <w:spacing w:val="184"/>
          <w:sz w:val="2"/>
        </w:rPr>
        <w:pict>
          <v:group id="_x0000_i1069" style="width:259.4pt;height:1pt;mso-position-horizontal-relative:char;mso-position-vertical-relative:line" coordorigin="0,0" coordsize="5188,20">
            <v:line id="_x0000_s1070" style="position:absolute" from="0,10" to="5187,10" stroked="t" strokecolor="#1f4e79" strokeweight="0.96pt">
              <v:stroke dashstyle="solid"/>
            </v:line>
            <w10:wrap type="none"/>
          </v:group>
        </w:pict>
      </w:r>
    </w:p>
    <w:p>
      <w:pPr>
        <w:spacing w:after="0" w:line="20" w:lineRule="exact"/>
        <w:rPr>
          <w:rFonts w:ascii="Microsoft JhengHei"/>
          <w:sz w:val="2"/>
        </w:rPr>
        <w:sectPr>
          <w:headerReference w:type="default" r:id="rId40"/>
          <w:footerReference w:type="default" r:id="rId41"/>
          <w:pgSz w:w="11910" w:h="16840"/>
          <w:pgMar w:top="840" w:right="300" w:bottom="1200" w:left="840" w:header="708" w:footer="708"/>
          <w:pgNumType w:start="11"/>
          <w:cols w:space="708"/>
        </w:sectPr>
      </w:pPr>
    </w:p>
    <w:p>
      <w:pPr>
        <w:spacing w:before="0" w:line="230" w:lineRule="auto"/>
        <w:ind w:left="120" w:right="38" w:firstLine="0"/>
        <w:jc w:val="left"/>
        <w:rPr>
          <w:rFonts w:ascii="宋体" w:eastAsia="宋体" w:hint="eastAsia"/>
          <w:sz w:val="17"/>
        </w:rPr>
      </w:pPr>
      <w:r>
        <w:t xml:space="preserve">资料来源：《Superconductors for fusion: a roadmap》Neil Mitchell， </w:t>
      </w:r>
    </w:p>
    <w:p>
      <w:pPr>
        <w:spacing w:before="0" w:line="230" w:lineRule="auto"/>
        <w:ind w:left="120" w:right="571" w:firstLine="0"/>
        <w:jc w:val="left"/>
        <w:rPr>
          <w:rFonts w:ascii="宋体" w:eastAsia="宋体" w:hint="eastAsia"/>
          <w:sz w:val="17"/>
        </w:rPr>
      </w:pPr>
      <w:r>
        <w:br/>
        <w:t xml:space="preserve">资料来源：《Superconductors for fusion: a roadmap》Neil Mitchell，  </w:t>
      </w:r>
    </w:p>
    <w:p>
      <w:pPr>
        <w:spacing w:after="0" w:line="230" w:lineRule="auto"/>
        <w:jc w:val="left"/>
        <w:rPr>
          <w:rFonts w:ascii="宋体" w:eastAsia="宋体" w:hint="eastAsia"/>
          <w:sz w:val="17"/>
        </w:rPr>
        <w:sectPr>
          <w:headerReference w:type="default" r:id="rId42"/>
          <w:footerReference w:type="default" r:id="rId43"/>
          <w:type w:val="continuous"/>
          <w:pgSz w:w="11910" w:h="16840"/>
          <w:pgMar w:top="840" w:right="300" w:bottom="1200" w:left="840" w:header="708" w:footer="708"/>
          <w:pgNumType w:start="12"/>
          <w:cols w:num="2" w:space="708" w:equalWidth="0">
            <w:col w:w="4744" w:space="276"/>
            <w:col w:w="5750" w:space="0"/>
          </w:cols>
        </w:sectPr>
      </w:pPr>
    </w:p>
    <w:p>
      <w:pPr>
        <w:pStyle w:val="BodyText"/>
        <w:spacing w:before="1"/>
        <w:rPr>
          <w:rFonts w:ascii="宋体"/>
          <w:sz w:val="8"/>
        </w:rPr>
      </w:pPr>
    </w:p>
    <w:p>
      <w:pPr>
        <w:pStyle w:val="Heading3"/>
        <w:spacing w:before="72"/>
      </w:pPr>
      <w:r>
        <w:t>ITER 项目仍在稳步推进，目前已进入安装工程阶段：</w:t>
      </w:r>
    </w:p>
    <w:p>
      <w:pPr>
        <w:pStyle w:val="BodyText"/>
        <w:spacing w:before="43"/>
        <w:ind w:left="1903"/>
      </w:pPr>
      <w:r>
        <w:t>1998 年，ITER 工程设计获批。</w:t>
      </w:r>
    </w:p>
    <w:p>
      <w:pPr>
        <w:pStyle w:val="BodyText"/>
        <w:spacing w:before="42"/>
        <w:ind w:left="1903"/>
      </w:pPr>
      <w:r>
        <w:t>2006 年，ITER 项目被正式同意并被资助，预计 2008 年将开始建设，预计成本为 100 亿欧元</w:t>
      </w:r>
    </w:p>
    <w:p>
      <w:pPr>
        <w:pStyle w:val="BodyText"/>
        <w:spacing w:before="43"/>
        <w:ind w:left="1903"/>
      </w:pPr>
      <w:r>
        <w:t>(128 亿美元)，并在十年后完成。</w:t>
      </w:r>
    </w:p>
    <w:p>
      <w:pPr>
        <w:pStyle w:val="BodyText"/>
        <w:spacing w:before="44"/>
        <w:ind w:left="1903"/>
      </w:pPr>
      <w:r>
        <w:t>2013 年，ITER 被核算已有许多拖延和预算超支。</w:t>
      </w:r>
    </w:p>
    <w:p>
      <w:pPr>
        <w:pStyle w:val="BodyText"/>
        <w:spacing w:before="43"/>
        <w:ind w:left="1903"/>
      </w:pPr>
      <w:r>
        <w:t>2015 年，ITER 项目审查得出结论，时间轴需要往后延长至少 6 年。</w:t>
      </w:r>
    </w:p>
    <w:p>
      <w:pPr>
        <w:pStyle w:val="BodyText"/>
        <w:spacing w:before="43"/>
        <w:ind w:left="1903"/>
      </w:pPr>
      <w:r>
        <w:t>2016 年，伊朗原子能组织完成了伊朗参加 ITER 的初步工作。</w:t>
      </w:r>
    </w:p>
    <w:p>
      <w:pPr>
        <w:pStyle w:val="BodyText"/>
        <w:spacing w:before="43"/>
        <w:ind w:left="1903"/>
      </w:pPr>
      <w:r>
        <w:t>2017 年，完成了低温容器底座和底部柱体的安装，为托卡马克的安装铺平了道路。至此，</w:t>
      </w:r>
    </w:p>
    <w:p>
      <w:pPr>
        <w:pStyle w:val="BodyText"/>
        <w:spacing w:before="43"/>
        <w:ind w:left="1903"/>
      </w:pPr>
      <w:r>
        <w:drawing>
          <wp:anchor distT="0" distB="0" distL="0" distR="0" simplePos="0" relativeHeight="251687936" behindDoc="1" locked="0" layoutInCell="1" allowOverlap="1">
            <wp:simplePos x="0" y="0"/>
            <wp:positionH relativeFrom="page">
              <wp:posOffset>2877947</wp:posOffset>
            </wp:positionH>
            <wp:positionV relativeFrom="paragraph">
              <wp:posOffset>65404</wp:posOffset>
            </wp:positionV>
            <wp:extent cx="63500" cy="95250"/>
            <wp:effectExtent l="0" t="0" r="0" b="0"/>
            <wp:wrapNone/>
            <wp:docPr id="2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6.png"/>
                    <pic:cNvPicPr/>
                  </pic:nvPicPr>
                  <pic:blipFill>
                    <a:blip xmlns:r="http://schemas.openxmlformats.org/officeDocument/2006/relationships" r:embed="rId44" cstate="print"/>
                    <a:stretch>
                      <a:fillRect/>
                    </a:stretch>
                  </pic:blipFill>
                  <pic:spPr>
                    <a:xfrm>
                      <a:off x="0" y="0"/>
                      <a:ext cx="63500" cy="95250"/>
                    </a:xfrm>
                    <a:prstGeom prst="rect">
                      <a:avLst/>
                    </a:prstGeom>
                  </pic:spPr>
                </pic:pic>
              </a:graphicData>
            </a:graphic>
          </wp:anchor>
        </w:drawing>
      </w:r>
      <w:r>
        <w:t>ITER 已经完成了 65的工作。</w:t>
      </w:r>
    </w:p>
    <w:p>
      <w:pPr>
        <w:pStyle w:val="BodyText"/>
        <w:spacing w:before="42"/>
        <w:ind w:left="1903"/>
      </w:pPr>
      <w:r>
        <w:t>2020 年 7 月 28 日，ITER 托卡马克装置安装工程启动。</w:t>
      </w:r>
    </w:p>
    <w:p>
      <w:pPr>
        <w:pStyle w:val="BodyText"/>
        <w:spacing w:before="43"/>
        <w:ind w:left="1903"/>
      </w:pPr>
      <w:r>
        <w:t>2025 年 ITER 预计首次等离子体运行，2035 年开始氘-氚运行。</w:t>
      </w:r>
    </w:p>
    <w:p>
      <w:pPr>
        <w:pStyle w:val="BodyText"/>
        <w:rPr>
          <w:sz w:val="20"/>
        </w:rPr>
      </w:pPr>
    </w:p>
    <w:p>
      <w:pPr>
        <w:pStyle w:val="BodyText"/>
        <w:spacing w:before="8"/>
        <w:rPr>
          <w:sz w:val="22"/>
        </w:rPr>
      </w:pPr>
    </w:p>
    <w:p>
      <w:pPr>
        <w:pStyle w:val="Heading2"/>
        <w:numPr>
          <w:ilvl w:val="1"/>
          <w:numId w:val="3"/>
        </w:numPr>
        <w:tabs>
          <w:tab w:val="left" w:pos="2026"/>
        </w:tabs>
        <w:spacing w:before="0" w:after="0" w:line="240" w:lineRule="auto"/>
        <w:ind w:left="2026" w:right="0" w:hanging="456"/>
        <w:jc w:val="left"/>
      </w:pPr>
      <w:r>
        <w:t>美国：</w:t>
      </w:r>
      <w:r>
        <w:rPr>
          <w:rFonts w:ascii="Arial" w:eastAsia="Arial"/>
        </w:rPr>
        <w:t>NIF</w:t>
      </w:r>
      <w:r>
        <w:rPr>
          <w:rFonts w:ascii="Arial" w:eastAsia="Arial"/>
          <w:spacing w:val="-7"/>
        </w:rPr>
        <w:t xml:space="preserve"> </w:t>
      </w:r>
      <w:r>
        <w:rPr>
          <w:spacing w:val="-1"/>
        </w:rPr>
        <w:t>实现能量净增益</w:t>
      </w:r>
    </w:p>
    <w:p>
      <w:pPr>
        <w:pStyle w:val="BodyText"/>
        <w:spacing w:before="3"/>
        <w:rPr>
          <w:sz w:val="22"/>
        </w:rPr>
      </w:pPr>
    </w:p>
    <w:p>
      <w:pPr>
        <w:pStyle w:val="Heading3"/>
        <w:jc w:val="both"/>
      </w:pPr>
      <w:r>
        <w:t>2022 年 12 月，美国国家点火设施(NIF)首次实现了净能量增益——从核聚变反应中产生的</w:t>
      </w:r>
    </w:p>
    <w:p>
      <w:pPr>
        <w:pStyle w:val="BodyText"/>
        <w:spacing w:before="43" w:line="278" w:lineRule="auto"/>
        <w:ind w:left="1903" w:right="540"/>
        <w:jc w:val="both"/>
      </w:pPr>
      <w:r>
        <w:rPr>
          <w:b/>
          <w:spacing w:val="-5"/>
        </w:rPr>
        <w:t>能量比其消耗的能量更多。</w:t>
      </w:r>
      <w:r>
        <w:rPr>
          <w:spacing w:val="-8"/>
        </w:rPr>
        <w:t xml:space="preserve">实验向燃料靶输送了 </w:t>
      </w:r>
      <w:r>
        <w:t>2.05</w:t>
      </w:r>
      <w:r>
        <w:rPr>
          <w:spacing w:val="-17"/>
        </w:rPr>
        <w:t xml:space="preserve"> 兆焦耳能量，实现 </w:t>
      </w:r>
      <w:r>
        <w:t>3.15</w:t>
      </w:r>
      <w:r>
        <w:rPr>
          <w:spacing w:val="-9"/>
        </w:rPr>
        <w:t xml:space="preserve"> 兆焦耳的能量</w:t>
      </w:r>
      <w:r>
        <w:rPr>
          <w:spacing w:val="-5"/>
        </w:rPr>
        <w:t>输出，首次证明了惯性约束聚变能的基本科学依据。</w:t>
      </w:r>
      <w:r>
        <w:t>2023</w:t>
      </w:r>
      <w:r>
        <w:rPr>
          <w:spacing w:val="-30"/>
        </w:rPr>
        <w:t xml:space="preserve"> 年 </w:t>
      </w:r>
      <w:r>
        <w:t>7</w:t>
      </w:r>
      <w:r>
        <w:rPr>
          <w:spacing w:val="-29"/>
        </w:rPr>
        <w:t xml:space="preserve"> 月 </w:t>
      </w:r>
      <w:r>
        <w:t>30</w:t>
      </w:r>
      <w:r>
        <w:rPr>
          <w:spacing w:val="-16"/>
        </w:rPr>
        <w:t xml:space="preserve"> 日，</w:t>
      </w:r>
      <w:r>
        <w:t>NIF</w:t>
      </w:r>
      <w:r>
        <w:rPr>
          <w:spacing w:val="-9"/>
        </w:rPr>
        <w:t xml:space="preserve"> 的聚变研究人</w:t>
      </w:r>
      <w:r>
        <w:rPr>
          <w:spacing w:val="-6"/>
        </w:rPr>
        <w:t xml:space="preserve">员成功重复了 </w:t>
      </w:r>
      <w:r>
        <w:t>2022</w:t>
      </w:r>
      <w:r>
        <w:rPr>
          <w:spacing w:val="-9"/>
        </w:rPr>
        <w:t xml:space="preserve"> 年 </w:t>
      </w:r>
      <w:r>
        <w:t>12</w:t>
      </w:r>
      <w:r>
        <w:rPr>
          <w:spacing w:val="-5"/>
        </w:rPr>
        <w:t xml:space="preserve"> 月进行的核聚变实验，第二次实现的净能量增益比上一次实验获</w:t>
      </w:r>
      <w:r>
        <w:rPr>
          <w:spacing w:val="-4"/>
        </w:rPr>
        <w:t>得的净能量更高。</w:t>
      </w:r>
    </w:p>
    <w:p>
      <w:pPr>
        <w:pStyle w:val="BodyText"/>
        <w:spacing w:before="11"/>
        <w:rPr>
          <w:sz w:val="17"/>
        </w:rPr>
      </w:pPr>
    </w:p>
    <w:p>
      <w:pPr>
        <w:spacing w:before="0"/>
        <w:ind w:left="1920" w:right="0" w:firstLine="0"/>
        <w:jc w:val="both"/>
        <w:rPr>
          <w:rFonts w:ascii="Arial" w:eastAsia="Arial"/>
          <w:b/>
          <w:sz w:val="18"/>
        </w:rPr>
      </w:pPr>
      <w:r>
        <w:pict>
          <v:line id="_x0000_s1071" style="mso-position-horizontal-relative:page;position:absolute;z-index:251688960" from="132pt,15.2pt" to="568.7pt,15.2pt" stroked="t" strokecolor="#1f4e79" strokeweight="0.96pt">
            <v:stroke dashstyle="solid"/>
          </v:line>
        </w:pict>
      </w:r>
      <w:r>
        <w:rPr>
          <w:rFonts w:ascii="Microsoft JhengHei" w:eastAsia="Microsoft JhengHei" w:hint="eastAsia"/>
          <w:b/>
          <w:color w:val="152E57"/>
          <w:sz w:val="18"/>
        </w:rPr>
        <w:t xml:space="preserve">图表 </w:t>
      </w:r>
      <w:r>
        <w:rPr>
          <w:rFonts w:ascii="Arial" w:eastAsia="Arial"/>
          <w:b/>
          <w:color w:val="152E57"/>
          <w:sz w:val="18"/>
        </w:rPr>
        <w:t>16</w:t>
      </w:r>
      <w:r>
        <w:rPr>
          <w:rFonts w:ascii="Microsoft JhengHei" w:eastAsia="Microsoft JhengHei" w:hint="eastAsia"/>
          <w:b/>
          <w:color w:val="152E57"/>
          <w:sz w:val="18"/>
        </w:rPr>
        <w:t xml:space="preserve">：美国国家点火设施 </w:t>
      </w:r>
      <w:r>
        <w:rPr>
          <w:rFonts w:ascii="Arial" w:eastAsia="Arial"/>
          <w:b/>
          <w:color w:val="152E57"/>
          <w:sz w:val="18"/>
        </w:rPr>
        <w:t>(NIF)</w:t>
      </w:r>
    </w:p>
    <w:p>
      <w:pPr>
        <w:spacing w:after="0"/>
        <w:jc w:val="both"/>
        <w:rPr>
          <w:rFonts w:ascii="Arial" w:eastAsia="Arial"/>
          <w:sz w:val="18"/>
        </w:rPr>
      </w:pPr>
      <w:r>
        <w:rPr>
          <w:rFonts w:ascii="Arial" w:eastAsia="Arial"/>
          <w:sz w:val="18"/>
        </w:rPr>
        <w:br/>
      </w:r>
      <w:r>
        <w:rPr>
          <w:rFonts w:ascii="Arial" w:eastAsia="Arial"/>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5" w:history="1">
        <w:r>
          <w:rPr>
            <w:rFonts w:ascii="SimSun" w:eastAsia="SimSun" w:hAnsi="SimSun" w:cs="SimSun"/>
            <w:b/>
            <w:bCs/>
            <w:color w:val="0000EE"/>
            <w:sz w:val="30"/>
            <w:szCs w:val="30"/>
            <w:u w:val="single" w:color="0000EE"/>
          </w:rPr>
          <w:t>https://d.book118.com/786215240043010103</w:t>
        </w:r>
      </w:hyperlink>
    </w:p>
    <w:p>
      <w:pPr>
        <w:spacing w:after="0"/>
        <w:jc w:val="both"/>
        <w:rPr>
          <w:rFonts w:ascii="Arial" w:eastAsia="Arial"/>
          <w:sz w:val="18"/>
        </w:rPr>
      </w:pPr>
    </w:p>
    <w:sectPr>
      <w:headerReference w:type="default" r:id="rId46"/>
      <w:footerReference w:type="default" r:id="rId47"/>
      <w:type w:val="continuous"/>
      <w:pgSz w:w="11910" w:h="16840"/>
      <w:pgMar w:top="840" w:right="300" w:bottom="1200" w:left="840" w:header="708" w:footer="708"/>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等线">
    <w:altName w:val="等线"/>
    <w:charset w:val="86"/>
    <w:family w:val="auto"/>
    <w:pitch w:val="variable"/>
    <w:sig w:usb0="00000000" w:usb1="00000000" w:usb2="00000000" w:usb3="00000000" w:csb0="00040000" w:csb1="00000000"/>
  </w:font>
  <w:font w:name="Cambria Math">
    <w:altName w:val="Cambria Math"/>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 w:name="Microsoft JhengHei">
    <w:altName w:val="Microsoft JhengHei"/>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645655"/>
    <w:multiLevelType w:val="hybridMultilevel"/>
    <w:tmpl w:val="00000000"/>
    <w:lvl w:ilvl="0">
      <w:start w:val="1"/>
      <w:numFmt w:val="decimal"/>
      <w:lvlText w:val="%1"/>
      <w:lvlJc w:val="left"/>
      <w:pPr>
        <w:ind w:left="1966" w:hanging="396"/>
        <w:jc w:val="left"/>
      </w:pPr>
      <w:rPr>
        <w:rFonts w:hint="default"/>
        <w:lang w:val="zh-CN" w:eastAsia="zh-CN" w:bidi="zh-CN"/>
      </w:rPr>
    </w:lvl>
    <w:lvl w:ilvl="1">
      <w:start w:val="1"/>
      <w:numFmt w:val="decimal"/>
      <w:lvlText w:val="%1.%2"/>
      <w:lvlJc w:val="left"/>
      <w:pPr>
        <w:ind w:left="1966" w:hanging="396"/>
        <w:jc w:val="right"/>
      </w:pPr>
      <w:rPr>
        <w:rFonts w:ascii="Arial" w:eastAsia="Arial" w:hAnsi="Arial" w:cs="Arial" w:hint="default"/>
        <w:w w:val="99"/>
        <w:sz w:val="24"/>
        <w:szCs w:val="24"/>
        <w:lang w:val="zh-CN" w:eastAsia="zh-CN" w:bidi="zh-CN"/>
      </w:rPr>
    </w:lvl>
    <w:lvl w:ilvl="2">
      <w:start w:val="0"/>
      <w:numFmt w:val="bullet"/>
      <w:lvlText w:val="•"/>
      <w:lvlJc w:val="left"/>
      <w:pPr>
        <w:ind w:left="3721" w:hanging="396"/>
      </w:pPr>
      <w:rPr>
        <w:rFonts w:hint="default"/>
        <w:lang w:val="zh-CN" w:eastAsia="zh-CN" w:bidi="zh-CN"/>
      </w:rPr>
    </w:lvl>
    <w:lvl w:ilvl="3">
      <w:start w:val="0"/>
      <w:numFmt w:val="bullet"/>
      <w:lvlText w:val="•"/>
      <w:lvlJc w:val="left"/>
      <w:pPr>
        <w:ind w:left="4601" w:hanging="396"/>
      </w:pPr>
      <w:rPr>
        <w:rFonts w:hint="default"/>
        <w:lang w:val="zh-CN" w:eastAsia="zh-CN" w:bidi="zh-CN"/>
      </w:rPr>
    </w:lvl>
    <w:lvl w:ilvl="4">
      <w:start w:val="0"/>
      <w:numFmt w:val="bullet"/>
      <w:lvlText w:val="•"/>
      <w:lvlJc w:val="left"/>
      <w:pPr>
        <w:ind w:left="5482" w:hanging="396"/>
      </w:pPr>
      <w:rPr>
        <w:rFonts w:hint="default"/>
        <w:lang w:val="zh-CN" w:eastAsia="zh-CN" w:bidi="zh-CN"/>
      </w:rPr>
    </w:lvl>
    <w:lvl w:ilvl="5">
      <w:start w:val="0"/>
      <w:numFmt w:val="bullet"/>
      <w:lvlText w:val="•"/>
      <w:lvlJc w:val="left"/>
      <w:pPr>
        <w:ind w:left="6363" w:hanging="396"/>
      </w:pPr>
      <w:rPr>
        <w:rFonts w:hint="default"/>
        <w:lang w:val="zh-CN" w:eastAsia="zh-CN" w:bidi="zh-CN"/>
      </w:rPr>
    </w:lvl>
    <w:lvl w:ilvl="6">
      <w:start w:val="0"/>
      <w:numFmt w:val="bullet"/>
      <w:lvlText w:val="•"/>
      <w:lvlJc w:val="left"/>
      <w:pPr>
        <w:ind w:left="7243" w:hanging="396"/>
      </w:pPr>
      <w:rPr>
        <w:rFonts w:hint="default"/>
        <w:lang w:val="zh-CN" w:eastAsia="zh-CN" w:bidi="zh-CN"/>
      </w:rPr>
    </w:lvl>
    <w:lvl w:ilvl="7">
      <w:start w:val="0"/>
      <w:numFmt w:val="bullet"/>
      <w:lvlText w:val="•"/>
      <w:lvlJc w:val="left"/>
      <w:pPr>
        <w:ind w:left="8124" w:hanging="396"/>
      </w:pPr>
      <w:rPr>
        <w:rFonts w:hint="default"/>
        <w:lang w:val="zh-CN" w:eastAsia="zh-CN" w:bidi="zh-CN"/>
      </w:rPr>
    </w:lvl>
    <w:lvl w:ilvl="8">
      <w:start w:val="0"/>
      <w:numFmt w:val="bullet"/>
      <w:lvlText w:val="•"/>
      <w:lvlJc w:val="left"/>
      <w:pPr>
        <w:ind w:left="9005" w:hanging="396"/>
      </w:pPr>
      <w:rPr>
        <w:rFonts w:hint="default"/>
        <w:lang w:val="zh-CN" w:eastAsia="zh-CN" w:bidi="zh-CN"/>
      </w:rPr>
    </w:lvl>
  </w:abstractNum>
  <w:abstractNum w:abstractNumId="1">
    <w:nsid w:val="2BAC6AFF"/>
    <w:multiLevelType w:val="hybridMultilevel"/>
    <w:tmpl w:val="00000000"/>
    <w:lvl w:ilvl="0">
      <w:start w:val="4"/>
      <w:numFmt w:val="decimal"/>
      <w:lvlText w:val="%1"/>
      <w:lvlJc w:val="left"/>
      <w:pPr>
        <w:ind w:left="2026" w:hanging="456"/>
        <w:jc w:val="left"/>
      </w:pPr>
      <w:rPr>
        <w:rFonts w:hint="default"/>
        <w:lang w:val="zh-CN" w:eastAsia="zh-CN" w:bidi="zh-CN"/>
      </w:rPr>
    </w:lvl>
    <w:lvl w:ilvl="1">
      <w:start w:val="1"/>
      <w:numFmt w:val="decimal"/>
      <w:lvlText w:val="%1.%2"/>
      <w:lvlJc w:val="left"/>
      <w:pPr>
        <w:ind w:left="2026" w:hanging="456"/>
        <w:jc w:val="left"/>
      </w:pPr>
      <w:rPr>
        <w:rFonts w:ascii="Arial" w:eastAsia="Arial" w:hAnsi="Arial" w:cs="Arial" w:hint="default"/>
        <w:w w:val="99"/>
        <w:sz w:val="24"/>
        <w:szCs w:val="24"/>
        <w:lang w:val="zh-CN" w:eastAsia="zh-CN" w:bidi="zh-CN"/>
      </w:rPr>
    </w:lvl>
    <w:lvl w:ilvl="2">
      <w:start w:val="1"/>
      <w:numFmt w:val="decimal"/>
      <w:lvlText w:val="（%3）"/>
      <w:lvlJc w:val="left"/>
      <w:pPr>
        <w:ind w:left="1903" w:hanging="541"/>
        <w:jc w:val="left"/>
      </w:pPr>
      <w:rPr>
        <w:rFonts w:ascii="Microsoft JhengHei" w:eastAsia="Microsoft JhengHei" w:hAnsi="Microsoft JhengHei" w:cs="Microsoft JhengHei" w:hint="default"/>
        <w:b/>
        <w:bCs/>
        <w:spacing w:val="-99"/>
        <w:w w:val="100"/>
        <w:sz w:val="19"/>
        <w:szCs w:val="19"/>
        <w:lang w:val="zh-CN" w:eastAsia="zh-CN" w:bidi="zh-CN"/>
      </w:rPr>
    </w:lvl>
    <w:lvl w:ilvl="3">
      <w:start w:val="0"/>
      <w:numFmt w:val="bullet"/>
      <w:lvlText w:val="•"/>
      <w:lvlJc w:val="left"/>
      <w:pPr>
        <w:ind w:left="3963" w:hanging="541"/>
      </w:pPr>
      <w:rPr>
        <w:rFonts w:hint="default"/>
        <w:lang w:val="zh-CN" w:eastAsia="zh-CN" w:bidi="zh-CN"/>
      </w:rPr>
    </w:lvl>
    <w:lvl w:ilvl="4">
      <w:start w:val="0"/>
      <w:numFmt w:val="bullet"/>
      <w:lvlText w:val="•"/>
      <w:lvlJc w:val="left"/>
      <w:pPr>
        <w:ind w:left="4935" w:hanging="541"/>
      </w:pPr>
      <w:rPr>
        <w:rFonts w:hint="default"/>
        <w:lang w:val="zh-CN" w:eastAsia="zh-CN" w:bidi="zh-CN"/>
      </w:rPr>
    </w:lvl>
    <w:lvl w:ilvl="5">
      <w:start w:val="0"/>
      <w:numFmt w:val="bullet"/>
      <w:lvlText w:val="•"/>
      <w:lvlJc w:val="left"/>
      <w:pPr>
        <w:ind w:left="5907" w:hanging="541"/>
      </w:pPr>
      <w:rPr>
        <w:rFonts w:hint="default"/>
        <w:lang w:val="zh-CN" w:eastAsia="zh-CN" w:bidi="zh-CN"/>
      </w:rPr>
    </w:lvl>
    <w:lvl w:ilvl="6">
      <w:start w:val="0"/>
      <w:numFmt w:val="bullet"/>
      <w:lvlText w:val="•"/>
      <w:lvlJc w:val="left"/>
      <w:pPr>
        <w:ind w:left="6879" w:hanging="541"/>
      </w:pPr>
      <w:rPr>
        <w:rFonts w:hint="default"/>
        <w:lang w:val="zh-CN" w:eastAsia="zh-CN" w:bidi="zh-CN"/>
      </w:rPr>
    </w:lvl>
    <w:lvl w:ilvl="7">
      <w:start w:val="0"/>
      <w:numFmt w:val="bullet"/>
      <w:lvlText w:val="•"/>
      <w:lvlJc w:val="left"/>
      <w:pPr>
        <w:ind w:left="7850" w:hanging="541"/>
      </w:pPr>
      <w:rPr>
        <w:rFonts w:hint="default"/>
        <w:lang w:val="zh-CN" w:eastAsia="zh-CN" w:bidi="zh-CN"/>
      </w:rPr>
    </w:lvl>
    <w:lvl w:ilvl="8">
      <w:start w:val="0"/>
      <w:numFmt w:val="bullet"/>
      <w:lvlText w:val="•"/>
      <w:lvlJc w:val="left"/>
      <w:pPr>
        <w:ind w:left="8822" w:hanging="541"/>
      </w:pPr>
      <w:rPr>
        <w:rFonts w:hint="default"/>
        <w:lang w:val="zh-CN" w:eastAsia="zh-CN" w:bidi="zh-CN"/>
      </w:rPr>
    </w:lvl>
  </w:abstractNum>
  <w:abstractNum w:abstractNumId="2">
    <w:nsid w:val="2D623EC0"/>
    <w:multiLevelType w:val="hybridMultilevel"/>
    <w:tmpl w:val="00000000"/>
    <w:lvl w:ilvl="0">
      <w:start w:val="0"/>
      <w:numFmt w:val="bullet"/>
      <w:lvlText w:val="⚫"/>
      <w:lvlJc w:val="left"/>
      <w:pPr>
        <w:ind w:left="1903" w:hanging="420"/>
      </w:pPr>
      <w:rPr>
        <w:rFonts w:ascii="Wingdings" w:eastAsia="Wingdings" w:hAnsi="Wingdings" w:cs="Wingdings" w:hint="default"/>
        <w:w w:val="150"/>
        <w:sz w:val="21"/>
        <w:szCs w:val="21"/>
        <w:lang w:val="zh-CN" w:eastAsia="zh-CN" w:bidi="zh-CN"/>
      </w:rPr>
    </w:lvl>
    <w:lvl w:ilvl="1">
      <w:start w:val="0"/>
      <w:numFmt w:val="bullet"/>
      <w:lvlText w:val="•"/>
      <w:lvlJc w:val="left"/>
      <w:pPr>
        <w:ind w:left="2786" w:hanging="420"/>
      </w:pPr>
      <w:rPr>
        <w:rFonts w:hint="default"/>
        <w:lang w:val="zh-CN" w:eastAsia="zh-CN" w:bidi="zh-CN"/>
      </w:rPr>
    </w:lvl>
    <w:lvl w:ilvl="2">
      <w:start w:val="0"/>
      <w:numFmt w:val="bullet"/>
      <w:lvlText w:val="•"/>
      <w:lvlJc w:val="left"/>
      <w:pPr>
        <w:ind w:left="3673" w:hanging="420"/>
      </w:pPr>
      <w:rPr>
        <w:rFonts w:hint="default"/>
        <w:lang w:val="zh-CN" w:eastAsia="zh-CN" w:bidi="zh-CN"/>
      </w:rPr>
    </w:lvl>
    <w:lvl w:ilvl="3">
      <w:start w:val="0"/>
      <w:numFmt w:val="bullet"/>
      <w:lvlText w:val="•"/>
      <w:lvlJc w:val="left"/>
      <w:pPr>
        <w:ind w:left="4559" w:hanging="420"/>
      </w:pPr>
      <w:rPr>
        <w:rFonts w:hint="default"/>
        <w:lang w:val="zh-CN" w:eastAsia="zh-CN" w:bidi="zh-CN"/>
      </w:rPr>
    </w:lvl>
    <w:lvl w:ilvl="4">
      <w:start w:val="0"/>
      <w:numFmt w:val="bullet"/>
      <w:lvlText w:val="•"/>
      <w:lvlJc w:val="left"/>
      <w:pPr>
        <w:ind w:left="5446" w:hanging="420"/>
      </w:pPr>
      <w:rPr>
        <w:rFonts w:hint="default"/>
        <w:lang w:val="zh-CN" w:eastAsia="zh-CN" w:bidi="zh-CN"/>
      </w:rPr>
    </w:lvl>
    <w:lvl w:ilvl="5">
      <w:start w:val="0"/>
      <w:numFmt w:val="bullet"/>
      <w:lvlText w:val="•"/>
      <w:lvlJc w:val="left"/>
      <w:pPr>
        <w:ind w:left="6333" w:hanging="420"/>
      </w:pPr>
      <w:rPr>
        <w:rFonts w:hint="default"/>
        <w:lang w:val="zh-CN" w:eastAsia="zh-CN" w:bidi="zh-CN"/>
      </w:rPr>
    </w:lvl>
    <w:lvl w:ilvl="6">
      <w:start w:val="0"/>
      <w:numFmt w:val="bullet"/>
      <w:lvlText w:val="•"/>
      <w:lvlJc w:val="left"/>
      <w:pPr>
        <w:ind w:left="7219" w:hanging="420"/>
      </w:pPr>
      <w:rPr>
        <w:rFonts w:hint="default"/>
        <w:lang w:val="zh-CN" w:eastAsia="zh-CN" w:bidi="zh-CN"/>
      </w:rPr>
    </w:lvl>
    <w:lvl w:ilvl="7">
      <w:start w:val="0"/>
      <w:numFmt w:val="bullet"/>
      <w:lvlText w:val="•"/>
      <w:lvlJc w:val="left"/>
      <w:pPr>
        <w:ind w:left="8106" w:hanging="420"/>
      </w:pPr>
      <w:rPr>
        <w:rFonts w:hint="default"/>
        <w:lang w:val="zh-CN" w:eastAsia="zh-CN" w:bidi="zh-CN"/>
      </w:rPr>
    </w:lvl>
    <w:lvl w:ilvl="8">
      <w:start w:val="0"/>
      <w:numFmt w:val="bullet"/>
      <w:lvlText w:val="•"/>
      <w:lvlJc w:val="left"/>
      <w:pPr>
        <w:ind w:left="8993" w:hanging="420"/>
      </w:pPr>
      <w:rPr>
        <w:rFonts w:hint="default"/>
        <w:lang w:val="zh-CN" w:eastAsia="zh-CN" w:bidi="zh-CN"/>
      </w:rPr>
    </w:lvl>
  </w:abstractNum>
  <w:abstractNum w:abstractNumId="3">
    <w:nsid w:val="2F968B78"/>
    <w:multiLevelType w:val="hybridMultilevel"/>
    <w:tmpl w:val="00000000"/>
    <w:lvl w:ilvl="0">
      <w:start w:val="3"/>
      <w:numFmt w:val="decimal"/>
      <w:lvlText w:val="%1"/>
      <w:lvlJc w:val="left"/>
      <w:pPr>
        <w:ind w:left="2026" w:hanging="456"/>
        <w:jc w:val="left"/>
      </w:pPr>
      <w:rPr>
        <w:rFonts w:hint="default"/>
        <w:lang w:val="zh-CN" w:eastAsia="zh-CN" w:bidi="zh-CN"/>
      </w:rPr>
    </w:lvl>
    <w:lvl w:ilvl="1">
      <w:start w:val="1"/>
      <w:numFmt w:val="decimal"/>
      <w:lvlText w:val="%1.%2"/>
      <w:lvlJc w:val="left"/>
      <w:pPr>
        <w:ind w:left="2026" w:hanging="456"/>
        <w:jc w:val="left"/>
      </w:pPr>
      <w:rPr>
        <w:rFonts w:ascii="Arial" w:eastAsia="Arial" w:hAnsi="Arial" w:cs="Arial" w:hint="default"/>
        <w:spacing w:val="-60"/>
        <w:w w:val="99"/>
        <w:sz w:val="24"/>
        <w:szCs w:val="24"/>
        <w:lang w:val="zh-CN" w:eastAsia="zh-CN" w:bidi="zh-CN"/>
      </w:rPr>
    </w:lvl>
    <w:lvl w:ilvl="2">
      <w:start w:val="1"/>
      <w:numFmt w:val="decimal"/>
      <w:lvlText w:val="%1.%2.%3"/>
      <w:lvlJc w:val="left"/>
      <w:pPr>
        <w:ind w:left="2441" w:hanging="660"/>
        <w:jc w:val="right"/>
      </w:pPr>
      <w:rPr>
        <w:rFonts w:hint="default"/>
        <w:w w:val="100"/>
        <w:lang w:val="zh-CN" w:eastAsia="zh-CN" w:bidi="zh-CN"/>
      </w:rPr>
    </w:lvl>
    <w:lvl w:ilvl="3">
      <w:start w:val="1"/>
      <w:numFmt w:val="decimal"/>
      <w:lvlText w:val="（%4）"/>
      <w:lvlJc w:val="left"/>
      <w:pPr>
        <w:ind w:left="1903" w:hanging="527"/>
        <w:jc w:val="left"/>
      </w:pPr>
      <w:rPr>
        <w:rFonts w:hint="default"/>
        <w:spacing w:val="-5"/>
        <w:w w:val="100"/>
        <w:u w:val="single" w:color="000000"/>
        <w:lang w:val="zh-CN" w:eastAsia="zh-CN" w:bidi="zh-CN"/>
      </w:rPr>
    </w:lvl>
    <w:lvl w:ilvl="4">
      <w:start w:val="0"/>
      <w:numFmt w:val="bullet"/>
      <w:lvlText w:val="•"/>
      <w:lvlJc w:val="left"/>
      <w:pPr>
        <w:ind w:left="3629" w:hanging="527"/>
      </w:pPr>
      <w:rPr>
        <w:rFonts w:hint="default"/>
        <w:lang w:val="zh-CN" w:eastAsia="zh-CN" w:bidi="zh-CN"/>
      </w:rPr>
    </w:lvl>
    <w:lvl w:ilvl="5">
      <w:start w:val="0"/>
      <w:numFmt w:val="bullet"/>
      <w:lvlText w:val="•"/>
      <w:lvlJc w:val="left"/>
      <w:pPr>
        <w:ind w:left="4818" w:hanging="527"/>
      </w:pPr>
      <w:rPr>
        <w:rFonts w:hint="default"/>
        <w:lang w:val="zh-CN" w:eastAsia="zh-CN" w:bidi="zh-CN"/>
      </w:rPr>
    </w:lvl>
    <w:lvl w:ilvl="6">
      <w:start w:val="0"/>
      <w:numFmt w:val="bullet"/>
      <w:lvlText w:val="•"/>
      <w:lvlJc w:val="left"/>
      <w:pPr>
        <w:ind w:left="6008" w:hanging="527"/>
      </w:pPr>
      <w:rPr>
        <w:rFonts w:hint="default"/>
        <w:lang w:val="zh-CN" w:eastAsia="zh-CN" w:bidi="zh-CN"/>
      </w:rPr>
    </w:lvl>
    <w:lvl w:ilvl="7">
      <w:start w:val="0"/>
      <w:numFmt w:val="bullet"/>
      <w:lvlText w:val="•"/>
      <w:lvlJc w:val="left"/>
      <w:pPr>
        <w:ind w:left="7197" w:hanging="527"/>
      </w:pPr>
      <w:rPr>
        <w:rFonts w:hint="default"/>
        <w:lang w:val="zh-CN" w:eastAsia="zh-CN" w:bidi="zh-CN"/>
      </w:rPr>
    </w:lvl>
    <w:lvl w:ilvl="8">
      <w:start w:val="0"/>
      <w:numFmt w:val="bullet"/>
      <w:lvlText w:val="•"/>
      <w:lvlJc w:val="left"/>
      <w:pPr>
        <w:ind w:left="8387" w:hanging="527"/>
      </w:pPr>
      <w:rPr>
        <w:rFonts w:hint="default"/>
        <w:lang w:val="zh-CN" w:eastAsia="zh-CN" w:bidi="zh-CN"/>
      </w:rPr>
    </w:lvl>
  </w:abstractNum>
  <w:abstractNum w:abstractNumId="4">
    <w:nsid w:val="3C78A28F"/>
    <w:multiLevelType w:val="hybridMultilevel"/>
    <w:tmpl w:val="00000000"/>
    <w:lvl w:ilvl="0">
      <w:start w:val="3"/>
      <w:numFmt w:val="decimal"/>
      <w:lvlText w:val="%1"/>
      <w:lvlJc w:val="left"/>
      <w:pPr>
        <w:ind w:left="2026" w:hanging="456"/>
        <w:jc w:val="left"/>
      </w:pPr>
      <w:rPr>
        <w:rFonts w:hint="default"/>
        <w:lang w:val="zh-CN" w:eastAsia="zh-CN" w:bidi="zh-CN"/>
      </w:rPr>
    </w:lvl>
    <w:lvl w:ilvl="1">
      <w:start w:val="1"/>
      <w:numFmt w:val="decimal"/>
      <w:lvlText w:val="%1.%2"/>
      <w:lvlJc w:val="left"/>
      <w:pPr>
        <w:ind w:left="2026" w:hanging="456"/>
        <w:jc w:val="left"/>
      </w:pPr>
      <w:rPr>
        <w:rFonts w:ascii="Arial" w:eastAsia="Arial" w:hAnsi="Arial" w:cs="Arial" w:hint="default"/>
        <w:spacing w:val="-60"/>
        <w:w w:val="99"/>
        <w:sz w:val="24"/>
        <w:szCs w:val="24"/>
        <w:lang w:val="zh-CN" w:eastAsia="zh-CN" w:bidi="zh-CN"/>
      </w:rPr>
    </w:lvl>
    <w:lvl w:ilvl="2">
      <w:start w:val="1"/>
      <w:numFmt w:val="decimal"/>
      <w:lvlText w:val="%1.%2.%3"/>
      <w:lvlJc w:val="left"/>
      <w:pPr>
        <w:ind w:left="2441" w:hanging="660"/>
        <w:jc w:val="right"/>
      </w:pPr>
      <w:rPr>
        <w:rFonts w:hint="default"/>
        <w:w w:val="100"/>
        <w:lang w:val="zh-CN" w:eastAsia="zh-CN" w:bidi="zh-CN"/>
      </w:rPr>
    </w:lvl>
    <w:lvl w:ilvl="3">
      <w:start w:val="1"/>
      <w:numFmt w:val="decimal"/>
      <w:lvlText w:val="（%4）"/>
      <w:lvlJc w:val="left"/>
      <w:pPr>
        <w:ind w:left="1903" w:hanging="527"/>
        <w:jc w:val="left"/>
      </w:pPr>
      <w:rPr>
        <w:rFonts w:hint="default"/>
        <w:spacing w:val="-5"/>
        <w:w w:val="100"/>
        <w:u w:val="single" w:color="000000"/>
        <w:lang w:val="zh-CN" w:eastAsia="zh-CN" w:bidi="zh-CN"/>
      </w:rPr>
    </w:lvl>
    <w:lvl w:ilvl="4">
      <w:start w:val="0"/>
      <w:numFmt w:val="bullet"/>
      <w:lvlText w:val="•"/>
      <w:lvlJc w:val="left"/>
      <w:pPr>
        <w:ind w:left="3629" w:hanging="527"/>
      </w:pPr>
      <w:rPr>
        <w:rFonts w:hint="default"/>
        <w:lang w:val="zh-CN" w:eastAsia="zh-CN" w:bidi="zh-CN"/>
      </w:rPr>
    </w:lvl>
    <w:lvl w:ilvl="5">
      <w:start w:val="0"/>
      <w:numFmt w:val="bullet"/>
      <w:lvlText w:val="•"/>
      <w:lvlJc w:val="left"/>
      <w:pPr>
        <w:ind w:left="4818" w:hanging="527"/>
      </w:pPr>
      <w:rPr>
        <w:rFonts w:hint="default"/>
        <w:lang w:val="zh-CN" w:eastAsia="zh-CN" w:bidi="zh-CN"/>
      </w:rPr>
    </w:lvl>
    <w:lvl w:ilvl="6">
      <w:start w:val="0"/>
      <w:numFmt w:val="bullet"/>
      <w:lvlText w:val="•"/>
      <w:lvlJc w:val="left"/>
      <w:pPr>
        <w:ind w:left="6008" w:hanging="527"/>
      </w:pPr>
      <w:rPr>
        <w:rFonts w:hint="default"/>
        <w:lang w:val="zh-CN" w:eastAsia="zh-CN" w:bidi="zh-CN"/>
      </w:rPr>
    </w:lvl>
    <w:lvl w:ilvl="7">
      <w:start w:val="0"/>
      <w:numFmt w:val="bullet"/>
      <w:lvlText w:val="•"/>
      <w:lvlJc w:val="left"/>
      <w:pPr>
        <w:ind w:left="7197" w:hanging="527"/>
      </w:pPr>
      <w:rPr>
        <w:rFonts w:hint="default"/>
        <w:lang w:val="zh-CN" w:eastAsia="zh-CN" w:bidi="zh-CN"/>
      </w:rPr>
    </w:lvl>
    <w:lvl w:ilvl="8">
      <w:start w:val="0"/>
      <w:numFmt w:val="bullet"/>
      <w:lvlText w:val="•"/>
      <w:lvlJc w:val="left"/>
      <w:pPr>
        <w:ind w:left="8387" w:hanging="527"/>
      </w:pPr>
      <w:rPr>
        <w:rFonts w:hint="default"/>
        <w:lang w:val="zh-CN" w:eastAsia="zh-CN" w:bidi="zh-CN"/>
      </w:rPr>
    </w:lvl>
  </w:abstractNum>
  <w:abstractNum w:abstractNumId="5">
    <w:nsid w:val="6EA6C607"/>
    <w:multiLevelType w:val="hybridMultilevel"/>
    <w:tmpl w:val="00000000"/>
    <w:lvl w:ilvl="0">
      <w:start w:val="1"/>
      <w:numFmt w:val="decimal"/>
      <w:lvlText w:val="（%1）"/>
      <w:lvlJc w:val="left"/>
      <w:pPr>
        <w:ind w:left="2432" w:hanging="529"/>
        <w:jc w:val="left"/>
      </w:pPr>
      <w:rPr>
        <w:rFonts w:ascii="楷体" w:eastAsia="楷体" w:hAnsi="楷体" w:cs="楷体" w:hint="default"/>
        <w:b/>
        <w:bCs/>
        <w:w w:val="99"/>
        <w:sz w:val="19"/>
        <w:szCs w:val="19"/>
        <w:lang w:val="zh-CN" w:eastAsia="zh-CN" w:bidi="zh-CN"/>
      </w:rPr>
    </w:lvl>
    <w:lvl w:ilvl="1">
      <w:start w:val="0"/>
      <w:numFmt w:val="bullet"/>
      <w:lvlText w:val="•"/>
      <w:lvlJc w:val="left"/>
      <w:pPr>
        <w:ind w:left="3272" w:hanging="529"/>
      </w:pPr>
      <w:rPr>
        <w:rFonts w:hint="default"/>
        <w:lang w:val="zh-CN" w:eastAsia="zh-CN" w:bidi="zh-CN"/>
      </w:rPr>
    </w:lvl>
    <w:lvl w:ilvl="2">
      <w:start w:val="0"/>
      <w:numFmt w:val="bullet"/>
      <w:lvlText w:val="•"/>
      <w:lvlJc w:val="left"/>
      <w:pPr>
        <w:ind w:left="4105" w:hanging="529"/>
      </w:pPr>
      <w:rPr>
        <w:rFonts w:hint="default"/>
        <w:lang w:val="zh-CN" w:eastAsia="zh-CN" w:bidi="zh-CN"/>
      </w:rPr>
    </w:lvl>
    <w:lvl w:ilvl="3">
      <w:start w:val="0"/>
      <w:numFmt w:val="bullet"/>
      <w:lvlText w:val="•"/>
      <w:lvlJc w:val="left"/>
      <w:pPr>
        <w:ind w:left="4937" w:hanging="529"/>
      </w:pPr>
      <w:rPr>
        <w:rFonts w:hint="default"/>
        <w:lang w:val="zh-CN" w:eastAsia="zh-CN" w:bidi="zh-CN"/>
      </w:rPr>
    </w:lvl>
    <w:lvl w:ilvl="4">
      <w:start w:val="0"/>
      <w:numFmt w:val="bullet"/>
      <w:lvlText w:val="•"/>
      <w:lvlJc w:val="left"/>
      <w:pPr>
        <w:ind w:left="5770" w:hanging="529"/>
      </w:pPr>
      <w:rPr>
        <w:rFonts w:hint="default"/>
        <w:lang w:val="zh-CN" w:eastAsia="zh-CN" w:bidi="zh-CN"/>
      </w:rPr>
    </w:lvl>
    <w:lvl w:ilvl="5">
      <w:start w:val="0"/>
      <w:numFmt w:val="bullet"/>
      <w:lvlText w:val="•"/>
      <w:lvlJc w:val="left"/>
      <w:pPr>
        <w:ind w:left="6603" w:hanging="529"/>
      </w:pPr>
      <w:rPr>
        <w:rFonts w:hint="default"/>
        <w:lang w:val="zh-CN" w:eastAsia="zh-CN" w:bidi="zh-CN"/>
      </w:rPr>
    </w:lvl>
    <w:lvl w:ilvl="6">
      <w:start w:val="0"/>
      <w:numFmt w:val="bullet"/>
      <w:lvlText w:val="•"/>
      <w:lvlJc w:val="left"/>
      <w:pPr>
        <w:ind w:left="7435" w:hanging="529"/>
      </w:pPr>
      <w:rPr>
        <w:rFonts w:hint="default"/>
        <w:lang w:val="zh-CN" w:eastAsia="zh-CN" w:bidi="zh-CN"/>
      </w:rPr>
    </w:lvl>
    <w:lvl w:ilvl="7">
      <w:start w:val="0"/>
      <w:numFmt w:val="bullet"/>
      <w:lvlText w:val="•"/>
      <w:lvlJc w:val="left"/>
      <w:pPr>
        <w:ind w:left="8268" w:hanging="529"/>
      </w:pPr>
      <w:rPr>
        <w:rFonts w:hint="default"/>
        <w:lang w:val="zh-CN" w:eastAsia="zh-CN" w:bidi="zh-CN"/>
      </w:rPr>
    </w:lvl>
    <w:lvl w:ilvl="8">
      <w:start w:val="0"/>
      <w:numFmt w:val="bullet"/>
      <w:lvlText w:val="•"/>
      <w:lvlJc w:val="left"/>
      <w:pPr>
        <w:ind w:left="9101" w:hanging="529"/>
      </w:pPr>
      <w:rPr>
        <w:rFonts w:hint="default"/>
        <w:lang w:val="zh-CN" w:eastAsia="zh-CN" w:bidi="zh-CN"/>
      </w:rPr>
    </w:lvl>
  </w:abstractNum>
  <w:num w:numId="1">
    <w:abstractNumId w:val="1"/>
  </w:num>
  <w:num w:numId="2">
    <w:abstractNumId w:val="5"/>
  </w:num>
  <w:num w:numId="3">
    <w:abstractNumId w:val="4"/>
  </w:num>
  <w:num w:numId="4">
    <w:abstractNumId w:val="2"/>
  </w:num>
  <w:num w:numId="5">
    <w:abstractNumId w:val="0"/>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lang w:val="zh-CN" w:eastAsia="zh-CN" w:bidi="zh-CN"/>
    </w:rPr>
  </w:style>
  <w:style w:type="paragraph" w:styleId="Heading1">
    <w:name w:val="heading 1"/>
    <w:basedOn w:val="Normal"/>
    <w:uiPriority w:val="1"/>
    <w:qFormat/>
    <w:pPr>
      <w:spacing w:before="58"/>
      <w:ind w:left="1212"/>
      <w:outlineLvl w:val="0"/>
    </w:pPr>
    <w:rPr>
      <w:rFonts w:ascii="楷体" w:eastAsia="楷体" w:hAnsi="楷体" w:cs="楷体"/>
      <w:sz w:val="30"/>
      <w:szCs w:val="30"/>
      <w:u w:val="single" w:color="000000"/>
      <w:lang w:val="zh-CN" w:eastAsia="zh-CN" w:bidi="zh-CN"/>
    </w:rPr>
  </w:style>
  <w:style w:type="paragraph" w:styleId="Heading2">
    <w:name w:val="heading 2"/>
    <w:basedOn w:val="Normal"/>
    <w:uiPriority w:val="1"/>
    <w:qFormat/>
    <w:pPr>
      <w:spacing w:before="1"/>
      <w:ind w:left="2026" w:hanging="456"/>
      <w:outlineLvl w:val="1"/>
    </w:pPr>
    <w:rPr>
      <w:rFonts w:ascii="楷体" w:eastAsia="楷体" w:hAnsi="楷体" w:cs="楷体"/>
      <w:sz w:val="24"/>
      <w:szCs w:val="24"/>
      <w:lang w:val="zh-CN" w:eastAsia="zh-CN" w:bidi="zh-CN"/>
    </w:rPr>
  </w:style>
  <w:style w:type="paragraph" w:styleId="Heading3">
    <w:name w:val="heading 3"/>
    <w:basedOn w:val="Normal"/>
    <w:uiPriority w:val="1"/>
    <w:qFormat/>
    <w:pPr>
      <w:ind w:left="1903"/>
      <w:outlineLvl w:val="2"/>
    </w:pPr>
    <w:rPr>
      <w:rFonts w:ascii="楷体" w:eastAsia="楷体" w:hAnsi="楷体" w:cs="楷体"/>
      <w:b/>
      <w:bCs/>
      <w:sz w:val="21"/>
      <w:szCs w:val="21"/>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楷体" w:eastAsia="楷体" w:hAnsi="楷体" w:cs="楷体"/>
      <w:sz w:val="21"/>
      <w:szCs w:val="21"/>
      <w:lang w:val="zh-CN" w:eastAsia="zh-CN" w:bidi="zh-CN"/>
    </w:rPr>
  </w:style>
  <w:style w:type="paragraph" w:styleId="ListParagraph">
    <w:name w:val="List Paragraph"/>
    <w:basedOn w:val="Normal"/>
    <w:uiPriority w:val="1"/>
    <w:qFormat/>
    <w:pPr>
      <w:ind w:left="1903" w:hanging="456"/>
    </w:pPr>
    <w:rPr>
      <w:rFonts w:ascii="楷体" w:eastAsia="楷体" w:hAnsi="楷体" w:cs="楷体"/>
      <w:lang w:val="zh-CN" w:eastAsia="zh-CN" w:bidi="zh-CN"/>
    </w:rPr>
  </w:style>
  <w:style w:type="paragraph" w:customStyle="1" w:styleId="TableParagraph">
    <w:name w:val="Table Paragraph"/>
    <w:basedOn w:val="Normal"/>
    <w:uiPriority w:val="1"/>
    <w:qFormat/>
    <w:pPr>
      <w:spacing w:before="6"/>
      <w:ind w:left="87" w:right="1747"/>
      <w:jc w:val="center"/>
    </w:pPr>
    <w:rPr>
      <w:rFonts w:ascii="楷体" w:eastAsia="楷体" w:hAnsi="楷体" w:cs="楷体"/>
      <w:lang w:val="zh-CN" w:eastAsia="zh-CN" w:bidi="zh-C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jpeg" /><Relationship Id="rId11" Type="http://schemas.openxmlformats.org/officeDocument/2006/relationships/hyperlink" Target="https://zh.wikipedia.org/wiki/JT-60" TargetMode="Externa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image" Target="media/image4.jpeg" /><Relationship Id="rId15" Type="http://schemas.openxmlformats.org/officeDocument/2006/relationships/image" Target="media/image5.jpeg"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image" Target="media/image6.jpeg"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image" Target="media/image7.jpeg" /><Relationship Id="rId22" Type="http://schemas.openxmlformats.org/officeDocument/2006/relationships/image" Target="media/image8.jpeg" /><Relationship Id="rId23" Type="http://schemas.openxmlformats.org/officeDocument/2006/relationships/image" Target="media/image9.jpeg" /><Relationship Id="rId24" Type="http://schemas.openxmlformats.org/officeDocument/2006/relationships/header" Target="header6.xml" /><Relationship Id="rId25" Type="http://schemas.openxmlformats.org/officeDocument/2006/relationships/footer" Target="footer6.xml" /><Relationship Id="rId26" Type="http://schemas.openxmlformats.org/officeDocument/2006/relationships/header" Target="header7.xml" /><Relationship Id="rId27" Type="http://schemas.openxmlformats.org/officeDocument/2006/relationships/footer" Target="footer7.xml" /><Relationship Id="rId28" Type="http://schemas.openxmlformats.org/officeDocument/2006/relationships/image" Target="media/image10.jpeg" /><Relationship Id="rId29" Type="http://schemas.openxmlformats.org/officeDocument/2006/relationships/image" Target="media/image11.jpeg" /><Relationship Id="rId3" Type="http://schemas.openxmlformats.org/officeDocument/2006/relationships/fontTable" Target="fontTable.xml" /><Relationship Id="rId30" Type="http://schemas.openxmlformats.org/officeDocument/2006/relationships/header" Target="header8.xml" /><Relationship Id="rId31" Type="http://schemas.openxmlformats.org/officeDocument/2006/relationships/footer" Target="footer8.xml" /><Relationship Id="rId32" Type="http://schemas.openxmlformats.org/officeDocument/2006/relationships/image" Target="media/image12.jpeg" /><Relationship Id="rId33" Type="http://schemas.openxmlformats.org/officeDocument/2006/relationships/header" Target="header9.xml" /><Relationship Id="rId34" Type="http://schemas.openxmlformats.org/officeDocument/2006/relationships/footer" Target="footer9.xml" /><Relationship Id="rId35" Type="http://schemas.openxmlformats.org/officeDocument/2006/relationships/image" Target="media/image13.jpeg" /><Relationship Id="rId36" Type="http://schemas.openxmlformats.org/officeDocument/2006/relationships/header" Target="header10.xml" /><Relationship Id="rId37" Type="http://schemas.openxmlformats.org/officeDocument/2006/relationships/footer" Target="footer10.xml" /><Relationship Id="rId38" Type="http://schemas.openxmlformats.org/officeDocument/2006/relationships/image" Target="media/image14.jpeg" /><Relationship Id="rId39" Type="http://schemas.openxmlformats.org/officeDocument/2006/relationships/image" Target="media/image15.jpeg" /><Relationship Id="rId4" Type="http://schemas.openxmlformats.org/officeDocument/2006/relationships/image" Target="media/image1.png" /><Relationship Id="rId40" Type="http://schemas.openxmlformats.org/officeDocument/2006/relationships/header" Target="header11.xml" /><Relationship Id="rId41" Type="http://schemas.openxmlformats.org/officeDocument/2006/relationships/footer" Target="footer11.xml" /><Relationship Id="rId42" Type="http://schemas.openxmlformats.org/officeDocument/2006/relationships/header" Target="header12.xml" /><Relationship Id="rId43" Type="http://schemas.openxmlformats.org/officeDocument/2006/relationships/footer" Target="footer12.xml" /><Relationship Id="rId44" Type="http://schemas.openxmlformats.org/officeDocument/2006/relationships/image" Target="media/image16.png" /><Relationship Id="rId45" Type="http://schemas.openxmlformats.org/officeDocument/2006/relationships/hyperlink" Target="https://d.book118.com/786215240043010103" TargetMode="External" /><Relationship Id="rId46" Type="http://schemas.openxmlformats.org/officeDocument/2006/relationships/header" Target="header13.xml" /><Relationship Id="rId47" Type="http://schemas.openxmlformats.org/officeDocument/2006/relationships/footer" Target="footer13.xml" /><Relationship Id="rId48" Type="http://schemas.openxmlformats.org/officeDocument/2006/relationships/theme" Target="theme/theme1.xml" /><Relationship Id="rId49" Type="http://schemas.openxmlformats.org/officeDocument/2006/relationships/numbering" Target="numbering.xml" /><Relationship Id="rId5" Type="http://schemas.openxmlformats.org/officeDocument/2006/relationships/image" Target="media/image2.jpeg" /><Relationship Id="rId50"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2024-03-19T05:20:37Z</dcterms:created>
  <dcterms:modified xsi:type="dcterms:W3CDTF">2024-03-19T05:20:37Z</dcterms:modified>
</cp:coreProperties>
</file>