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sdt>
      <w:sdtPr>
        <w:rPr>
          <w:rFonts w:ascii="SimHei" w:eastAsia="SimHei" w:hAnsi="SimHei" w:cs="SimHei"/>
          <w:sz w:val="31"/>
          <w:szCs w:val="31"/>
        </w:rPr>
        <w:id w:val="34453322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spacing w:before="100" w:line="225" w:lineRule="auto"/>
            <w:ind w:left="4163"/>
            <w:rPr>
              <w:rFonts w:ascii="SimHei" w:eastAsia="SimHei" w:hAnsi="SimHei" w:cs="SimHei"/>
              <w:sz w:val="31"/>
              <w:szCs w:val="31"/>
            </w:rPr>
          </w:pPr>
          <w:r>
            <w:rPr>
              <w:rFonts w:ascii="SimHei" w:eastAsia="SimHei" w:hAnsi="SimHei" w:cs="SimHei"/>
              <w:spacing w:val="-22"/>
              <w:sz w:val="31"/>
              <w:szCs w:val="31"/>
            </w:rPr>
            <w:t>目</w:t>
          </w:r>
          <w:r>
            <w:rPr>
              <w:rFonts w:ascii="SimHei" w:eastAsia="SimHei" w:hAnsi="SimHei" w:cs="SimHei"/>
              <w:spacing w:val="8"/>
              <w:sz w:val="31"/>
              <w:szCs w:val="31"/>
            </w:rPr>
            <w:t xml:space="preserve">    </w:t>
          </w:r>
          <w:r>
            <w:rPr>
              <w:rFonts w:ascii="SimHei" w:eastAsia="SimHei" w:hAnsi="SimHei" w:cs="SimHei"/>
              <w:spacing w:val="-22"/>
              <w:sz w:val="31"/>
              <w:szCs w:val="31"/>
            </w:rPr>
            <w:t>次</w:t>
          </w:r>
        </w:p>
        <w:p>
          <w:pPr>
            <w:spacing w:line="264" w:lineRule="auto"/>
            <w:rPr>
              <w:rFonts w:ascii="Arial"/>
              <w:sz w:val="21"/>
            </w:rPr>
          </w:pPr>
        </w:p>
        <w:p>
          <w:pPr>
            <w:spacing w:line="264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9350"/>
            </w:tabs>
            <w:spacing w:before="68" w:line="186" w:lineRule="auto"/>
            <w:ind w:left="4"/>
          </w:pPr>
          <w:bookmarkStart w:id="0" w:name="bookmark1"/>
          <w:bookmarkEnd w:id="0"/>
          <w:hyperlink w:anchor="bookmark2" w:history="1">
            <w:r>
              <w:rPr>
                <w:spacing w:val="-5"/>
              </w:rPr>
              <w:t>前言</w:t>
            </w:r>
            <w:r>
              <w:rPr>
                <w:spacing w:val="-29"/>
              </w:rPr>
              <w:t xml:space="preserve"> </w:t>
            </w:r>
            <w:r>
              <w:tab/>
            </w:r>
            <w:r>
              <w:rPr>
                <w:spacing w:val="1"/>
              </w:rPr>
              <w:t>III</w:t>
            </w:r>
          </w:hyperlink>
        </w:p>
        <w:p>
          <w:pPr>
            <w:pStyle w:val="BodyText"/>
            <w:tabs>
              <w:tab w:val="right" w:leader="dot" w:pos="9349"/>
            </w:tabs>
            <w:spacing w:before="177" w:line="186" w:lineRule="auto"/>
            <w:ind w:left="16"/>
          </w:pPr>
          <w:bookmarkStart w:id="1" w:name="bookmark3"/>
          <w:bookmarkEnd w:id="1"/>
          <w:hyperlink w:anchor="bookmark4" w:history="1">
            <w:r>
              <w:rPr>
                <w:spacing w:val="-12"/>
              </w:rPr>
              <w:t>1</w:t>
            </w:r>
            <w:r>
              <w:rPr>
                <w:spacing w:val="14"/>
              </w:rPr>
              <w:t xml:space="preserve"> </w:t>
            </w:r>
            <w:r>
              <w:rPr>
                <w:spacing w:val="-12"/>
              </w:rPr>
              <w:t>范围</w:t>
            </w:r>
            <w:r>
              <w:rPr>
                <w:spacing w:val="-29"/>
              </w:rPr>
              <w:t xml:space="preserve"> </w:t>
            </w:r>
            <w:r>
              <w:tab/>
            </w:r>
            <w:r>
              <w:rPr>
                <w:spacing w:val="1"/>
              </w:rPr>
              <w:t>1</w:t>
            </w:r>
          </w:hyperlink>
        </w:p>
        <w:p>
          <w:pPr>
            <w:pStyle w:val="BodyText"/>
            <w:tabs>
              <w:tab w:val="right" w:leader="dot" w:pos="9349"/>
            </w:tabs>
            <w:spacing w:before="100" w:line="186" w:lineRule="auto"/>
            <w:ind w:left="3"/>
          </w:pPr>
          <w:bookmarkStart w:id="2" w:name="bookmark5"/>
          <w:bookmarkEnd w:id="2"/>
          <w:hyperlink w:anchor="bookmark6" w:history="1">
            <w:r>
              <w:rPr>
                <w:spacing w:val="-1"/>
              </w:rPr>
              <w:t>2 规范性引用文件</w:t>
            </w:r>
            <w:r>
              <w:rPr>
                <w:spacing w:val="-22"/>
              </w:rPr>
              <w:t xml:space="preserve"> </w:t>
            </w:r>
            <w:r>
              <w:tab/>
            </w:r>
            <w:r>
              <w:rPr>
                <w:spacing w:val="1"/>
              </w:rPr>
              <w:t>1</w:t>
            </w:r>
          </w:hyperlink>
        </w:p>
        <w:p>
          <w:pPr>
            <w:pStyle w:val="BodyText"/>
            <w:tabs>
              <w:tab w:val="right" w:leader="dot" w:pos="9349"/>
            </w:tabs>
            <w:spacing w:before="100" w:line="186" w:lineRule="auto"/>
            <w:ind w:left="5"/>
          </w:pPr>
          <w:bookmarkStart w:id="3" w:name="bookmark7"/>
          <w:bookmarkEnd w:id="3"/>
          <w:hyperlink w:anchor="bookmark8" w:history="1">
            <w:r>
              <w:rPr>
                <w:spacing w:val="-4"/>
              </w:rPr>
              <w:t>3</w:t>
            </w:r>
            <w:r>
              <w:rPr>
                <w:spacing w:val="13"/>
              </w:rPr>
              <w:t xml:space="preserve"> </w:t>
            </w:r>
            <w:r>
              <w:rPr>
                <w:spacing w:val="-4"/>
              </w:rPr>
              <w:t>术语和定义</w:t>
            </w:r>
            <w:r>
              <w:rPr>
                <w:spacing w:val="-25"/>
              </w:rPr>
              <w:t xml:space="preserve"> </w:t>
            </w:r>
            <w:r>
              <w:tab/>
            </w:r>
            <w:r>
              <w:rPr>
                <w:spacing w:val="1"/>
              </w:rPr>
              <w:t>1</w:t>
            </w:r>
          </w:hyperlink>
        </w:p>
        <w:p>
          <w:pPr>
            <w:pStyle w:val="BodyText"/>
            <w:tabs>
              <w:tab w:val="right" w:leader="dot" w:pos="9349"/>
            </w:tabs>
            <w:spacing w:before="101" w:line="186" w:lineRule="auto"/>
          </w:pPr>
          <w:bookmarkStart w:id="4" w:name="bookmark9"/>
          <w:bookmarkEnd w:id="4"/>
          <w:hyperlink w:anchor="bookmark10" w:history="1">
            <w:r>
              <w:rPr>
                <w:spacing w:val="-3"/>
              </w:rPr>
              <w:t>4</w:t>
            </w:r>
            <w:r>
              <w:rPr>
                <w:spacing w:val="10"/>
              </w:rPr>
              <w:t xml:space="preserve"> </w:t>
            </w:r>
            <w:r>
              <w:rPr>
                <w:spacing w:val="-3"/>
              </w:rPr>
              <w:t>生命伦理</w:t>
            </w:r>
            <w:r>
              <w:rPr>
                <w:spacing w:val="-27"/>
              </w:rPr>
              <w:t xml:space="preserve"> </w:t>
            </w:r>
            <w:r>
              <w:tab/>
            </w:r>
            <w:r>
              <w:rPr>
                <w:spacing w:val="1"/>
              </w:rPr>
              <w:t>4</w:t>
            </w:r>
          </w:hyperlink>
        </w:p>
        <w:p>
          <w:pPr>
            <w:pStyle w:val="BodyText"/>
            <w:tabs>
              <w:tab w:val="right" w:leader="dot" w:pos="9349"/>
            </w:tabs>
            <w:spacing w:before="100" w:line="186" w:lineRule="auto"/>
            <w:ind w:left="5"/>
          </w:pPr>
          <w:bookmarkStart w:id="5" w:name="bookmark11"/>
          <w:bookmarkEnd w:id="5"/>
          <w:hyperlink w:anchor="bookmark12" w:history="1">
            <w:r>
              <w:rPr>
                <w:spacing w:val="-2"/>
              </w:rPr>
              <w:t xml:space="preserve">5 人类间充质干细胞库建设 </w:t>
            </w:r>
            <w:r>
              <w:tab/>
            </w:r>
            <w:r>
              <w:rPr>
                <w:spacing w:val="1"/>
              </w:rPr>
              <w:t>4</w:t>
            </w:r>
          </w:hyperlink>
        </w:p>
        <w:p>
          <w:pPr>
            <w:pStyle w:val="BodyText"/>
            <w:tabs>
              <w:tab w:val="right" w:leader="dot" w:pos="9349"/>
            </w:tabs>
            <w:spacing w:before="101" w:line="186" w:lineRule="auto"/>
            <w:ind w:left="2"/>
          </w:pPr>
          <w:bookmarkStart w:id="6" w:name="bookmark13"/>
          <w:bookmarkEnd w:id="6"/>
          <w:hyperlink w:anchor="bookmark14" w:history="1">
            <w:r>
              <w:rPr>
                <w:spacing w:val="-3"/>
              </w:rPr>
              <w:t>6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机构设置</w:t>
            </w:r>
            <w:r>
              <w:rPr>
                <w:spacing w:val="-26"/>
              </w:rPr>
              <w:t xml:space="preserve"> </w:t>
            </w:r>
            <w:r>
              <w:tab/>
            </w:r>
            <w:r>
              <w:rPr>
                <w:spacing w:val="1"/>
              </w:rPr>
              <w:t>5</w:t>
            </w:r>
          </w:hyperlink>
        </w:p>
        <w:p>
          <w:pPr>
            <w:pStyle w:val="BodyText"/>
            <w:tabs>
              <w:tab w:val="right" w:leader="dot" w:pos="9349"/>
            </w:tabs>
            <w:spacing w:before="101" w:line="186" w:lineRule="auto"/>
            <w:ind w:left="5"/>
          </w:pPr>
          <w:bookmarkStart w:id="7" w:name="bookmark15"/>
          <w:bookmarkEnd w:id="7"/>
          <w:hyperlink w:anchor="bookmark16" w:history="1">
            <w:r>
              <w:rPr>
                <w:spacing w:val="-4"/>
              </w:rPr>
              <w:t>7</w:t>
            </w:r>
            <w:r>
              <w:rPr>
                <w:spacing w:val="9"/>
              </w:rPr>
              <w:t xml:space="preserve"> </w:t>
            </w:r>
            <w:r>
              <w:rPr>
                <w:spacing w:val="-4"/>
              </w:rPr>
              <w:t>操作规范</w:t>
            </w:r>
            <w:r>
              <w:rPr>
                <w:spacing w:val="-27"/>
              </w:rPr>
              <w:t xml:space="preserve"> </w:t>
            </w:r>
            <w:r>
              <w:tab/>
            </w:r>
            <w:r>
              <w:rPr>
                <w:spacing w:val="1"/>
              </w:rPr>
              <w:t>6</w:t>
            </w:r>
          </w:hyperlink>
        </w:p>
        <w:p>
          <w:pPr>
            <w:pStyle w:val="BodyText"/>
            <w:tabs>
              <w:tab w:val="right" w:leader="dot" w:pos="9349"/>
            </w:tabs>
            <w:spacing w:before="100" w:line="186" w:lineRule="auto"/>
            <w:ind w:left="1"/>
          </w:pPr>
          <w:bookmarkStart w:id="8" w:name="bookmark17"/>
          <w:bookmarkEnd w:id="8"/>
          <w:hyperlink w:anchor="bookmark18" w:history="1">
            <w:r>
              <w:rPr>
                <w:spacing w:val="-4"/>
              </w:rPr>
              <w:t>8</w:t>
            </w:r>
            <w:r>
              <w:rPr>
                <w:spacing w:val="13"/>
              </w:rPr>
              <w:t xml:space="preserve"> </w:t>
            </w:r>
            <w:r>
              <w:rPr>
                <w:spacing w:val="-4"/>
              </w:rPr>
              <w:t>安全管理</w:t>
            </w:r>
            <w:r>
              <w:rPr>
                <w:spacing w:val="-26"/>
              </w:rPr>
              <w:t xml:space="preserve"> </w:t>
            </w:r>
            <w:r>
              <w:tab/>
            </w:r>
            <w:r>
              <w:t>10</w:t>
            </w:r>
          </w:hyperlink>
        </w:p>
        <w:p>
          <w:pPr>
            <w:pStyle w:val="BodyText"/>
            <w:tabs>
              <w:tab w:val="right" w:leader="dot" w:pos="9349"/>
            </w:tabs>
            <w:spacing w:before="177" w:line="186" w:lineRule="auto"/>
            <w:ind w:left="17"/>
          </w:pPr>
          <w:bookmarkStart w:id="9" w:name="bookmark19"/>
          <w:bookmarkEnd w:id="9"/>
          <w:hyperlink w:anchor="bookmark20" w:history="1">
            <w:r>
              <w:rPr>
                <w:spacing w:val="-2"/>
              </w:rPr>
              <w:t>附录</w:t>
            </w:r>
            <w:r>
              <w:rPr>
                <w:spacing w:val="-38"/>
              </w:rPr>
              <w:t xml:space="preserve"> </w:t>
            </w:r>
            <w:r>
              <w:rPr>
                <w:spacing w:val="-2"/>
              </w:rPr>
              <w:t>A（资料性附录）供者健康信息采集</w:t>
            </w:r>
            <w:r>
              <w:rPr>
                <w:spacing w:val="-64"/>
              </w:rPr>
              <w:t xml:space="preserve"> </w:t>
            </w:r>
            <w:r>
              <w:tab/>
            </w:r>
            <w:r>
              <w:rPr>
                <w:spacing w:val="1"/>
              </w:rPr>
              <w:t>16</w:t>
            </w:r>
          </w:hyperlink>
        </w:p>
        <w:p>
          <w:pPr>
            <w:pStyle w:val="BodyText"/>
            <w:tabs>
              <w:tab w:val="right" w:leader="dot" w:pos="9349"/>
            </w:tabs>
            <w:spacing w:before="180" w:line="220" w:lineRule="auto"/>
            <w:ind w:left="17"/>
          </w:pPr>
          <w:bookmarkStart w:id="10" w:name="bookmark21"/>
          <w:bookmarkEnd w:id="10"/>
          <w:hyperlink w:anchor="bookmark22" w:history="1">
            <w:r>
              <w:rPr>
                <w:spacing w:val="-1"/>
              </w:rPr>
              <w:t>附录</w:t>
            </w:r>
            <w:r>
              <w:rPr>
                <w:spacing w:val="-49"/>
              </w:rPr>
              <w:t xml:space="preserve"> </w:t>
            </w:r>
            <w:r>
              <w:rPr>
                <w:spacing w:val="-1"/>
              </w:rPr>
              <w:t>B（资料性附录）人类间充质干细胞样本编码规则</w:t>
            </w:r>
            <w:r>
              <w:rPr>
                <w:spacing w:val="-58"/>
              </w:rPr>
              <w:t xml:space="preserve"> </w:t>
            </w:r>
            <w:r>
              <w:tab/>
            </w:r>
            <w:r>
              <w:t>17</w:t>
            </w:r>
          </w:hyperlink>
        </w:p>
        <w:p>
          <w:pPr>
            <w:pStyle w:val="BodyText"/>
            <w:tabs>
              <w:tab w:val="right" w:leader="dot" w:pos="9349"/>
            </w:tabs>
            <w:spacing w:before="141" w:line="220" w:lineRule="auto"/>
            <w:ind w:left="17"/>
          </w:pPr>
          <w:bookmarkStart w:id="11" w:name="bookmark23"/>
          <w:bookmarkEnd w:id="11"/>
          <w:hyperlink w:anchor="bookmark23" w:history="1">
            <w:r>
              <w:rPr>
                <w:spacing w:val="-1"/>
              </w:rPr>
              <w:t>附录</w:t>
            </w:r>
            <w:r>
              <w:rPr>
                <w:spacing w:val="-45"/>
              </w:rPr>
              <w:t xml:space="preserve"> </w:t>
            </w:r>
            <w:r>
              <w:rPr>
                <w:spacing w:val="-1"/>
              </w:rPr>
              <w:t>C（资料性附录）人类间充质干细胞库整体的操作</w:t>
            </w:r>
            <w:r>
              <w:rPr>
                <w:spacing w:val="-2"/>
              </w:rPr>
              <w:t>流程</w:t>
            </w:r>
            <w:r>
              <w:rPr>
                <w:spacing w:val="-55"/>
              </w:rPr>
              <w:t xml:space="preserve"> </w:t>
            </w:r>
            <w:r>
              <w:tab/>
            </w:r>
            <w:r>
              <w:t>18</w:t>
            </w:r>
          </w:hyperlink>
        </w:p>
        <w:p>
          <w:pPr>
            <w:pStyle w:val="BodyText"/>
            <w:tabs>
              <w:tab w:val="right" w:leader="dot" w:pos="9349"/>
            </w:tabs>
            <w:spacing w:before="138" w:line="221" w:lineRule="auto"/>
            <w:ind w:left="2"/>
          </w:pPr>
          <w:bookmarkStart w:id="12" w:name="bookmark24"/>
          <w:bookmarkEnd w:id="12"/>
          <w:hyperlink w:anchor="bookmark25" w:history="1">
            <w:r>
              <w:rPr>
                <w:spacing w:val="-2"/>
              </w:rPr>
              <w:t>参考文献</w:t>
            </w:r>
            <w:r>
              <w:rPr>
                <w:spacing w:val="-27"/>
              </w:rPr>
              <w:t xml:space="preserve"> </w:t>
            </w:r>
            <w:r>
              <w:tab/>
            </w:r>
            <w:r>
              <w:rPr>
                <w:spacing w:val="1"/>
              </w:rPr>
              <w:t>19</w:t>
            </w:r>
          </w:hyperlink>
        </w:p>
      </w:sdtContent>
    </w:sdt>
    <w:p>
      <w:pPr>
        <w:spacing w:line="221" w:lineRule="auto"/>
        <w:sectPr>
          <w:headerReference w:type="default" r:id="rId4"/>
          <w:footerReference w:type="default" r:id="rId5"/>
          <w:pgSz w:w="11907" w:h="16839"/>
          <w:pgMar w:top="1659" w:right="1130" w:bottom="1537" w:left="1423" w:header="1429" w:footer="1309" w:gutter="0"/>
          <w:cols w:space="708"/>
        </w:sect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01" w:line="225" w:lineRule="auto"/>
        <w:ind w:left="4039"/>
        <w:rPr>
          <w:rFonts w:ascii="SimHei" w:eastAsia="SimHei" w:hAnsi="SimHei" w:cs="SimHei"/>
          <w:sz w:val="31"/>
          <w:szCs w:val="31"/>
        </w:rPr>
      </w:pPr>
      <w:bookmarkStart w:id="13" w:name="bookmark2"/>
      <w:bookmarkEnd w:id="13"/>
      <w:r>
        <w:rPr>
          <w:rFonts w:ascii="SimHei" w:eastAsia="SimHei" w:hAnsi="SimHei" w:cs="SimHei"/>
          <w:spacing w:val="-2"/>
          <w:sz w:val="31"/>
          <w:szCs w:val="31"/>
        </w:rPr>
        <w:t>前</w:t>
      </w:r>
      <w:r>
        <w:rPr>
          <w:rFonts w:ascii="SimHei" w:eastAsia="SimHei" w:hAnsi="SimHei" w:cs="SimHei"/>
          <w:spacing w:val="11"/>
          <w:sz w:val="31"/>
          <w:szCs w:val="31"/>
        </w:rPr>
        <w:t xml:space="preserve">    </w:t>
      </w:r>
      <w:r>
        <w:rPr>
          <w:rFonts w:ascii="SimHei" w:eastAsia="SimHei" w:hAnsi="SimHei" w:cs="SimHei"/>
          <w:spacing w:val="-2"/>
          <w:sz w:val="31"/>
          <w:szCs w:val="31"/>
        </w:rPr>
        <w:t>言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68" w:line="294" w:lineRule="auto"/>
        <w:ind w:left="419" w:right="4372"/>
      </w:pPr>
      <w:r>
        <w:rPr>
          <w:spacing w:val="-1"/>
        </w:rPr>
        <w:t>本指导性技术文件按GB/T 1.1</w:t>
      </w:r>
      <w:r>
        <w:rPr>
          <w:rFonts w:ascii="Times New Roman" w:eastAsia="Times New Roman" w:hAnsi="Times New Roman" w:cs="Times New Roman"/>
          <w:spacing w:val="-1"/>
        </w:rPr>
        <w:t>–</w:t>
      </w:r>
      <w:r>
        <w:rPr>
          <w:spacing w:val="-1"/>
        </w:rPr>
        <w:t>2009</w:t>
      </w:r>
      <w:r>
        <w:rPr>
          <w:spacing w:val="-2"/>
        </w:rPr>
        <w:t>给出的规则起草。</w:t>
      </w:r>
      <w:r>
        <w:t xml:space="preserve"> </w:t>
      </w:r>
      <w:r>
        <w:rPr>
          <w:spacing w:val="-1"/>
        </w:rPr>
        <w:t>本标准由深圳市经济贸易和信息化委员会归口。</w:t>
      </w:r>
    </w:p>
    <w:p>
      <w:pPr>
        <w:pStyle w:val="BodyText"/>
        <w:spacing w:before="69" w:line="220" w:lineRule="auto"/>
        <w:ind w:left="419"/>
      </w:pPr>
      <w:r>
        <w:rPr>
          <w:spacing w:val="-1"/>
        </w:rPr>
        <w:t>本标准负责起草单位：深圳华大基因研究院。</w:t>
      </w:r>
    </w:p>
    <w:p>
      <w:pPr>
        <w:pStyle w:val="BodyText"/>
        <w:spacing w:before="141" w:line="328" w:lineRule="auto"/>
        <w:ind w:right="264" w:firstLine="419"/>
      </w:pPr>
      <w:r>
        <w:rPr>
          <w:spacing w:val="-5"/>
        </w:rPr>
        <w:t>本标准主要起草人：周欣、张勇、张曦、冀旭、燕舞、林洁璇、张</w:t>
      </w:r>
      <w:r>
        <w:rPr>
          <w:spacing w:val="-6"/>
        </w:rPr>
        <w:t>家文、黄海军、彭冬秀、孙长斌、</w:t>
      </w:r>
      <w:r>
        <w:t xml:space="preserve"> </w:t>
      </w:r>
      <w:r>
        <w:rPr>
          <w:spacing w:val="-2"/>
        </w:rPr>
        <w:t>杨阳、黎苑杰。</w:t>
      </w:r>
    </w:p>
    <w:p>
      <w:pPr>
        <w:pStyle w:val="BodyText"/>
        <w:spacing w:before="33" w:line="220" w:lineRule="auto"/>
        <w:ind w:left="419"/>
      </w:pPr>
      <w:r>
        <w:rPr>
          <w:spacing w:val="-3"/>
        </w:rPr>
        <w:t>本标准为首次发布。</w:t>
      </w:r>
    </w:p>
    <w:p>
      <w:pPr>
        <w:spacing w:line="220" w:lineRule="auto"/>
        <w:sectPr>
          <w:headerReference w:type="default" r:id="rId6"/>
          <w:footerReference w:type="default" r:id="rId7"/>
          <w:pgSz w:w="11907" w:h="16839"/>
          <w:pgMar w:top="1659" w:right="789" w:bottom="1447" w:left="1426" w:header="1429" w:footer="1180" w:gutter="0"/>
          <w:pgNumType w:start="2"/>
          <w:cols w:space="708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00" w:line="224" w:lineRule="auto"/>
        <w:ind w:left="1625"/>
        <w:rPr>
          <w:rFonts w:ascii="SimHei" w:eastAsia="SimHei" w:hAnsi="SimHei" w:cs="SimHei"/>
          <w:sz w:val="31"/>
          <w:szCs w:val="31"/>
        </w:rPr>
      </w:pPr>
      <w:bookmarkStart w:id="14" w:name="bookmark4"/>
      <w:bookmarkEnd w:id="14"/>
      <w:bookmarkStart w:id="15" w:name="bookmark6"/>
      <w:bookmarkEnd w:id="15"/>
      <w:r>
        <w:rPr>
          <w:rFonts w:ascii="SimHei" w:eastAsia="SimHei" w:hAnsi="SimHei" w:cs="SimHei"/>
          <w:spacing w:val="8"/>
          <w:sz w:val="31"/>
          <w:szCs w:val="31"/>
        </w:rPr>
        <w:t>人类间充质干细胞库建设与管理规范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69" w:line="221" w:lineRule="auto"/>
        <w:ind w:left="3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0"/>
          <w:sz w:val="21"/>
          <w:szCs w:val="21"/>
        </w:rPr>
        <w:t>1</w:t>
      </w:r>
      <w:r>
        <w:rPr>
          <w:rFonts w:ascii="SimHei" w:eastAsia="SimHei" w:hAnsi="SimHei" w:cs="SimHei"/>
          <w:spacing w:val="5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0"/>
          <w:sz w:val="21"/>
          <w:szCs w:val="21"/>
        </w:rPr>
        <w:t>范围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68" w:line="260" w:lineRule="auto"/>
        <w:ind w:left="21" w:right="338" w:firstLine="422"/>
      </w:pPr>
      <w:r>
        <w:rPr>
          <w:spacing w:val="-3"/>
        </w:rPr>
        <w:t>本标准规定了人体来源间充质干细胞库相关的生命伦理、间充质干细胞库建设、机构设</w:t>
      </w:r>
      <w:r>
        <w:rPr>
          <w:spacing w:val="16"/>
        </w:rPr>
        <w:t xml:space="preserve"> </w:t>
      </w:r>
      <w:r>
        <w:rPr>
          <w:spacing w:val="-1"/>
        </w:rPr>
        <w:t>置、操作规范和安全管理的基本方法。</w:t>
      </w:r>
    </w:p>
    <w:p>
      <w:pPr>
        <w:pStyle w:val="BodyText"/>
        <w:spacing w:before="31" w:line="220" w:lineRule="auto"/>
        <w:ind w:left="443"/>
      </w:pPr>
      <w:r>
        <w:t>本标准适用于人体来源间充质干细胞库的建设与管</w:t>
      </w:r>
      <w:r>
        <w:rPr>
          <w:spacing w:val="-1"/>
        </w:rPr>
        <w:t>理规范。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68" w:line="220" w:lineRule="auto"/>
        <w:ind w:left="21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规范性引用文件</w:t>
      </w: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69" w:line="260" w:lineRule="auto"/>
        <w:ind w:left="22" w:right="344" w:firstLine="426"/>
      </w:pPr>
      <w:r>
        <w:rPr>
          <w:spacing w:val="3"/>
        </w:rPr>
        <w:t>下列文件对于本文件的应用是必不可少的。凡是注日期的引用</w:t>
      </w:r>
      <w:r>
        <w:rPr>
          <w:spacing w:val="2"/>
        </w:rPr>
        <w:t>文件，仅注日期的版本</w:t>
      </w:r>
      <w:r>
        <w:t xml:space="preserve"> </w:t>
      </w:r>
      <w:r>
        <w:rPr>
          <w:spacing w:val="-3"/>
        </w:rPr>
        <w:t>适用于本文件。凡是不注日期的引用文件，其最新版本（包括所有修</w:t>
      </w:r>
      <w:r>
        <w:rPr>
          <w:spacing w:val="-4"/>
        </w:rPr>
        <w:t>改单）适用于本文件。</w:t>
      </w:r>
    </w:p>
    <w:p>
      <w:pPr>
        <w:pStyle w:val="BodyText"/>
        <w:spacing w:before="31" w:line="221" w:lineRule="auto"/>
        <w:ind w:left="440"/>
      </w:pPr>
      <w:r>
        <w:t>GB/T 1.1-2009 标准化工作导则 第1部分：标准的结构和编写</w:t>
      </w:r>
    </w:p>
    <w:p>
      <w:pPr>
        <w:pStyle w:val="BodyText"/>
        <w:spacing w:before="62" w:line="260" w:lineRule="auto"/>
        <w:ind w:left="440" w:right="4762"/>
      </w:pPr>
      <w:r>
        <w:t>GB 2894-2008 安全标志及其</w:t>
      </w:r>
      <w:r>
        <w:rPr>
          <w:spacing w:val="-1"/>
        </w:rPr>
        <w:t>使用导则</w:t>
      </w:r>
      <w:r>
        <w:t xml:space="preserve"> </w:t>
      </w:r>
      <w:r>
        <w:rPr>
          <w:spacing w:val="-1"/>
        </w:rPr>
        <w:t>GB/T 5458-2012 液氮生物容器</w:t>
      </w:r>
    </w:p>
    <w:p>
      <w:pPr>
        <w:pStyle w:val="BodyText"/>
        <w:spacing w:before="31" w:line="261" w:lineRule="auto"/>
        <w:ind w:left="440" w:right="4554"/>
      </w:pPr>
      <w:r>
        <w:t>GB 7000.2-2008 应急照明灯</w:t>
      </w:r>
      <w:r>
        <w:rPr>
          <w:spacing w:val="-1"/>
        </w:rPr>
        <w:t>具安全要求</w:t>
      </w:r>
      <w:r>
        <w:t xml:space="preserve"> </w:t>
      </w:r>
      <w:r>
        <w:rPr>
          <w:spacing w:val="-2"/>
        </w:rPr>
        <w:t>GB/T</w:t>
      </w:r>
      <w:r>
        <w:rPr>
          <w:spacing w:val="34"/>
        </w:rPr>
        <w:t xml:space="preserve"> </w:t>
      </w:r>
      <w:r>
        <w:rPr>
          <w:spacing w:val="-2"/>
        </w:rPr>
        <w:t>12905-2000 条码术语</w:t>
      </w:r>
    </w:p>
    <w:p>
      <w:pPr>
        <w:pStyle w:val="BodyText"/>
        <w:spacing w:before="30" w:line="261" w:lineRule="auto"/>
        <w:ind w:left="440" w:right="4026"/>
      </w:pPr>
      <w:r>
        <w:t>GB 13690-2009 化学品分类和危险性公示</w:t>
      </w:r>
      <w:r>
        <w:rPr>
          <w:spacing w:val="-1"/>
        </w:rPr>
        <w:t>通则</w:t>
      </w:r>
      <w:r>
        <w:t xml:space="preserve"> </w:t>
      </w:r>
      <w:r>
        <w:rPr>
          <w:spacing w:val="-1"/>
        </w:rPr>
        <w:t>GB 15258</w:t>
      </w:r>
      <w:r>
        <w:rPr>
          <w:spacing w:val="15"/>
        </w:rPr>
        <w:t xml:space="preserve"> </w:t>
      </w:r>
      <w:r>
        <w:rPr>
          <w:spacing w:val="-1"/>
        </w:rPr>
        <w:t>化学品安全标签编写规定</w:t>
      </w:r>
    </w:p>
    <w:p>
      <w:pPr>
        <w:pStyle w:val="BodyText"/>
        <w:spacing w:before="30" w:line="261" w:lineRule="auto"/>
        <w:ind w:left="440" w:right="5708"/>
      </w:pPr>
      <w:r>
        <w:rPr>
          <w:spacing w:val="-2"/>
        </w:rPr>
        <w:t>GB/T</w:t>
      </w:r>
      <w:r>
        <w:rPr>
          <w:spacing w:val="25"/>
        </w:rPr>
        <w:t xml:space="preserve"> </w:t>
      </w:r>
      <w:r>
        <w:rPr>
          <w:spacing w:val="-2"/>
        </w:rPr>
        <w:t>17172-1997 417</w:t>
      </w:r>
      <w:r>
        <w:rPr>
          <w:spacing w:val="11"/>
        </w:rPr>
        <w:t xml:space="preserve"> </w:t>
      </w:r>
      <w:r>
        <w:rPr>
          <w:spacing w:val="-2"/>
        </w:rPr>
        <w:t>条码</w:t>
      </w:r>
      <w:r>
        <w:t xml:space="preserve"> </w:t>
      </w:r>
      <w:r>
        <w:rPr>
          <w:spacing w:val="-3"/>
        </w:rPr>
        <w:t>GB/T</w:t>
      </w:r>
      <w:r>
        <w:rPr>
          <w:spacing w:val="31"/>
        </w:rPr>
        <w:t xml:space="preserve"> </w:t>
      </w:r>
      <w:r>
        <w:rPr>
          <w:spacing w:val="-3"/>
        </w:rPr>
        <w:t>18347-2001</w:t>
      </w:r>
      <w:r>
        <w:rPr>
          <w:spacing w:val="25"/>
        </w:rPr>
        <w:t xml:space="preserve"> </w:t>
      </w:r>
      <w:r>
        <w:rPr>
          <w:spacing w:val="-3"/>
        </w:rPr>
        <w:t>128 条码</w:t>
      </w:r>
    </w:p>
    <w:p>
      <w:pPr>
        <w:pStyle w:val="BodyText"/>
        <w:spacing w:before="30" w:line="221" w:lineRule="auto"/>
        <w:ind w:left="440"/>
      </w:pPr>
      <w:r>
        <w:rPr>
          <w:spacing w:val="-1"/>
        </w:rPr>
        <w:t>GB/T 18883-2002</w:t>
      </w:r>
      <w:r>
        <w:rPr>
          <w:spacing w:val="21"/>
        </w:rPr>
        <w:t xml:space="preserve"> </w:t>
      </w:r>
      <w:r>
        <w:rPr>
          <w:spacing w:val="-1"/>
        </w:rPr>
        <w:t>室内空气质量标准</w:t>
      </w:r>
    </w:p>
    <w:p>
      <w:pPr>
        <w:pStyle w:val="BodyText"/>
        <w:spacing w:before="62" w:line="221" w:lineRule="auto"/>
        <w:ind w:left="440"/>
      </w:pPr>
      <w:r>
        <w:rPr>
          <w:spacing w:val="-1"/>
        </w:rPr>
        <w:t>GB 19489-2008</w:t>
      </w:r>
      <w:r>
        <w:rPr>
          <w:spacing w:val="22"/>
        </w:rPr>
        <w:t xml:space="preserve"> </w:t>
      </w:r>
      <w:r>
        <w:rPr>
          <w:spacing w:val="-1"/>
        </w:rPr>
        <w:t>实验室生物安全通用要求</w:t>
      </w:r>
    </w:p>
    <w:p>
      <w:pPr>
        <w:pStyle w:val="BodyText"/>
        <w:spacing w:before="60" w:line="221" w:lineRule="auto"/>
        <w:ind w:left="440"/>
      </w:pPr>
      <w:r>
        <w:t>GB 19652-2005 放电灯（荧光灯除外）安全</w:t>
      </w:r>
      <w:r>
        <w:rPr>
          <w:spacing w:val="-1"/>
        </w:rPr>
        <w:t>要求</w:t>
      </w:r>
    </w:p>
    <w:p>
      <w:pPr>
        <w:spacing w:line="61" w:lineRule="exact"/>
      </w:pPr>
    </w:p>
    <w:tbl>
      <w:tblPr>
        <w:tblStyle w:val="TableNormal0"/>
        <w:tblW w:w="5039" w:type="dxa"/>
        <w:tblInd w:w="4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75"/>
        <w:gridCol w:w="1153"/>
        <w:gridCol w:w="3411"/>
      </w:tblGrid>
      <w:tr>
        <w:tblPrEx>
          <w:tblW w:w="5039" w:type="dxa"/>
          <w:tblInd w:w="44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1"/>
        </w:trPr>
        <w:tc>
          <w:tcPr>
            <w:tcW w:w="475" w:type="dxa"/>
            <w:vAlign w:val="top"/>
          </w:tcPr>
          <w:p>
            <w:pPr>
              <w:spacing w:line="220" w:lineRule="auto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GB/T</w:t>
            </w:r>
          </w:p>
        </w:tc>
        <w:tc>
          <w:tcPr>
            <w:tcW w:w="1153" w:type="dxa"/>
            <w:vAlign w:val="top"/>
          </w:tcPr>
          <w:p>
            <w:pPr>
              <w:spacing w:before="35" w:line="182" w:lineRule="auto"/>
              <w:ind w:left="5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20269-2006</w:t>
            </w:r>
          </w:p>
        </w:tc>
        <w:tc>
          <w:tcPr>
            <w:tcW w:w="3411" w:type="dxa"/>
            <w:vAlign w:val="top"/>
          </w:tcPr>
          <w:p>
            <w:pPr>
              <w:spacing w:line="220" w:lineRule="auto"/>
              <w:jc w:val="right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信息安全技术信息系统安全管理要求</w:t>
            </w:r>
          </w:p>
        </w:tc>
      </w:tr>
      <w:tr>
        <w:tblPrEx>
          <w:tblW w:w="5039" w:type="dxa"/>
          <w:tblInd w:w="440" w:type="dxa"/>
          <w:tblLayout w:type="fixed"/>
        </w:tblPrEx>
        <w:trPr>
          <w:trHeight w:val="312"/>
        </w:trPr>
        <w:tc>
          <w:tcPr>
            <w:tcW w:w="475" w:type="dxa"/>
            <w:vAlign w:val="top"/>
          </w:tcPr>
          <w:p>
            <w:pPr>
              <w:spacing w:before="50" w:line="221" w:lineRule="auto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GB/T</w:t>
            </w:r>
          </w:p>
        </w:tc>
        <w:tc>
          <w:tcPr>
            <w:tcW w:w="1153" w:type="dxa"/>
            <w:vAlign w:val="top"/>
          </w:tcPr>
          <w:p>
            <w:pPr>
              <w:spacing w:before="86" w:line="182" w:lineRule="auto"/>
              <w:ind w:left="5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22278-2008</w:t>
            </w:r>
          </w:p>
        </w:tc>
        <w:tc>
          <w:tcPr>
            <w:tcW w:w="3411" w:type="dxa"/>
            <w:vAlign w:val="top"/>
          </w:tcPr>
          <w:p>
            <w:pPr>
              <w:spacing w:before="50" w:line="221" w:lineRule="auto"/>
              <w:ind w:left="9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良好实验室规范原则</w:t>
            </w:r>
          </w:p>
        </w:tc>
      </w:tr>
      <w:tr>
        <w:tblPrEx>
          <w:tblW w:w="5039" w:type="dxa"/>
          <w:tblInd w:w="440" w:type="dxa"/>
          <w:tblLayout w:type="fixed"/>
        </w:tblPrEx>
        <w:trPr>
          <w:trHeight w:val="262"/>
        </w:trPr>
        <w:tc>
          <w:tcPr>
            <w:tcW w:w="475" w:type="dxa"/>
            <w:vAlign w:val="top"/>
          </w:tcPr>
          <w:p>
            <w:pPr>
              <w:spacing w:before="50" w:line="177" w:lineRule="auto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GB/T</w:t>
            </w:r>
          </w:p>
        </w:tc>
        <w:tc>
          <w:tcPr>
            <w:tcW w:w="1153" w:type="dxa"/>
            <w:vAlign w:val="top"/>
          </w:tcPr>
          <w:p>
            <w:pPr>
              <w:spacing w:before="86" w:line="166" w:lineRule="exact"/>
              <w:ind w:left="5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1"/>
                <w:szCs w:val="21"/>
              </w:rPr>
              <w:t>27025-2008</w:t>
            </w:r>
          </w:p>
        </w:tc>
        <w:tc>
          <w:tcPr>
            <w:tcW w:w="3411" w:type="dxa"/>
            <w:vAlign w:val="top"/>
          </w:tcPr>
          <w:p>
            <w:pPr>
              <w:spacing w:before="50" w:line="177" w:lineRule="auto"/>
              <w:ind w:left="5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检测和校准实验室能力的通用要求</w:t>
            </w:r>
          </w:p>
        </w:tc>
      </w:tr>
    </w:tbl>
    <w:p>
      <w:pPr>
        <w:pStyle w:val="BodyText"/>
        <w:spacing w:before="101" w:line="221" w:lineRule="auto"/>
        <w:ind w:left="440"/>
      </w:pPr>
      <w:r>
        <w:t>GB 50016-2006 建筑设计防火</w:t>
      </w:r>
      <w:r>
        <w:rPr>
          <w:spacing w:val="-1"/>
        </w:rPr>
        <w:t>规范</w:t>
      </w:r>
    </w:p>
    <w:p>
      <w:pPr>
        <w:pStyle w:val="BodyText"/>
        <w:spacing w:before="60" w:line="221" w:lineRule="auto"/>
        <w:ind w:left="440"/>
        <w:sectPr>
          <w:headerReference w:type="default" r:id="rId8"/>
          <w:footerReference w:type="default" r:id="rId9"/>
          <w:pgSz w:w="11907" w:h="16839"/>
          <w:pgMar w:top="1090" w:right="1454" w:bottom="1147" w:left="1785" w:header="860" w:footer="956" w:gutter="0"/>
          <w:pgNumType w:start="3"/>
          <w:cols w:space="708"/>
        </w:sectPr>
      </w:pPr>
      <w:r>
        <w:t>GB 50034-2004 建筑照明设计</w:t>
      </w:r>
      <w:r>
        <w:rPr>
          <w:spacing w:val="-1"/>
        </w:rPr>
        <w:t>标准</w:t>
      </w:r>
    </w:p>
    <w:p>
      <w:pPr>
        <w:pStyle w:val="BodyText"/>
        <w:spacing w:before="61" w:line="220" w:lineRule="auto"/>
        <w:ind w:left="440"/>
      </w:pPr>
      <w:r>
        <w:t>GB 50052-2009 供配电系统设计</w:t>
      </w:r>
      <w:r>
        <w:rPr>
          <w:spacing w:val="-1"/>
        </w:rPr>
        <w:t>规范</w:t>
      </w:r>
    </w:p>
    <w:p>
      <w:pPr>
        <w:pStyle w:val="BodyText"/>
        <w:spacing w:before="61" w:line="261" w:lineRule="auto"/>
        <w:ind w:left="440" w:right="4446"/>
      </w:pPr>
      <w:r>
        <w:t>GB 50140-2005 建筑灭火器配置设计</w:t>
      </w:r>
      <w:r>
        <w:rPr>
          <w:spacing w:val="-1"/>
        </w:rPr>
        <w:t>规范</w:t>
      </w:r>
      <w:r>
        <w:t xml:space="preserve"> </w:t>
      </w:r>
      <w:r>
        <w:t>GB 50346-2012 实验室建筑技术</w:t>
      </w:r>
      <w:r>
        <w:rPr>
          <w:spacing w:val="-1"/>
        </w:rPr>
        <w:t>规范</w:t>
      </w:r>
    </w:p>
    <w:p>
      <w:pPr>
        <w:pStyle w:val="BodyText"/>
        <w:spacing w:before="31" w:line="221" w:lineRule="auto"/>
        <w:ind w:left="440"/>
      </w:pPr>
      <w:r>
        <w:t>GB 50351-2005 储罐区防火堤设计</w:t>
      </w:r>
      <w:r>
        <w:rPr>
          <w:spacing w:val="-1"/>
        </w:rPr>
        <w:t>规范</w:t>
      </w:r>
    </w:p>
    <w:p>
      <w:pPr>
        <w:pStyle w:val="BodyText"/>
        <w:spacing w:before="61" w:line="221" w:lineRule="auto"/>
        <w:ind w:left="436"/>
      </w:pPr>
      <w:r>
        <w:t>AQ 3013-2008 危险化学品从业单位安全标准化通用规范</w:t>
      </w:r>
    </w:p>
    <w:p>
      <w:pPr>
        <w:pStyle w:val="BodyText"/>
        <w:spacing w:before="61" w:line="265" w:lineRule="auto"/>
        <w:ind w:left="436" w:right="4342" w:firstLine="4"/>
      </w:pPr>
      <w:r>
        <w:t>CNAS-CL05-2009 实验室生物安全</w:t>
      </w:r>
      <w:r>
        <w:rPr>
          <w:spacing w:val="-1"/>
        </w:rPr>
        <w:t>认可准则</w:t>
      </w:r>
      <w:r>
        <w:t xml:space="preserve"> </w:t>
      </w:r>
      <w:r>
        <w:rPr>
          <w:spacing w:val="-1"/>
        </w:rPr>
        <w:t>MH/T 1019-2005</w:t>
      </w:r>
      <w:r>
        <w:rPr>
          <w:spacing w:val="27"/>
        </w:rPr>
        <w:t xml:space="preserve"> </w:t>
      </w:r>
      <w:r>
        <w:rPr>
          <w:spacing w:val="-1"/>
        </w:rPr>
        <w:t>民用航空危险品运输</w:t>
      </w:r>
      <w:r>
        <w:rPr>
          <w:spacing w:val="-2"/>
        </w:rPr>
        <w:t>文件</w:t>
      </w:r>
      <w:r>
        <w:t xml:space="preserve"> </w:t>
      </w:r>
      <w:r>
        <w:t>WS/T 224-2002 真空采血管及其添加剂</w:t>
      </w:r>
    </w:p>
    <w:p>
      <w:pPr>
        <w:pStyle w:val="BodyText"/>
        <w:spacing w:before="32" w:line="221" w:lineRule="auto"/>
        <w:ind w:left="436"/>
      </w:pPr>
      <w:bookmarkStart w:id="16" w:name="bookmark8"/>
      <w:bookmarkEnd w:id="16"/>
      <w:r>
        <w:t>WHO Third Edition 实验室生物安全手册</w:t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69" w:line="221" w:lineRule="auto"/>
        <w:ind w:left="2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术语和定义</w:t>
      </w:r>
    </w:p>
    <w:p>
      <w:pPr>
        <w:spacing w:line="221" w:lineRule="auto"/>
        <w:rPr>
          <w:rFonts w:ascii="SimHei" w:eastAsia="SimHei" w:hAnsi="SimHei" w:cs="SimHei"/>
          <w:sz w:val="21"/>
          <w:szCs w:val="21"/>
        </w:rPr>
        <w:sectPr>
          <w:headerReference w:type="default" r:id="rId10"/>
          <w:footerReference w:type="default" r:id="rId11"/>
          <w:type w:val="nextPage"/>
          <w:pgSz w:w="11907" w:h="16839"/>
          <w:pgMar w:top="1090" w:right="1454" w:bottom="1147" w:left="1785" w:header="860" w:footer="956" w:gutter="0"/>
          <w:pgNumType w:start="4"/>
          <w:cols w:space="708"/>
          <w:titlePg w:val="0"/>
        </w:sectPr>
      </w:pP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68" w:line="382" w:lineRule="auto"/>
        <w:ind w:left="22" w:right="3955" w:firstLine="426"/>
        <w:rPr>
          <w:rFonts w:ascii="SimHei" w:eastAsia="SimHei" w:hAnsi="SimHei" w:cs="SimHei"/>
        </w:rPr>
      </w:pPr>
      <w:r>
        <w:rPr>
          <w:spacing w:val="-4"/>
        </w:rPr>
        <w:t>下列术语和定义适用于本指导性技术文件：</w:t>
      </w:r>
      <w:r>
        <w:rPr>
          <w:spacing w:val="15"/>
        </w:rPr>
        <w:t xml:space="preserve"> </w:t>
      </w:r>
      <w:r>
        <w:rPr>
          <w:rFonts w:ascii="SimHei" w:eastAsia="SimHei" w:hAnsi="SimHei" w:cs="SimHei"/>
          <w:spacing w:val="-2"/>
        </w:rPr>
        <w:t>3.1</w:t>
      </w:r>
    </w:p>
    <w:p>
      <w:pPr>
        <w:spacing w:before="66" w:line="221" w:lineRule="auto"/>
        <w:ind w:left="44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干细胞库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stem</w:t>
      </w:r>
      <w:r>
        <w:rPr>
          <w:rFonts w:ascii="SimHei" w:eastAsia="SimHei" w:hAnsi="SimHei" w:cs="SimHei"/>
          <w:spacing w:val="1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cell</w:t>
      </w:r>
      <w:r>
        <w:rPr>
          <w:rFonts w:ascii="SimHei" w:eastAsia="SimHei" w:hAnsi="SimHei" w:cs="SimHei"/>
          <w:spacing w:val="8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bank</w:t>
      </w:r>
    </w:p>
    <w:p>
      <w:pPr>
        <w:pStyle w:val="BodyText"/>
        <w:spacing w:before="216" w:line="382" w:lineRule="auto"/>
        <w:ind w:left="22" w:right="4356" w:firstLine="421"/>
        <w:rPr>
          <w:rFonts w:ascii="SimHei" w:eastAsia="SimHei" w:hAnsi="SimHei" w:cs="SimHei"/>
        </w:rPr>
      </w:pPr>
      <w:r>
        <w:rPr>
          <w:spacing w:val="-3"/>
        </w:rPr>
        <w:t>用于储存不同来源干细胞的专门机构。</w:t>
      </w:r>
      <w:r>
        <w:rPr>
          <w:spacing w:val="13"/>
        </w:rPr>
        <w:t xml:space="preserve"> </w:t>
      </w:r>
      <w:r>
        <w:rPr>
          <w:rFonts w:ascii="SimHei" w:eastAsia="SimHei" w:hAnsi="SimHei" w:cs="SimHei"/>
          <w:spacing w:val="-2"/>
        </w:rPr>
        <w:t>3.2</w:t>
      </w:r>
    </w:p>
    <w:p>
      <w:pPr>
        <w:spacing w:before="66" w:line="216" w:lineRule="auto"/>
        <w:ind w:left="44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样本</w:t>
      </w:r>
      <w:r>
        <w:rPr>
          <w:rFonts w:ascii="SimHei" w:eastAsia="SimHei" w:hAnsi="SimHei" w:cs="SimHei"/>
          <w:spacing w:val="1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specimen</w:t>
      </w:r>
    </w:p>
    <w:p>
      <w:pPr>
        <w:pStyle w:val="BodyText"/>
        <w:spacing w:before="223" w:line="382" w:lineRule="auto"/>
        <w:ind w:left="22" w:right="2464" w:firstLine="419"/>
        <w:rPr>
          <w:rFonts w:ascii="SimHei" w:eastAsia="SimHei" w:hAnsi="SimHei" w:cs="SimHei"/>
        </w:rPr>
      </w:pPr>
      <w:r>
        <w:rPr>
          <w:spacing w:val="-1"/>
        </w:rPr>
        <w:t>在特定时间从受试者或捐献者中采集的器官</w:t>
      </w:r>
      <w:r>
        <w:rPr>
          <w:spacing w:val="-2"/>
        </w:rPr>
        <w:t>、组织等标本。</w:t>
      </w:r>
      <w:r>
        <w:t xml:space="preserve"> </w:t>
      </w:r>
      <w:r>
        <w:rPr>
          <w:rFonts w:ascii="SimHei" w:eastAsia="SimHei" w:hAnsi="SimHei" w:cs="SimHei"/>
          <w:spacing w:val="-2"/>
        </w:rPr>
        <w:t>3.3</w:t>
      </w:r>
    </w:p>
    <w:p>
      <w:pPr>
        <w:spacing w:before="67" w:line="216" w:lineRule="auto"/>
        <w:ind w:left="44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接收区</w:t>
      </w:r>
      <w:r>
        <w:rPr>
          <w:rFonts w:ascii="SimHei" w:eastAsia="SimHei" w:hAnsi="SimHei" w:cs="SimHei"/>
          <w:spacing w:val="29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receiving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zone</w:t>
      </w:r>
    </w:p>
    <w:p>
      <w:pPr>
        <w:pStyle w:val="BodyText"/>
        <w:spacing w:before="223" w:line="382" w:lineRule="auto"/>
        <w:ind w:left="22" w:right="573" w:firstLine="419"/>
        <w:rPr>
          <w:rFonts w:ascii="SimHei" w:eastAsia="SimHei" w:hAnsi="SimHei" w:cs="SimHei"/>
        </w:rPr>
      </w:pPr>
      <w:r>
        <w:rPr>
          <w:spacing w:val="-1"/>
        </w:rPr>
        <w:t>样本到达时用于初步检查、清点接收或样本转移前进行包装、清点的缓冲区域。</w:t>
      </w:r>
      <w:r>
        <w:rPr>
          <w:spacing w:val="3"/>
        </w:rPr>
        <w:t xml:space="preserve"> </w:t>
      </w:r>
      <w:r>
        <w:rPr>
          <w:rFonts w:ascii="SimHei" w:eastAsia="SimHei" w:hAnsi="SimHei" w:cs="SimHei"/>
          <w:spacing w:val="-2"/>
        </w:rPr>
        <w:t>3.4</w:t>
      </w:r>
    </w:p>
    <w:p>
      <w:pPr>
        <w:spacing w:before="67" w:line="216" w:lineRule="auto"/>
        <w:ind w:left="44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冷藏区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refrigerated</w:t>
      </w:r>
      <w:r>
        <w:rPr>
          <w:rFonts w:ascii="SimHei" w:eastAsia="SimHei" w:hAnsi="SimHei" w:cs="SimHei"/>
          <w:spacing w:val="1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storag</w:t>
      </w:r>
      <w:r>
        <w:rPr>
          <w:rFonts w:ascii="SimHei" w:eastAsia="SimHei" w:hAnsi="SimHei" w:cs="SimHei"/>
          <w:spacing w:val="-2"/>
          <w:sz w:val="21"/>
          <w:szCs w:val="21"/>
        </w:rPr>
        <w:t>e</w:t>
      </w:r>
      <w:r>
        <w:rPr>
          <w:rFonts w:ascii="SimHei" w:eastAsia="SimHei" w:hAnsi="SimHei" w:cs="SimHei"/>
          <w:spacing w:val="1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zone</w:t>
      </w:r>
    </w:p>
    <w:p>
      <w:pPr>
        <w:pStyle w:val="BodyText"/>
        <w:spacing w:before="221" w:line="383" w:lineRule="auto"/>
        <w:ind w:left="22" w:right="366" w:firstLine="422"/>
        <w:rPr>
          <w:rFonts w:ascii="SimHei" w:eastAsia="SimHei" w:hAnsi="SimHei" w:cs="SimHei"/>
        </w:rPr>
      </w:pPr>
      <w:r>
        <w:rPr>
          <w:spacing w:val="5"/>
        </w:rPr>
        <w:t>为样本提供冷藏储存环境（2</w:t>
      </w:r>
      <w:r>
        <w:rPr>
          <w:spacing w:val="-28"/>
        </w:rPr>
        <w:t xml:space="preserve"> </w:t>
      </w:r>
      <w:r>
        <w:rPr>
          <w:spacing w:val="5"/>
        </w:rPr>
        <w:t>℃~8</w:t>
      </w:r>
      <w:r>
        <w:rPr>
          <w:spacing w:val="-31"/>
        </w:rPr>
        <w:t xml:space="preserve"> </w:t>
      </w:r>
      <w:r>
        <w:rPr>
          <w:spacing w:val="5"/>
        </w:rPr>
        <w:t>℃) 或冷藏设备（温度为2</w:t>
      </w:r>
      <w:r>
        <w:rPr>
          <w:spacing w:val="-31"/>
        </w:rPr>
        <w:t xml:space="preserve"> </w:t>
      </w:r>
      <w:r>
        <w:rPr>
          <w:spacing w:val="5"/>
        </w:rPr>
        <w:t>℃~8</w:t>
      </w:r>
      <w:r>
        <w:rPr>
          <w:spacing w:val="-28"/>
        </w:rPr>
        <w:t xml:space="preserve"> </w:t>
      </w:r>
      <w:r>
        <w:rPr>
          <w:spacing w:val="4"/>
        </w:rPr>
        <w:t>℃)的区域。</w:t>
      </w:r>
      <w:r>
        <w:t xml:space="preserve"> </w:t>
      </w:r>
      <w:r>
        <w:rPr>
          <w:rFonts w:ascii="SimHei" w:eastAsia="SimHei" w:hAnsi="SimHei" w:cs="SimHei"/>
          <w:spacing w:val="-2"/>
        </w:rPr>
        <w:t>3.5</w:t>
      </w:r>
    </w:p>
    <w:p>
      <w:pPr>
        <w:spacing w:before="66" w:line="216" w:lineRule="auto"/>
        <w:ind w:left="44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冷冻区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frozen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storage</w:t>
      </w:r>
      <w:r>
        <w:rPr>
          <w:rFonts w:ascii="SimHei" w:eastAsia="SimHei" w:hAnsi="SimHei" w:cs="SimHei"/>
          <w:spacing w:val="1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zone</w:t>
      </w:r>
    </w:p>
    <w:p>
      <w:pPr>
        <w:pStyle w:val="BodyText"/>
        <w:spacing w:before="223" w:line="265" w:lineRule="auto"/>
        <w:ind w:left="21" w:right="9" w:firstLine="423"/>
        <w:jc w:val="both"/>
      </w:pPr>
      <w:r>
        <w:rPr>
          <w:spacing w:val="3"/>
        </w:rPr>
        <w:t>为样本提供0</w:t>
      </w:r>
      <w:r>
        <w:rPr>
          <w:spacing w:val="-11"/>
        </w:rPr>
        <w:t xml:space="preserve"> </w:t>
      </w:r>
      <w:r>
        <w:rPr>
          <w:spacing w:val="3"/>
        </w:rPr>
        <w:t>℃以下储存环境或设备的区域。根据低温程度的不同，可分为普通低温</w:t>
      </w:r>
      <w:r>
        <w:t xml:space="preserve"> </w:t>
      </w:r>
      <w:r>
        <w:rPr>
          <w:spacing w:val="-5"/>
        </w:rPr>
        <w:t>冷冻储存区（</w:t>
      </w:r>
      <w:r>
        <w:rPr>
          <w:spacing w:val="-33"/>
        </w:rPr>
        <w:t xml:space="preserve"> </w:t>
      </w:r>
      <w:r>
        <w:rPr>
          <w:spacing w:val="-5"/>
        </w:rPr>
        <w:t>–4℃低温设备区）、超低温冷冻储存区（</w:t>
      </w:r>
      <w:r>
        <w:rPr>
          <w:spacing w:val="-40"/>
        </w:rPr>
        <w:t xml:space="preserve"> </w:t>
      </w:r>
      <w:r>
        <w:rPr>
          <w:spacing w:val="-5"/>
        </w:rPr>
        <w:t>–86</w:t>
      </w:r>
      <w:r>
        <w:rPr>
          <w:spacing w:val="-31"/>
        </w:rPr>
        <w:t xml:space="preserve"> </w:t>
      </w:r>
      <w:r>
        <w:rPr>
          <w:spacing w:val="-5"/>
        </w:rPr>
        <w:t>℃低温设备区）、深低温冷冻</w:t>
      </w:r>
      <w:r>
        <w:t xml:space="preserve"> </w:t>
      </w:r>
      <w:r>
        <w:rPr>
          <w:spacing w:val="-7"/>
        </w:rPr>
        <w:t>储存区（</w:t>
      </w:r>
      <w:r>
        <w:rPr>
          <w:spacing w:val="-27"/>
        </w:rPr>
        <w:t xml:space="preserve"> </w:t>
      </w:r>
      <w:r>
        <w:rPr>
          <w:spacing w:val="-7"/>
        </w:rPr>
        <w:t>–</w:t>
      </w:r>
      <w:r>
        <w:rPr>
          <w:spacing w:val="-84"/>
        </w:rPr>
        <w:t xml:space="preserve"> </w:t>
      </w:r>
      <w:r>
        <w:rPr>
          <w:spacing w:val="-7"/>
        </w:rPr>
        <w:t>135</w:t>
      </w:r>
      <w:r>
        <w:rPr>
          <w:spacing w:val="-30"/>
        </w:rPr>
        <w:t xml:space="preserve"> </w:t>
      </w:r>
      <w:r>
        <w:rPr>
          <w:spacing w:val="-7"/>
        </w:rPr>
        <w:t>℃以下低温设备区）。</w:t>
      </w:r>
    </w:p>
    <w:p>
      <w:pPr>
        <w:spacing w:before="220" w:line="184" w:lineRule="auto"/>
        <w:ind w:left="2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3.6</w:t>
      </w:r>
    </w:p>
    <w:p>
      <w:pPr>
        <w:spacing w:before="226" w:line="216" w:lineRule="auto"/>
        <w:ind w:left="44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细胞制备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cell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preparation</w:t>
      </w:r>
    </w:p>
    <w:p>
      <w:pPr>
        <w:pStyle w:val="BodyText"/>
        <w:spacing w:before="222" w:line="382" w:lineRule="auto"/>
        <w:ind w:left="22" w:right="3095" w:firstLine="420"/>
        <w:rPr>
          <w:rFonts w:ascii="SimHei" w:eastAsia="SimHei" w:hAnsi="SimHei" w:cs="SimHei"/>
        </w:rPr>
      </w:pPr>
      <w:r>
        <w:rPr>
          <w:spacing w:val="-2"/>
        </w:rPr>
        <w:t>细胞样本经过一系列规范处理达到入库标准的过程。</w:t>
      </w:r>
      <w:r>
        <w:rPr>
          <w:spacing w:val="9"/>
        </w:rPr>
        <w:t xml:space="preserve"> </w:t>
      </w:r>
      <w:r>
        <w:rPr>
          <w:rFonts w:ascii="SimHei" w:eastAsia="SimHei" w:hAnsi="SimHei" w:cs="SimHei"/>
          <w:spacing w:val="-2"/>
        </w:rPr>
        <w:t>3.7</w:t>
      </w:r>
    </w:p>
    <w:p>
      <w:pPr>
        <w:spacing w:before="67" w:line="216" w:lineRule="auto"/>
        <w:ind w:left="44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质量控制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quality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control</w:t>
      </w:r>
    </w:p>
    <w:p>
      <w:pPr>
        <w:pStyle w:val="BodyText"/>
        <w:spacing w:before="222" w:line="382" w:lineRule="auto"/>
        <w:ind w:left="22" w:right="3516" w:firstLine="422"/>
        <w:rPr>
          <w:rFonts w:ascii="SimHei" w:eastAsia="SimHei" w:hAnsi="SimHei" w:cs="SimHei"/>
        </w:rPr>
      </w:pPr>
      <w:r>
        <w:rPr>
          <w:spacing w:val="-2"/>
        </w:rPr>
        <w:t>为达到入库质量要求所采取的操作技术和活动。</w:t>
      </w:r>
      <w:r>
        <w:rPr>
          <w:spacing w:val="3"/>
        </w:rPr>
        <w:t xml:space="preserve"> </w:t>
      </w:r>
      <w:r>
        <w:rPr>
          <w:rFonts w:ascii="SimHei" w:eastAsia="SimHei" w:hAnsi="SimHei" w:cs="SimHei"/>
          <w:spacing w:val="-2"/>
        </w:rPr>
        <w:t>3.8</w:t>
      </w:r>
    </w:p>
    <w:p>
      <w:pPr>
        <w:spacing w:before="67" w:line="216" w:lineRule="auto"/>
        <w:ind w:left="44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样本编码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sample</w:t>
      </w:r>
      <w:r>
        <w:rPr>
          <w:rFonts w:ascii="SimHei" w:eastAsia="SimHei" w:hAnsi="SimHei" w:cs="SimHei"/>
          <w:spacing w:val="1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coding</w:t>
      </w:r>
    </w:p>
    <w:p>
      <w:pPr>
        <w:pStyle w:val="BodyText"/>
        <w:spacing w:before="223" w:line="382" w:lineRule="auto"/>
        <w:ind w:left="22" w:right="4355" w:firstLine="419"/>
        <w:rPr>
          <w:rFonts w:ascii="SimHei" w:eastAsia="SimHei" w:hAnsi="SimHei" w:cs="SimHei"/>
        </w:rPr>
        <w:sectPr>
          <w:headerReference w:type="default" r:id="rId12"/>
          <w:footerReference w:type="default" r:id="rId13"/>
          <w:pgSz w:w="11907" w:h="16839"/>
          <w:pgMar w:top="1090" w:right="1785" w:bottom="1375" w:left="1785" w:header="860" w:footer="1212" w:gutter="0"/>
          <w:pgNumType w:start="5"/>
          <w:cols w:space="708"/>
        </w:sectPr>
      </w:pPr>
      <w:r>
        <w:rPr>
          <w:spacing w:val="-3"/>
        </w:rPr>
        <w:t>根据编码规则对样本进行编号的过程。</w:t>
      </w:r>
      <w:r>
        <w:rPr>
          <w:spacing w:val="15"/>
        </w:rPr>
        <w:t xml:space="preserve"> </w:t>
      </w:r>
      <w:r>
        <w:rPr>
          <w:rFonts w:ascii="SimHei" w:eastAsia="SimHei" w:hAnsi="SimHei" w:cs="SimHei"/>
          <w:spacing w:val="-2"/>
        </w:rPr>
        <w:t>3.9</w:t>
      </w:r>
    </w:p>
    <w:p>
      <w:pPr>
        <w:spacing w:before="66" w:line="221" w:lineRule="auto"/>
        <w:ind w:left="44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细胞分离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cell</w:t>
      </w:r>
      <w:r>
        <w:rPr>
          <w:rFonts w:ascii="SimHei" w:eastAsia="SimHei" w:hAnsi="SimHei" w:cs="SimHei"/>
          <w:spacing w:val="46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isolation</w:t>
      </w:r>
    </w:p>
    <w:p>
      <w:pPr>
        <w:pStyle w:val="BodyText"/>
        <w:spacing w:before="217" w:line="220" w:lineRule="auto"/>
        <w:ind w:left="445"/>
      </w:pPr>
      <w:r>
        <w:rPr>
          <w:spacing w:val="-2"/>
        </w:rPr>
        <w:t>从机体组织或器官中分离出单个细胞的过程。</w:t>
      </w:r>
    </w:p>
    <w:p>
      <w:pPr>
        <w:spacing w:line="220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https://d.book118.com/787004005045006043</w:t>
        </w:r>
      </w:hyperlink>
    </w:p>
    <w:p>
      <w:pPr>
        <w:spacing w:line="220" w:lineRule="auto"/>
      </w:pPr>
    </w:p>
    <w:sectPr>
      <w:headerReference w:type="default" r:id="rId15"/>
      <w:footerReference w:type="default" r:id="rId16"/>
      <w:type w:val="nextPage"/>
      <w:pgSz w:w="11907" w:h="16839"/>
      <w:pgMar w:top="1090" w:right="1785" w:bottom="1375" w:left="1785" w:header="860" w:footer="1212" w:gutter="0"/>
      <w:pgNumType w:start="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7" w:lineRule="auto"/>
      <w:ind w:left="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4"/>
        <w:sz w:val="18"/>
        <w:szCs w:val="18"/>
      </w:rPr>
      <w:t>II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left="55"/>
      <w:rPr>
        <w:rFonts w:ascii="Calibri" w:eastAsia="Calibri" w:hAnsi="Calibri" w:cs="Calibri"/>
        <w:sz w:val="21"/>
        <w:szCs w:val="21"/>
      </w:rPr>
    </w:pPr>
    <w:r>
      <w:rPr>
        <w:rFonts w:ascii="Calibri" w:eastAsia="Calibri" w:hAnsi="Calibri" w:cs="Calibri"/>
        <w:spacing w:val="-4"/>
        <w:sz w:val="21"/>
        <w:szCs w:val="21"/>
      </w:rPr>
      <w:t>III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8234"/>
      <w:rPr>
        <w:rFonts w:ascii="Calibri" w:eastAsia="Calibri" w:hAnsi="Calibri" w:cs="Calibri"/>
        <w:sz w:val="21"/>
        <w:szCs w:val="21"/>
      </w:rPr>
    </w:pPr>
    <w:r>
      <w:rPr>
        <w:rFonts w:ascii="Calibri" w:eastAsia="Calibri" w:hAnsi="Calibri" w:cs="Calibri"/>
        <w:sz w:val="21"/>
        <w:szCs w:val="21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8234"/>
      <w:rPr>
        <w:rFonts w:ascii="Calibri" w:eastAsia="Calibri" w:hAnsi="Calibri" w:cs="Calibri"/>
        <w:sz w:val="21"/>
        <w:szCs w:val="21"/>
      </w:rPr>
    </w:pPr>
    <w:r>
      <w:rPr>
        <w:rFonts w:ascii="Calibri" w:eastAsia="Calibri" w:hAnsi="Calibri" w:cs="Calibri"/>
        <w:sz w:val="21"/>
        <w:szCs w:val="21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24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24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177" w:lineRule="auto"/>
      <w:ind w:left="211"/>
      <w:rPr>
        <w:rFonts w:ascii="SimHei" w:eastAsia="SimHei" w:hAnsi="SimHei" w:cs="SimHei"/>
        <w:sz w:val="21"/>
        <w:szCs w:val="21"/>
      </w:rPr>
    </w:pPr>
    <w:r>
      <w:rPr>
        <w:rFonts w:ascii="SimHei" w:eastAsia="SimHei" w:hAnsi="SimHei" w:cs="SimHei"/>
        <w:spacing w:val="-2"/>
        <w:sz w:val="21"/>
        <w:szCs w:val="21"/>
      </w:rPr>
      <w:t>SZDB/Z</w:t>
    </w:r>
    <w:r>
      <w:rPr>
        <w:rFonts w:ascii="SimHei" w:eastAsia="SimHei" w:hAnsi="SimHei" w:cs="SimHei"/>
        <w:spacing w:val="22"/>
        <w:sz w:val="21"/>
        <w:szCs w:val="21"/>
      </w:rPr>
      <w:t xml:space="preserve"> </w:t>
    </w:r>
    <w:r>
      <w:rPr>
        <w:rFonts w:ascii="SimHei" w:eastAsia="SimHei" w:hAnsi="SimHei" w:cs="SimHei"/>
        <w:spacing w:val="-2"/>
        <w:sz w:val="21"/>
        <w:szCs w:val="21"/>
      </w:rPr>
      <w:t>126</w:t>
    </w:r>
    <w:r>
      <w:rPr>
        <w:rFonts w:ascii="Times New Roman" w:eastAsia="Times New Roman" w:hAnsi="Times New Roman" w:cs="Times New Roman"/>
        <w:spacing w:val="-2"/>
        <w:sz w:val="21"/>
        <w:szCs w:val="21"/>
      </w:rPr>
      <w:t>—</w:t>
    </w:r>
    <w:r>
      <w:rPr>
        <w:rFonts w:ascii="SimHei" w:eastAsia="SimHei" w:hAnsi="SimHei" w:cs="SimHei"/>
        <w:spacing w:val="-2"/>
        <w:sz w:val="21"/>
        <w:szCs w:val="21"/>
      </w:rPr>
      <w:t>2015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177" w:lineRule="auto"/>
      <w:jc w:val="right"/>
      <w:rPr>
        <w:rFonts w:ascii="SimHei" w:eastAsia="SimHei" w:hAnsi="SimHei" w:cs="SimHei"/>
        <w:sz w:val="21"/>
        <w:szCs w:val="21"/>
      </w:rPr>
    </w:pPr>
    <w:r>
      <w:rPr>
        <w:rFonts w:ascii="SimHei" w:eastAsia="SimHei" w:hAnsi="SimHei" w:cs="SimHei"/>
        <w:spacing w:val="-2"/>
        <w:sz w:val="21"/>
        <w:szCs w:val="21"/>
      </w:rPr>
      <w:t>SZDB/Z</w:t>
    </w:r>
    <w:r>
      <w:rPr>
        <w:rFonts w:ascii="SimHei" w:eastAsia="SimHei" w:hAnsi="SimHei" w:cs="SimHei"/>
        <w:spacing w:val="19"/>
        <w:sz w:val="21"/>
        <w:szCs w:val="21"/>
      </w:rPr>
      <w:t xml:space="preserve"> </w:t>
    </w:r>
    <w:r>
      <w:rPr>
        <w:rFonts w:ascii="SimHei" w:eastAsia="SimHei" w:hAnsi="SimHei" w:cs="SimHei"/>
        <w:spacing w:val="-2"/>
        <w:sz w:val="21"/>
        <w:szCs w:val="21"/>
      </w:rPr>
      <w:t>126</w:t>
    </w:r>
    <w:r>
      <w:rPr>
        <w:rFonts w:ascii="Times New Roman" w:eastAsia="Times New Roman" w:hAnsi="Times New Roman" w:cs="Times New Roman"/>
        <w:spacing w:val="-2"/>
        <w:sz w:val="21"/>
        <w:szCs w:val="21"/>
      </w:rPr>
      <w:t>—</w:t>
    </w:r>
    <w:r>
      <w:rPr>
        <w:rFonts w:ascii="SimHei" w:eastAsia="SimHei" w:hAnsi="SimHei" w:cs="SimHei"/>
        <w:spacing w:val="-2"/>
        <w:sz w:val="21"/>
        <w:szCs w:val="21"/>
      </w:rPr>
      <w:t>2015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177" w:lineRule="auto"/>
      <w:jc w:val="right"/>
      <w:rPr>
        <w:rFonts w:ascii="SimHei" w:eastAsia="SimHei" w:hAnsi="SimHei" w:cs="SimHei"/>
        <w:sz w:val="21"/>
        <w:szCs w:val="21"/>
      </w:rPr>
    </w:pPr>
    <w:r>
      <w:rPr>
        <w:rFonts w:ascii="SimHei" w:eastAsia="SimHei" w:hAnsi="SimHei" w:cs="SimHei"/>
        <w:spacing w:val="-2"/>
        <w:sz w:val="21"/>
        <w:szCs w:val="21"/>
      </w:rPr>
      <w:t>SZDB/Z</w:t>
    </w:r>
    <w:r>
      <w:rPr>
        <w:rFonts w:ascii="SimHei" w:eastAsia="SimHei" w:hAnsi="SimHei" w:cs="SimHei"/>
        <w:spacing w:val="20"/>
        <w:sz w:val="21"/>
        <w:szCs w:val="21"/>
      </w:rPr>
      <w:t xml:space="preserve"> </w:t>
    </w:r>
    <w:r>
      <w:rPr>
        <w:rFonts w:ascii="SimHei" w:eastAsia="SimHei" w:hAnsi="SimHei" w:cs="SimHei"/>
        <w:spacing w:val="-2"/>
        <w:sz w:val="21"/>
        <w:szCs w:val="21"/>
      </w:rPr>
      <w:t>126</w:t>
    </w:r>
    <w:r>
      <w:rPr>
        <w:rFonts w:ascii="Times New Roman" w:eastAsia="Times New Roman" w:hAnsi="Times New Roman" w:cs="Times New Roman"/>
        <w:spacing w:val="-2"/>
        <w:sz w:val="21"/>
        <w:szCs w:val="21"/>
      </w:rPr>
      <w:t>—</w:t>
    </w:r>
    <w:r>
      <w:rPr>
        <w:rFonts w:ascii="SimHei" w:eastAsia="SimHei" w:hAnsi="SimHei" w:cs="SimHei"/>
        <w:spacing w:val="-2"/>
        <w:sz w:val="21"/>
        <w:szCs w:val="21"/>
      </w:rPr>
      <w:t>2015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177" w:lineRule="auto"/>
      <w:jc w:val="right"/>
      <w:rPr>
        <w:rFonts w:ascii="SimHei" w:eastAsia="SimHei" w:hAnsi="SimHei" w:cs="SimHei"/>
        <w:sz w:val="21"/>
        <w:szCs w:val="21"/>
      </w:rPr>
    </w:pPr>
    <w:r>
      <w:rPr>
        <w:rFonts w:ascii="SimHei" w:eastAsia="SimHei" w:hAnsi="SimHei" w:cs="SimHei"/>
        <w:spacing w:val="-2"/>
        <w:sz w:val="21"/>
        <w:szCs w:val="21"/>
      </w:rPr>
      <w:t>SZDB/Z</w:t>
    </w:r>
    <w:r>
      <w:rPr>
        <w:rFonts w:ascii="SimHei" w:eastAsia="SimHei" w:hAnsi="SimHei" w:cs="SimHei"/>
        <w:spacing w:val="20"/>
        <w:sz w:val="21"/>
        <w:szCs w:val="21"/>
      </w:rPr>
      <w:t xml:space="preserve"> </w:t>
    </w:r>
    <w:r>
      <w:rPr>
        <w:rFonts w:ascii="SimHei" w:eastAsia="SimHei" w:hAnsi="SimHei" w:cs="SimHei"/>
        <w:spacing w:val="-2"/>
        <w:sz w:val="21"/>
        <w:szCs w:val="21"/>
      </w:rPr>
      <w:t>126</w:t>
    </w:r>
    <w:r>
      <w:rPr>
        <w:rFonts w:ascii="Times New Roman" w:eastAsia="Times New Roman" w:hAnsi="Times New Roman" w:cs="Times New Roman"/>
        <w:spacing w:val="-2"/>
        <w:sz w:val="21"/>
        <w:szCs w:val="21"/>
      </w:rPr>
      <w:t>—</w:t>
    </w:r>
    <w:r>
      <w:rPr>
        <w:rFonts w:ascii="SimHei" w:eastAsia="SimHei" w:hAnsi="SimHei" w:cs="SimHei"/>
        <w:spacing w:val="-2"/>
        <w:sz w:val="21"/>
        <w:szCs w:val="21"/>
      </w:rPr>
      <w:t>2015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177" w:lineRule="auto"/>
      <w:ind w:left="233"/>
      <w:rPr>
        <w:rFonts w:ascii="SimHei" w:eastAsia="SimHei" w:hAnsi="SimHei" w:cs="SimHei"/>
        <w:sz w:val="21"/>
        <w:szCs w:val="21"/>
      </w:rPr>
    </w:pPr>
    <w:r>
      <w:rPr>
        <w:rFonts w:ascii="SimHei" w:eastAsia="SimHei" w:hAnsi="SimHei" w:cs="SimHei"/>
        <w:spacing w:val="-2"/>
        <w:sz w:val="21"/>
        <w:szCs w:val="21"/>
      </w:rPr>
      <w:t>SZDB/Z</w:t>
    </w:r>
    <w:r>
      <w:rPr>
        <w:rFonts w:ascii="SimHei" w:eastAsia="SimHei" w:hAnsi="SimHei" w:cs="SimHei"/>
        <w:spacing w:val="22"/>
        <w:sz w:val="21"/>
        <w:szCs w:val="21"/>
      </w:rPr>
      <w:t xml:space="preserve"> </w:t>
    </w:r>
    <w:r>
      <w:rPr>
        <w:rFonts w:ascii="SimHei" w:eastAsia="SimHei" w:hAnsi="SimHei" w:cs="SimHei"/>
        <w:spacing w:val="-2"/>
        <w:sz w:val="21"/>
        <w:szCs w:val="21"/>
      </w:rPr>
      <w:t>126</w:t>
    </w:r>
    <w:r>
      <w:rPr>
        <w:rFonts w:ascii="Times New Roman" w:eastAsia="Times New Roman" w:hAnsi="Times New Roman" w:cs="Times New Roman"/>
        <w:spacing w:val="-2"/>
        <w:sz w:val="21"/>
        <w:szCs w:val="21"/>
      </w:rPr>
      <w:t>—</w:t>
    </w:r>
    <w:r>
      <w:rPr>
        <w:rFonts w:ascii="SimHei" w:eastAsia="SimHei" w:hAnsi="SimHei" w:cs="SimHei"/>
        <w:spacing w:val="-2"/>
        <w:sz w:val="21"/>
        <w:szCs w:val="21"/>
      </w:rPr>
      <w:t>2015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177" w:lineRule="auto"/>
      <w:ind w:left="233"/>
      <w:rPr>
        <w:rFonts w:ascii="SimHei" w:eastAsia="SimHei" w:hAnsi="SimHei" w:cs="SimHei"/>
        <w:sz w:val="21"/>
        <w:szCs w:val="21"/>
      </w:rPr>
    </w:pPr>
    <w:r>
      <w:rPr>
        <w:rFonts w:ascii="SimHei" w:eastAsia="SimHei" w:hAnsi="SimHei" w:cs="SimHei"/>
        <w:spacing w:val="-2"/>
        <w:sz w:val="21"/>
        <w:szCs w:val="21"/>
      </w:rPr>
      <w:t>SZDB/Z</w:t>
    </w:r>
    <w:r>
      <w:rPr>
        <w:rFonts w:ascii="SimHei" w:eastAsia="SimHei" w:hAnsi="SimHei" w:cs="SimHei"/>
        <w:spacing w:val="22"/>
        <w:sz w:val="21"/>
        <w:szCs w:val="21"/>
      </w:rPr>
      <w:t xml:space="preserve"> </w:t>
    </w:r>
    <w:r>
      <w:rPr>
        <w:rFonts w:ascii="SimHei" w:eastAsia="SimHei" w:hAnsi="SimHei" w:cs="SimHei"/>
        <w:spacing w:val="-2"/>
        <w:sz w:val="21"/>
        <w:szCs w:val="21"/>
      </w:rPr>
      <w:t>126</w:t>
    </w:r>
    <w:r>
      <w:rPr>
        <w:rFonts w:ascii="Times New Roman" w:eastAsia="Times New Roman" w:hAnsi="Times New Roman" w:cs="Times New Roman"/>
        <w:spacing w:val="-2"/>
        <w:sz w:val="21"/>
        <w:szCs w:val="21"/>
      </w:rPr>
      <w:t>—</w:t>
    </w:r>
    <w:r>
      <w:rPr>
        <w:rFonts w:ascii="SimHei" w:eastAsia="SimHei" w:hAnsi="SimHei" w:cs="SimHei"/>
        <w:spacing w:val="-2"/>
        <w:sz w:val="21"/>
        <w:szCs w:val="21"/>
      </w:rPr>
      <w:t>2015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9"/>
      <w:szCs w:val="1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yperlink" Target="https://d.book118.com/787004005045006043" TargetMode="Externa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徐海英</dc:creator>
  <cp:revision>0</cp:revision>
  <dcterms:created xsi:type="dcterms:W3CDTF">2024-02-21T22:35:49Z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2024-02-21T22:57:09Z</vt:filetime>
  </property>
  <property fmtid="{D5CDD505-2E9C-101B-9397-08002B2CF9AE}" pid="3" name="CRO">
    <vt:lpwstr>wqlLaW5nc29mdCBQREYgdG8gV1BTIDEwMA</vt:lpwstr>
  </property>
</Properties>
</file>