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不停电电源(UPS)项目规划设计蓝图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9" w:history="1">
        <w:r>
          <w:rPr>
            <w:rFonts w:ascii="仿宋" w:eastAsia="仿宋" w:hAnsi="仿宋" w:cs="仿宋" w:hint="eastAsia"/>
            <w:lang w:eastAsia="zh-CN"/>
          </w:rPr>
          <w:t>前言</w:t>
        </w:r>
        <w:r>
          <w:tab/>
        </w:r>
        <w:r>
          <w:fldChar w:fldCharType="begin"/>
        </w:r>
        <w:r>
          <w:instrText xml:space="preserve"> PAGEREF _Toc1879 \h </w:instrText>
        </w:r>
        <w:r>
          <w:fldChar w:fldCharType="separate"/>
        </w:r>
        <w:r>
          <w:t>3</w:t>
        </w:r>
        <w:r>
          <w:fldChar w:fldCharType="end"/>
        </w:r>
      </w:hyperlink>
    </w:p>
    <w:p>
      <w:pPr>
        <w:pStyle w:val="TOC1"/>
        <w:tabs>
          <w:tab w:val="right" w:leader="dot" w:pos="8306"/>
        </w:tabs>
      </w:pPr>
      <w:hyperlink w:anchor="_Toc23382" w:history="1">
        <w:r>
          <w:rPr>
            <w:rFonts w:ascii="仿宋" w:eastAsia="仿宋" w:hAnsi="仿宋" w:cs="仿宋" w:hint="eastAsia"/>
            <w:lang w:eastAsia="zh-CN"/>
          </w:rPr>
          <w:t>一、工艺说明</w:t>
        </w:r>
        <w:r>
          <w:tab/>
        </w:r>
        <w:r>
          <w:fldChar w:fldCharType="begin"/>
        </w:r>
        <w:r>
          <w:instrText xml:space="preserve"> PAGEREF _Toc23382 \h </w:instrText>
        </w:r>
        <w:r>
          <w:fldChar w:fldCharType="separate"/>
        </w:r>
        <w:r>
          <w:t>3</w:t>
        </w:r>
        <w:r>
          <w:fldChar w:fldCharType="end"/>
        </w:r>
      </w:hyperlink>
    </w:p>
    <w:p>
      <w:pPr>
        <w:pStyle w:val="TOC2"/>
        <w:tabs>
          <w:tab w:val="right" w:leader="dot" w:pos="8306"/>
        </w:tabs>
      </w:pPr>
      <w:hyperlink w:anchor="_Toc29078" w:history="1">
        <w:r>
          <w:rPr>
            <w:rFonts w:ascii="仿宋" w:eastAsia="仿宋" w:hAnsi="仿宋" w:cs="仿宋" w:hint="eastAsia"/>
            <w:lang w:eastAsia="zh-CN"/>
          </w:rPr>
          <w:t>(一)、技术管理特点</w:t>
        </w:r>
        <w:r>
          <w:tab/>
        </w:r>
        <w:r>
          <w:fldChar w:fldCharType="begin"/>
        </w:r>
        <w:r>
          <w:instrText xml:space="preserve"> PAGEREF _Toc29078 \h </w:instrText>
        </w:r>
        <w:r>
          <w:fldChar w:fldCharType="separate"/>
        </w:r>
        <w:r>
          <w:t>3</w:t>
        </w:r>
        <w:r>
          <w:fldChar w:fldCharType="end"/>
        </w:r>
      </w:hyperlink>
    </w:p>
    <w:p>
      <w:pPr>
        <w:pStyle w:val="TOC2"/>
        <w:tabs>
          <w:tab w:val="right" w:leader="dot" w:pos="8306"/>
        </w:tabs>
      </w:pPr>
      <w:hyperlink w:anchor="_Toc32715" w:history="1">
        <w:r>
          <w:rPr>
            <w:rFonts w:ascii="仿宋" w:eastAsia="仿宋" w:hAnsi="仿宋" w:cs="仿宋" w:hint="eastAsia"/>
            <w:lang w:eastAsia="zh-CN"/>
          </w:rPr>
          <w:t>(二)、不停电电源(UPS)项目工艺技术设计方案</w:t>
        </w:r>
        <w:r>
          <w:tab/>
        </w:r>
        <w:r>
          <w:fldChar w:fldCharType="begin"/>
        </w:r>
        <w:r>
          <w:instrText xml:space="preserve"> PAGEREF _Toc32715 \h </w:instrText>
        </w:r>
        <w:r>
          <w:fldChar w:fldCharType="separate"/>
        </w:r>
        <w:r>
          <w:t>4</w:t>
        </w:r>
        <w:r>
          <w:fldChar w:fldCharType="end"/>
        </w:r>
      </w:hyperlink>
    </w:p>
    <w:p>
      <w:pPr>
        <w:pStyle w:val="TOC2"/>
        <w:tabs>
          <w:tab w:val="right" w:leader="dot" w:pos="8306"/>
        </w:tabs>
      </w:pPr>
      <w:hyperlink w:anchor="_Toc2877" w:history="1">
        <w:r>
          <w:rPr>
            <w:rFonts w:ascii="仿宋" w:eastAsia="仿宋" w:hAnsi="仿宋" w:cs="仿宋" w:hint="eastAsia"/>
            <w:lang w:eastAsia="zh-CN"/>
          </w:rPr>
          <w:t>(三)、设备选型方案</w:t>
        </w:r>
        <w:r>
          <w:tab/>
        </w:r>
        <w:r>
          <w:fldChar w:fldCharType="begin"/>
        </w:r>
        <w:r>
          <w:instrText xml:space="preserve"> PAGEREF _Toc2877 \h </w:instrText>
        </w:r>
        <w:r>
          <w:fldChar w:fldCharType="separate"/>
        </w:r>
        <w:r>
          <w:t>5</w:t>
        </w:r>
        <w:r>
          <w:fldChar w:fldCharType="end"/>
        </w:r>
      </w:hyperlink>
    </w:p>
    <w:p>
      <w:pPr>
        <w:pStyle w:val="TOC1"/>
        <w:tabs>
          <w:tab w:val="right" w:leader="dot" w:pos="8306"/>
        </w:tabs>
      </w:pPr>
      <w:hyperlink w:anchor="_Toc3047" w:history="1">
        <w:r>
          <w:rPr>
            <w:rFonts w:ascii="仿宋" w:eastAsia="仿宋" w:hAnsi="仿宋" w:cs="仿宋" w:hint="eastAsia"/>
            <w:lang w:eastAsia="zh-CN"/>
          </w:rPr>
          <w:t>二、不停电电源(UPS)项目建设背景及必要性分析</w:t>
        </w:r>
        <w:r>
          <w:tab/>
        </w:r>
        <w:r>
          <w:fldChar w:fldCharType="begin"/>
        </w:r>
        <w:r>
          <w:instrText xml:space="preserve"> PAGEREF _Toc3047 \h </w:instrText>
        </w:r>
        <w:r>
          <w:fldChar w:fldCharType="separate"/>
        </w:r>
        <w:r>
          <w:t>7</w:t>
        </w:r>
        <w:r>
          <w:fldChar w:fldCharType="end"/>
        </w:r>
      </w:hyperlink>
    </w:p>
    <w:p>
      <w:pPr>
        <w:pStyle w:val="TOC2"/>
        <w:tabs>
          <w:tab w:val="right" w:leader="dot" w:pos="8306"/>
        </w:tabs>
      </w:pPr>
      <w:hyperlink w:anchor="_Toc4439" w:history="1">
        <w:r>
          <w:rPr>
            <w:rFonts w:ascii="仿宋" w:eastAsia="仿宋" w:hAnsi="仿宋" w:cs="仿宋" w:hint="eastAsia"/>
            <w:lang w:eastAsia="zh-CN"/>
          </w:rPr>
          <w:t>(一)、不停电电源(UPS)项目背景分析</w:t>
        </w:r>
        <w:r>
          <w:tab/>
        </w:r>
        <w:r>
          <w:fldChar w:fldCharType="begin"/>
        </w:r>
        <w:r>
          <w:instrText xml:space="preserve"> PAGEREF _Toc4439 \h </w:instrText>
        </w:r>
        <w:r>
          <w:fldChar w:fldCharType="separate"/>
        </w:r>
        <w:r>
          <w:t>7</w:t>
        </w:r>
        <w:r>
          <w:fldChar w:fldCharType="end"/>
        </w:r>
      </w:hyperlink>
    </w:p>
    <w:p>
      <w:pPr>
        <w:pStyle w:val="TOC2"/>
        <w:tabs>
          <w:tab w:val="right" w:leader="dot" w:pos="8306"/>
        </w:tabs>
      </w:pPr>
      <w:hyperlink w:anchor="_Toc22898" w:history="1">
        <w:r>
          <w:rPr>
            <w:rFonts w:ascii="仿宋" w:eastAsia="仿宋" w:hAnsi="仿宋" w:cs="仿宋" w:hint="eastAsia"/>
            <w:lang w:eastAsia="zh-CN"/>
          </w:rPr>
          <w:t>(二)、不停电电源(UPS)项目建设必要性分析</w:t>
        </w:r>
        <w:r>
          <w:tab/>
        </w:r>
        <w:r>
          <w:fldChar w:fldCharType="begin"/>
        </w:r>
        <w:r>
          <w:instrText xml:space="preserve"> PAGEREF _Toc22898 \h </w:instrText>
        </w:r>
        <w:r>
          <w:fldChar w:fldCharType="separate"/>
        </w:r>
        <w:r>
          <w:t>8</w:t>
        </w:r>
        <w:r>
          <w:fldChar w:fldCharType="end"/>
        </w:r>
      </w:hyperlink>
    </w:p>
    <w:p>
      <w:pPr>
        <w:pStyle w:val="TOC1"/>
        <w:tabs>
          <w:tab w:val="right" w:leader="dot" w:pos="8306"/>
        </w:tabs>
      </w:pPr>
      <w:hyperlink w:anchor="_Toc27596" w:history="1">
        <w:r>
          <w:rPr>
            <w:rFonts w:ascii="仿宋" w:eastAsia="仿宋" w:hAnsi="仿宋" w:cs="仿宋" w:hint="eastAsia"/>
            <w:lang w:eastAsia="zh-CN"/>
          </w:rPr>
          <w:t>三、不停电电源(UPS)项目土建工程</w:t>
        </w:r>
        <w:r>
          <w:tab/>
        </w:r>
        <w:r>
          <w:fldChar w:fldCharType="begin"/>
        </w:r>
        <w:r>
          <w:instrText xml:space="preserve"> PAGEREF _Toc27596 \h </w:instrText>
        </w:r>
        <w:r>
          <w:fldChar w:fldCharType="separate"/>
        </w:r>
        <w:r>
          <w:t>10</w:t>
        </w:r>
        <w:r>
          <w:fldChar w:fldCharType="end"/>
        </w:r>
      </w:hyperlink>
    </w:p>
    <w:p>
      <w:pPr>
        <w:pStyle w:val="TOC2"/>
        <w:tabs>
          <w:tab w:val="right" w:leader="dot" w:pos="8306"/>
        </w:tabs>
      </w:pPr>
      <w:hyperlink w:anchor="_Toc22765" w:history="1">
        <w:r>
          <w:rPr>
            <w:rFonts w:ascii="仿宋" w:eastAsia="仿宋" w:hAnsi="仿宋" w:cs="仿宋" w:hint="eastAsia"/>
            <w:lang w:eastAsia="zh-CN"/>
          </w:rPr>
          <w:t>(一)、建筑工程设计原则</w:t>
        </w:r>
        <w:r>
          <w:tab/>
        </w:r>
        <w:r>
          <w:fldChar w:fldCharType="begin"/>
        </w:r>
        <w:r>
          <w:instrText xml:space="preserve"> PAGEREF _Toc22765 \h </w:instrText>
        </w:r>
        <w:r>
          <w:fldChar w:fldCharType="separate"/>
        </w:r>
        <w:r>
          <w:t>10</w:t>
        </w:r>
        <w:r>
          <w:fldChar w:fldCharType="end"/>
        </w:r>
      </w:hyperlink>
    </w:p>
    <w:p>
      <w:pPr>
        <w:pStyle w:val="TOC2"/>
        <w:tabs>
          <w:tab w:val="right" w:leader="dot" w:pos="8306"/>
        </w:tabs>
      </w:pPr>
      <w:hyperlink w:anchor="_Toc14447" w:history="1">
        <w:r>
          <w:rPr>
            <w:rFonts w:ascii="仿宋" w:eastAsia="仿宋" w:hAnsi="仿宋" w:cs="仿宋" w:hint="eastAsia"/>
            <w:lang w:eastAsia="zh-CN"/>
          </w:rPr>
          <w:t>(二)、土建工程设计年限及安全等级</w:t>
        </w:r>
        <w:r>
          <w:tab/>
        </w:r>
        <w:r>
          <w:fldChar w:fldCharType="begin"/>
        </w:r>
        <w:r>
          <w:instrText xml:space="preserve"> PAGEREF _Toc14447 \h </w:instrText>
        </w:r>
        <w:r>
          <w:fldChar w:fldCharType="separate"/>
        </w:r>
        <w:r>
          <w:t>11</w:t>
        </w:r>
        <w:r>
          <w:fldChar w:fldCharType="end"/>
        </w:r>
      </w:hyperlink>
    </w:p>
    <w:p>
      <w:pPr>
        <w:pStyle w:val="TOC2"/>
        <w:tabs>
          <w:tab w:val="right" w:leader="dot" w:pos="8306"/>
        </w:tabs>
      </w:pPr>
      <w:hyperlink w:anchor="_Toc10984" w:history="1">
        <w:r>
          <w:rPr>
            <w:rFonts w:ascii="仿宋" w:eastAsia="仿宋" w:hAnsi="仿宋" w:cs="仿宋" w:hint="eastAsia"/>
            <w:lang w:eastAsia="zh-CN"/>
          </w:rPr>
          <w:t>(三)、建筑工程设计总体要求</w:t>
        </w:r>
        <w:r>
          <w:tab/>
        </w:r>
        <w:r>
          <w:fldChar w:fldCharType="begin"/>
        </w:r>
        <w:r>
          <w:instrText xml:space="preserve"> PAGEREF _Toc10984 \h </w:instrText>
        </w:r>
        <w:r>
          <w:fldChar w:fldCharType="separate"/>
        </w:r>
        <w:r>
          <w:t>12</w:t>
        </w:r>
        <w:r>
          <w:fldChar w:fldCharType="end"/>
        </w:r>
      </w:hyperlink>
    </w:p>
    <w:p>
      <w:pPr>
        <w:pStyle w:val="TOC2"/>
        <w:tabs>
          <w:tab w:val="right" w:leader="dot" w:pos="8306"/>
        </w:tabs>
      </w:pPr>
      <w:hyperlink w:anchor="_Toc20335" w:history="1">
        <w:r>
          <w:rPr>
            <w:rFonts w:ascii="仿宋" w:eastAsia="仿宋" w:hAnsi="仿宋" w:cs="仿宋" w:hint="eastAsia"/>
            <w:lang w:eastAsia="zh-CN"/>
          </w:rPr>
          <w:t>(四)、土建工程建设指标</w:t>
        </w:r>
        <w:r>
          <w:tab/>
        </w:r>
        <w:r>
          <w:fldChar w:fldCharType="begin"/>
        </w:r>
        <w:r>
          <w:instrText xml:space="preserve"> PAGEREF _Toc20335 \h </w:instrText>
        </w:r>
        <w:r>
          <w:fldChar w:fldCharType="separate"/>
        </w:r>
        <w:r>
          <w:t>13</w:t>
        </w:r>
        <w:r>
          <w:fldChar w:fldCharType="end"/>
        </w:r>
      </w:hyperlink>
    </w:p>
    <w:p>
      <w:pPr>
        <w:pStyle w:val="TOC1"/>
        <w:tabs>
          <w:tab w:val="right" w:leader="dot" w:pos="8306"/>
        </w:tabs>
      </w:pPr>
      <w:hyperlink w:anchor="_Toc8498" w:history="1">
        <w:r>
          <w:rPr>
            <w:rFonts w:ascii="仿宋" w:eastAsia="仿宋" w:hAnsi="仿宋" w:cs="仿宋" w:hint="eastAsia"/>
            <w:lang w:eastAsia="zh-CN"/>
          </w:rPr>
          <w:t>四、产品规划分析</w:t>
        </w:r>
        <w:r>
          <w:tab/>
        </w:r>
        <w:r>
          <w:fldChar w:fldCharType="begin"/>
        </w:r>
        <w:r>
          <w:instrText xml:space="preserve"> PAGEREF _Toc8498 \h </w:instrText>
        </w:r>
        <w:r>
          <w:fldChar w:fldCharType="separate"/>
        </w:r>
        <w:r>
          <w:t>13</w:t>
        </w:r>
        <w:r>
          <w:fldChar w:fldCharType="end"/>
        </w:r>
      </w:hyperlink>
    </w:p>
    <w:p>
      <w:pPr>
        <w:pStyle w:val="TOC2"/>
        <w:tabs>
          <w:tab w:val="right" w:leader="dot" w:pos="8306"/>
        </w:tabs>
      </w:pPr>
      <w:hyperlink w:anchor="_Toc5206" w:history="1">
        <w:r>
          <w:rPr>
            <w:rFonts w:ascii="仿宋" w:eastAsia="仿宋" w:hAnsi="仿宋" w:cs="仿宋" w:hint="eastAsia"/>
            <w:lang w:eastAsia="zh-CN"/>
          </w:rPr>
          <w:t>(一)、产品规划</w:t>
        </w:r>
        <w:r>
          <w:tab/>
        </w:r>
        <w:r>
          <w:fldChar w:fldCharType="begin"/>
        </w:r>
        <w:r>
          <w:instrText xml:space="preserve"> PAGEREF _Toc5206 \h </w:instrText>
        </w:r>
        <w:r>
          <w:fldChar w:fldCharType="separate"/>
        </w:r>
        <w:r>
          <w:t>13</w:t>
        </w:r>
        <w:r>
          <w:fldChar w:fldCharType="end"/>
        </w:r>
      </w:hyperlink>
    </w:p>
    <w:p>
      <w:pPr>
        <w:pStyle w:val="TOC2"/>
        <w:tabs>
          <w:tab w:val="right" w:leader="dot" w:pos="8306"/>
        </w:tabs>
      </w:pPr>
      <w:hyperlink w:anchor="_Toc20055" w:history="1">
        <w:r>
          <w:rPr>
            <w:rFonts w:ascii="仿宋" w:eastAsia="仿宋" w:hAnsi="仿宋" w:cs="仿宋" w:hint="eastAsia"/>
            <w:lang w:eastAsia="zh-CN"/>
          </w:rPr>
          <w:t>(二)、建设规模</w:t>
        </w:r>
        <w:r>
          <w:tab/>
        </w:r>
        <w:r>
          <w:fldChar w:fldCharType="begin"/>
        </w:r>
        <w:r>
          <w:instrText xml:space="preserve"> PAGEREF _Toc20055 \h </w:instrText>
        </w:r>
        <w:r>
          <w:fldChar w:fldCharType="separate"/>
        </w:r>
        <w:r>
          <w:t>14</w:t>
        </w:r>
        <w:r>
          <w:fldChar w:fldCharType="end"/>
        </w:r>
      </w:hyperlink>
    </w:p>
    <w:p>
      <w:pPr>
        <w:pStyle w:val="TOC1"/>
        <w:tabs>
          <w:tab w:val="right" w:leader="dot" w:pos="8306"/>
        </w:tabs>
      </w:pPr>
      <w:hyperlink w:anchor="_Toc16378" w:history="1">
        <w:r>
          <w:rPr>
            <w:rFonts w:ascii="仿宋" w:eastAsia="仿宋" w:hAnsi="仿宋" w:cs="仿宋" w:hint="eastAsia"/>
            <w:lang w:eastAsia="zh-CN"/>
          </w:rPr>
          <w:t>五、市场分析、调研</w:t>
        </w:r>
        <w:r>
          <w:tab/>
        </w:r>
        <w:r>
          <w:fldChar w:fldCharType="begin"/>
        </w:r>
        <w:r>
          <w:instrText xml:space="preserve"> PAGEREF _Toc16378 \h </w:instrText>
        </w:r>
        <w:r>
          <w:fldChar w:fldCharType="separate"/>
        </w:r>
        <w:r>
          <w:t>15</w:t>
        </w:r>
        <w:r>
          <w:fldChar w:fldCharType="end"/>
        </w:r>
      </w:hyperlink>
    </w:p>
    <w:p>
      <w:pPr>
        <w:pStyle w:val="TOC2"/>
        <w:tabs>
          <w:tab w:val="right" w:leader="dot" w:pos="8306"/>
        </w:tabs>
      </w:pPr>
      <w:hyperlink w:anchor="_Toc15949" w:history="1">
        <w:r>
          <w:rPr>
            <w:rFonts w:ascii="仿宋" w:eastAsia="仿宋" w:hAnsi="仿宋" w:cs="仿宋" w:hint="eastAsia"/>
            <w:lang w:eastAsia="zh-CN"/>
          </w:rPr>
          <w:t>(一)、不停电电源(UPS)行业分析</w:t>
        </w:r>
        <w:r>
          <w:tab/>
        </w:r>
        <w:r>
          <w:fldChar w:fldCharType="begin"/>
        </w:r>
        <w:r>
          <w:instrText xml:space="preserve"> PAGEREF _Toc15949 \h </w:instrText>
        </w:r>
        <w:r>
          <w:fldChar w:fldCharType="separate"/>
        </w:r>
        <w:r>
          <w:t>15</w:t>
        </w:r>
        <w:r>
          <w:fldChar w:fldCharType="end"/>
        </w:r>
      </w:hyperlink>
    </w:p>
    <w:p>
      <w:pPr>
        <w:pStyle w:val="TOC2"/>
        <w:tabs>
          <w:tab w:val="right" w:leader="dot" w:pos="8306"/>
        </w:tabs>
      </w:pPr>
      <w:hyperlink w:anchor="_Toc29458" w:history="1">
        <w:r>
          <w:rPr>
            <w:rFonts w:ascii="仿宋" w:eastAsia="仿宋" w:hAnsi="仿宋" w:cs="仿宋" w:hint="eastAsia"/>
            <w:lang w:eastAsia="zh-CN"/>
          </w:rPr>
          <w:t>(二)、不停电电源(UPS)市场分析预测</w:t>
        </w:r>
        <w:r>
          <w:tab/>
        </w:r>
        <w:r>
          <w:fldChar w:fldCharType="begin"/>
        </w:r>
        <w:r>
          <w:instrText xml:space="preserve"> PAGEREF _Toc29458 \h </w:instrText>
        </w:r>
        <w:r>
          <w:fldChar w:fldCharType="separate"/>
        </w:r>
        <w:r>
          <w:t>16</w:t>
        </w:r>
        <w:r>
          <w:fldChar w:fldCharType="end"/>
        </w:r>
      </w:hyperlink>
    </w:p>
    <w:p>
      <w:pPr>
        <w:pStyle w:val="TOC1"/>
        <w:tabs>
          <w:tab w:val="right" w:leader="dot" w:pos="8306"/>
        </w:tabs>
      </w:pPr>
      <w:hyperlink w:anchor="_Toc2362" w:history="1">
        <w:r>
          <w:rPr>
            <w:rFonts w:ascii="仿宋" w:eastAsia="仿宋" w:hAnsi="仿宋" w:cs="仿宋" w:hint="eastAsia"/>
            <w:lang w:eastAsia="zh-CN"/>
          </w:rPr>
          <w:t>六、不停电电源(UPS)项目绩效评估</w:t>
        </w:r>
        <w:r>
          <w:tab/>
        </w:r>
        <w:r>
          <w:fldChar w:fldCharType="begin"/>
        </w:r>
        <w:r>
          <w:instrText xml:space="preserve"> PAGEREF _Toc2362 \h </w:instrText>
        </w:r>
        <w:r>
          <w:fldChar w:fldCharType="separate"/>
        </w:r>
        <w:r>
          <w:t>17</w:t>
        </w:r>
        <w:r>
          <w:fldChar w:fldCharType="end"/>
        </w:r>
      </w:hyperlink>
    </w:p>
    <w:p>
      <w:pPr>
        <w:pStyle w:val="TOC2"/>
        <w:tabs>
          <w:tab w:val="right" w:leader="dot" w:pos="8306"/>
        </w:tabs>
      </w:pPr>
      <w:hyperlink w:anchor="_Toc7752" w:history="1">
        <w:r>
          <w:rPr>
            <w:rFonts w:ascii="仿宋" w:eastAsia="仿宋" w:hAnsi="仿宋" w:cs="仿宋" w:hint="eastAsia"/>
            <w:lang w:eastAsia="zh-CN"/>
          </w:rPr>
          <w:t>(一)、绩效评估指标</w:t>
        </w:r>
        <w:r>
          <w:tab/>
        </w:r>
        <w:r>
          <w:fldChar w:fldCharType="begin"/>
        </w:r>
        <w:r>
          <w:instrText xml:space="preserve"> PAGEREF _Toc7752 \h </w:instrText>
        </w:r>
        <w:r>
          <w:fldChar w:fldCharType="separate"/>
        </w:r>
        <w:r>
          <w:t>17</w:t>
        </w:r>
        <w:r>
          <w:fldChar w:fldCharType="end"/>
        </w:r>
      </w:hyperlink>
    </w:p>
    <w:p>
      <w:pPr>
        <w:pStyle w:val="TOC2"/>
        <w:tabs>
          <w:tab w:val="right" w:leader="dot" w:pos="8306"/>
        </w:tabs>
      </w:pPr>
      <w:hyperlink w:anchor="_Toc14779" w:history="1">
        <w:r>
          <w:rPr>
            <w:rFonts w:ascii="仿宋" w:eastAsia="仿宋" w:hAnsi="仿宋" w:cs="仿宋" w:hint="eastAsia"/>
            <w:lang w:eastAsia="zh-CN"/>
          </w:rPr>
          <w:t>(二)、绩效评估方法</w:t>
        </w:r>
        <w:r>
          <w:tab/>
        </w:r>
        <w:r>
          <w:fldChar w:fldCharType="begin"/>
        </w:r>
        <w:r>
          <w:instrText xml:space="preserve"> PAGEREF _Toc14779 \h </w:instrText>
        </w:r>
        <w:r>
          <w:fldChar w:fldCharType="separate"/>
        </w:r>
        <w:r>
          <w:t>18</w:t>
        </w:r>
        <w:r>
          <w:fldChar w:fldCharType="end"/>
        </w:r>
      </w:hyperlink>
    </w:p>
    <w:p>
      <w:pPr>
        <w:pStyle w:val="TOC2"/>
        <w:tabs>
          <w:tab w:val="right" w:leader="dot" w:pos="8306"/>
        </w:tabs>
      </w:pPr>
      <w:hyperlink w:anchor="_Toc29694" w:history="1">
        <w:r>
          <w:rPr>
            <w:rFonts w:ascii="仿宋" w:eastAsia="仿宋" w:hAnsi="仿宋" w:cs="仿宋" w:hint="eastAsia"/>
            <w:lang w:eastAsia="zh-CN"/>
          </w:rPr>
          <w:t>(三)、绩效评估周期</w:t>
        </w:r>
        <w:r>
          <w:tab/>
        </w:r>
        <w:r>
          <w:fldChar w:fldCharType="begin"/>
        </w:r>
        <w:r>
          <w:instrText xml:space="preserve"> PAGEREF _Toc29694 \h </w:instrText>
        </w:r>
        <w:r>
          <w:fldChar w:fldCharType="separate"/>
        </w:r>
        <w:r>
          <w:t>19</w:t>
        </w:r>
        <w:r>
          <w:fldChar w:fldCharType="end"/>
        </w:r>
      </w:hyperlink>
    </w:p>
    <w:p>
      <w:pPr>
        <w:pStyle w:val="TOC1"/>
        <w:tabs>
          <w:tab w:val="right" w:leader="dot" w:pos="8306"/>
        </w:tabs>
      </w:pPr>
      <w:hyperlink w:anchor="_Toc2580" w:history="1">
        <w:r>
          <w:rPr>
            <w:rFonts w:ascii="仿宋" w:eastAsia="仿宋" w:hAnsi="仿宋" w:cs="仿宋" w:hint="eastAsia"/>
            <w:lang w:eastAsia="zh-CN"/>
          </w:rPr>
          <w:t>七、不停电电源(UPS)项目社会影响</w:t>
        </w:r>
        <w:r>
          <w:tab/>
        </w:r>
        <w:r>
          <w:fldChar w:fldCharType="begin"/>
        </w:r>
        <w:r>
          <w:instrText xml:space="preserve"> PAGEREF _Toc2580 \h </w:instrText>
        </w:r>
        <w:r>
          <w:fldChar w:fldCharType="separate"/>
        </w:r>
        <w:r>
          <w:t>20</w:t>
        </w:r>
        <w:r>
          <w:fldChar w:fldCharType="end"/>
        </w:r>
      </w:hyperlink>
    </w:p>
    <w:p>
      <w:pPr>
        <w:pStyle w:val="TOC2"/>
        <w:tabs>
          <w:tab w:val="right" w:leader="dot" w:pos="8306"/>
        </w:tabs>
      </w:pPr>
      <w:hyperlink w:anchor="_Toc31010" w:history="1">
        <w:r>
          <w:rPr>
            <w:rFonts w:ascii="仿宋" w:eastAsia="仿宋" w:hAnsi="仿宋" w:cs="仿宋" w:hint="eastAsia"/>
            <w:lang w:eastAsia="zh-CN"/>
          </w:rPr>
          <w:t>(一)、社会责任与义务</w:t>
        </w:r>
        <w:r>
          <w:tab/>
        </w:r>
        <w:r>
          <w:fldChar w:fldCharType="begin"/>
        </w:r>
        <w:r>
          <w:instrText xml:space="preserve"> PAGEREF _Toc31010 \h </w:instrText>
        </w:r>
        <w:r>
          <w:fldChar w:fldCharType="separate"/>
        </w:r>
        <w:r>
          <w:t>20</w:t>
        </w:r>
        <w:r>
          <w:fldChar w:fldCharType="end"/>
        </w:r>
      </w:hyperlink>
    </w:p>
    <w:p>
      <w:pPr>
        <w:pStyle w:val="TOC2"/>
        <w:tabs>
          <w:tab w:val="right" w:leader="dot" w:pos="8306"/>
        </w:tabs>
      </w:pPr>
      <w:hyperlink w:anchor="_Toc22577" w:history="1">
        <w:r>
          <w:rPr>
            <w:rFonts w:ascii="仿宋" w:eastAsia="仿宋" w:hAnsi="仿宋" w:cs="仿宋" w:hint="eastAsia"/>
            <w:lang w:eastAsia="zh-CN"/>
          </w:rPr>
          <w:t>(二)、社会参与与沟通</w:t>
        </w:r>
        <w:r>
          <w:tab/>
        </w:r>
        <w:r>
          <w:fldChar w:fldCharType="begin"/>
        </w:r>
        <w:r>
          <w:instrText xml:space="preserve"> PAGEREF _Toc22577 \h </w:instrText>
        </w:r>
        <w:r>
          <w:fldChar w:fldCharType="separate"/>
        </w:r>
        <w:r>
          <w:t>21</w:t>
        </w:r>
        <w:r>
          <w:fldChar w:fldCharType="end"/>
        </w:r>
      </w:hyperlink>
    </w:p>
    <w:p>
      <w:pPr>
        <w:pStyle w:val="TOC1"/>
        <w:tabs>
          <w:tab w:val="right" w:leader="dot" w:pos="8306"/>
        </w:tabs>
      </w:pPr>
      <w:hyperlink w:anchor="_Toc13770" w:history="1">
        <w:r>
          <w:rPr>
            <w:rFonts w:ascii="仿宋" w:eastAsia="仿宋" w:hAnsi="仿宋" w:cs="仿宋" w:hint="eastAsia"/>
            <w:lang w:eastAsia="zh-CN"/>
          </w:rPr>
          <w:t>八、不停电电源(UPS)项目投资规划</w:t>
        </w:r>
        <w:r>
          <w:tab/>
        </w:r>
        <w:r>
          <w:fldChar w:fldCharType="begin"/>
        </w:r>
        <w:r>
          <w:instrText xml:space="preserve"> PAGEREF _Toc13770 \h </w:instrText>
        </w:r>
        <w:r>
          <w:fldChar w:fldCharType="separate"/>
        </w:r>
        <w:r>
          <w:t>22</w:t>
        </w:r>
        <w:r>
          <w:fldChar w:fldCharType="end"/>
        </w:r>
      </w:hyperlink>
    </w:p>
    <w:p>
      <w:pPr>
        <w:pStyle w:val="TOC2"/>
        <w:tabs>
          <w:tab w:val="right" w:leader="dot" w:pos="8306"/>
        </w:tabs>
      </w:pPr>
      <w:hyperlink w:anchor="_Toc28258" w:history="1">
        <w:r>
          <w:rPr>
            <w:rFonts w:ascii="仿宋" w:eastAsia="仿宋" w:hAnsi="仿宋" w:cs="仿宋" w:hint="eastAsia"/>
            <w:lang w:eastAsia="zh-CN"/>
          </w:rPr>
          <w:t>(一)、不停电电源(UPS)项目总投资估算</w:t>
        </w:r>
        <w:r>
          <w:tab/>
        </w:r>
        <w:r>
          <w:fldChar w:fldCharType="begin"/>
        </w:r>
        <w:r>
          <w:instrText xml:space="preserve"> PAGEREF _Toc28258 \h </w:instrText>
        </w:r>
        <w:r>
          <w:fldChar w:fldCharType="separate"/>
        </w:r>
        <w:r>
          <w:t>22</w:t>
        </w:r>
        <w:r>
          <w:fldChar w:fldCharType="end"/>
        </w:r>
      </w:hyperlink>
    </w:p>
    <w:p>
      <w:pPr>
        <w:pStyle w:val="TOC2"/>
        <w:tabs>
          <w:tab w:val="right" w:leader="dot" w:pos="8306"/>
        </w:tabs>
      </w:pPr>
      <w:hyperlink w:anchor="_Toc19299" w:history="1">
        <w:r>
          <w:rPr>
            <w:rFonts w:ascii="仿宋" w:eastAsia="仿宋" w:hAnsi="仿宋" w:cs="仿宋" w:hint="eastAsia"/>
            <w:lang w:eastAsia="zh-CN"/>
          </w:rPr>
          <w:t>(二)、资金筹措</w:t>
        </w:r>
        <w:r>
          <w:tab/>
        </w:r>
        <w:r>
          <w:fldChar w:fldCharType="begin"/>
        </w:r>
        <w:r>
          <w:instrText xml:space="preserve"> PAGEREF _Toc19299 \h </w:instrText>
        </w:r>
        <w:r>
          <w:fldChar w:fldCharType="separate"/>
        </w:r>
        <w:r>
          <w:t>23</w:t>
        </w:r>
        <w:r>
          <w:fldChar w:fldCharType="end"/>
        </w:r>
      </w:hyperlink>
    </w:p>
    <w:p>
      <w:pPr>
        <w:pStyle w:val="TOC1"/>
        <w:tabs>
          <w:tab w:val="right" w:leader="dot" w:pos="8306"/>
        </w:tabs>
      </w:pPr>
      <w:hyperlink w:anchor="_Toc28465" w:history="1">
        <w:r>
          <w:rPr>
            <w:rFonts w:ascii="仿宋" w:eastAsia="仿宋" w:hAnsi="仿宋" w:cs="仿宋" w:hint="eastAsia"/>
            <w:lang w:eastAsia="zh-CN"/>
          </w:rPr>
          <w:t>九、不停电电源(UPS)项目人力资源管理</w:t>
        </w:r>
        <w:r>
          <w:tab/>
        </w:r>
        <w:r>
          <w:fldChar w:fldCharType="begin"/>
        </w:r>
        <w:r>
          <w:instrText xml:space="preserve"> PAGEREF _Toc28465 \h </w:instrText>
        </w:r>
        <w:r>
          <w:fldChar w:fldCharType="separate"/>
        </w:r>
        <w:r>
          <w:t>24</w:t>
        </w:r>
        <w:r>
          <w:fldChar w:fldCharType="end"/>
        </w:r>
      </w:hyperlink>
    </w:p>
    <w:p>
      <w:pPr>
        <w:pStyle w:val="TOC2"/>
        <w:tabs>
          <w:tab w:val="right" w:leader="dot" w:pos="8306"/>
        </w:tabs>
      </w:pPr>
      <w:hyperlink w:anchor="_Toc9667" w:history="1">
        <w:r>
          <w:rPr>
            <w:rFonts w:ascii="仿宋" w:eastAsia="仿宋" w:hAnsi="仿宋" w:cs="仿宋" w:hint="eastAsia"/>
            <w:lang w:eastAsia="zh-CN"/>
          </w:rPr>
          <w:t>(一)、建立健全的预算管理制度</w:t>
        </w:r>
        <w:r>
          <w:tab/>
        </w:r>
        <w:r>
          <w:fldChar w:fldCharType="begin"/>
        </w:r>
        <w:r>
          <w:instrText xml:space="preserve"> PAGEREF _Toc9667 \h </w:instrText>
        </w:r>
        <w:r>
          <w:fldChar w:fldCharType="separate"/>
        </w:r>
        <w:r>
          <w:t>24</w:t>
        </w:r>
        <w:r>
          <w:fldChar w:fldCharType="end"/>
        </w:r>
      </w:hyperlink>
    </w:p>
    <w:p>
      <w:pPr>
        <w:pStyle w:val="TOC2"/>
        <w:tabs>
          <w:tab w:val="right" w:leader="dot" w:pos="8306"/>
        </w:tabs>
      </w:pPr>
      <w:hyperlink w:anchor="_Toc25806" w:history="1">
        <w:r>
          <w:rPr>
            <w:rFonts w:ascii="仿宋" w:eastAsia="仿宋" w:hAnsi="仿宋" w:cs="仿宋" w:hint="eastAsia"/>
            <w:lang w:eastAsia="zh-CN"/>
          </w:rPr>
          <w:t>(二)、加强资金流动监控</w:t>
        </w:r>
        <w:r>
          <w:tab/>
        </w:r>
        <w:r>
          <w:fldChar w:fldCharType="begin"/>
        </w:r>
        <w:r>
          <w:instrText xml:space="preserve"> PAGEREF _Toc25806 \h </w:instrText>
        </w:r>
        <w:r>
          <w:fldChar w:fldCharType="separate"/>
        </w:r>
        <w:r>
          <w:t>26</w:t>
        </w:r>
        <w:r>
          <w:fldChar w:fldCharType="end"/>
        </w:r>
      </w:hyperlink>
    </w:p>
    <w:p>
      <w:pPr>
        <w:pStyle w:val="TOC2"/>
        <w:tabs>
          <w:tab w:val="right" w:leader="dot" w:pos="8306"/>
        </w:tabs>
      </w:pPr>
      <w:hyperlink w:anchor="_Toc25946" w:history="1">
        <w:r>
          <w:rPr>
            <w:rFonts w:ascii="仿宋" w:eastAsia="仿宋" w:hAnsi="仿宋" w:cs="仿宋" w:hint="eastAsia"/>
            <w:lang w:eastAsia="zh-CN"/>
          </w:rPr>
          <w:t>(三)、制定完善的风险控制机制</w:t>
        </w:r>
        <w:r>
          <w:tab/>
        </w:r>
        <w:r>
          <w:fldChar w:fldCharType="begin"/>
        </w:r>
        <w:r>
          <w:instrText xml:space="preserve"> PAGEREF _Toc25946 \h </w:instrText>
        </w:r>
        <w:r>
          <w:fldChar w:fldCharType="separate"/>
        </w:r>
        <w:r>
          <w:t>27</w:t>
        </w:r>
        <w:r>
          <w:fldChar w:fldCharType="end"/>
        </w:r>
      </w:hyperlink>
    </w:p>
    <w:p>
      <w:pPr>
        <w:pStyle w:val="TOC2"/>
        <w:tabs>
          <w:tab w:val="right" w:leader="dot" w:pos="8306"/>
        </w:tabs>
      </w:pPr>
      <w:hyperlink w:anchor="_Toc14556" w:history="1">
        <w:r>
          <w:rPr>
            <w:rFonts w:ascii="仿宋" w:eastAsia="仿宋" w:hAnsi="仿宋" w:cs="仿宋" w:hint="eastAsia"/>
            <w:lang w:eastAsia="zh-CN"/>
          </w:rPr>
          <w:t>(四)、优化成本管理</w:t>
        </w:r>
        <w:r>
          <w:tab/>
        </w:r>
        <w:r>
          <w:fldChar w:fldCharType="begin"/>
        </w:r>
        <w:r>
          <w:instrText xml:space="preserve"> PAGEREF _Toc14556 \h </w:instrText>
        </w:r>
        <w:r>
          <w:fldChar w:fldCharType="separate"/>
        </w:r>
        <w:r>
          <w:t>28</w:t>
        </w:r>
        <w:r>
          <w:fldChar w:fldCharType="end"/>
        </w:r>
      </w:hyperlink>
    </w:p>
    <w:p>
      <w:pPr>
        <w:pStyle w:val="TOC1"/>
        <w:tabs>
          <w:tab w:val="right" w:leader="dot" w:pos="8306"/>
        </w:tabs>
      </w:pPr>
      <w:hyperlink w:anchor="_Toc21588" w:history="1">
        <w:r>
          <w:rPr>
            <w:rFonts w:ascii="仿宋" w:eastAsia="仿宋" w:hAnsi="仿宋" w:cs="仿宋" w:hint="eastAsia"/>
            <w:lang w:eastAsia="zh-CN"/>
          </w:rPr>
          <w:t>十、不停电电源(UPS)项目风险管理</w:t>
        </w:r>
        <w:r>
          <w:tab/>
        </w:r>
        <w:r>
          <w:fldChar w:fldCharType="begin"/>
        </w:r>
        <w:r>
          <w:instrText xml:space="preserve"> PAGEREF _Toc21588 \h </w:instrText>
        </w:r>
        <w:r>
          <w:fldChar w:fldCharType="separate"/>
        </w:r>
        <w:r>
          <w:t>30</w:t>
        </w:r>
        <w:r>
          <w:fldChar w:fldCharType="end"/>
        </w:r>
      </w:hyperlink>
    </w:p>
    <w:p>
      <w:pPr>
        <w:pStyle w:val="TOC2"/>
        <w:tabs>
          <w:tab w:val="right" w:leader="dot" w:pos="8306"/>
        </w:tabs>
      </w:pPr>
      <w:hyperlink w:anchor="_Toc16293" w:history="1">
        <w:r>
          <w:rPr>
            <w:rFonts w:ascii="仿宋" w:eastAsia="仿宋" w:hAnsi="仿宋" w:cs="仿宋" w:hint="eastAsia"/>
            <w:lang w:eastAsia="zh-CN"/>
          </w:rPr>
          <w:t>(一)、风险识别与评估</w:t>
        </w:r>
        <w:r>
          <w:tab/>
        </w:r>
        <w:r>
          <w:fldChar w:fldCharType="begin"/>
        </w:r>
        <w:r>
          <w:instrText xml:space="preserve"> PAGEREF _Toc16293 \h </w:instrText>
        </w:r>
        <w:r>
          <w:fldChar w:fldCharType="separate"/>
        </w:r>
        <w:r>
          <w:t>30</w:t>
        </w:r>
        <w:r>
          <w:fldChar w:fldCharType="end"/>
        </w:r>
      </w:hyperlink>
    </w:p>
    <w:p>
      <w:pPr>
        <w:pStyle w:val="TOC2"/>
        <w:tabs>
          <w:tab w:val="right" w:leader="dot" w:pos="8306"/>
        </w:tabs>
      </w:pPr>
      <w:hyperlink w:anchor="_Toc1392" w:history="1">
        <w:r>
          <w:rPr>
            <w:rFonts w:ascii="仿宋" w:eastAsia="仿宋" w:hAnsi="仿宋" w:cs="仿宋" w:hint="eastAsia"/>
            <w:lang w:eastAsia="zh-CN"/>
          </w:rPr>
          <w:t>(二)、风险应对策略</w:t>
        </w:r>
        <w:r>
          <w:tab/>
        </w:r>
        <w:r>
          <w:fldChar w:fldCharType="begin"/>
        </w:r>
        <w:r>
          <w:instrText xml:space="preserve"> PAGEREF _Toc1392 \h </w:instrText>
        </w:r>
        <w:r>
          <w:fldChar w:fldCharType="separate"/>
        </w:r>
        <w:r>
          <w:t>31</w:t>
        </w:r>
        <w:r>
          <w:fldChar w:fldCharType="end"/>
        </w:r>
      </w:hyperlink>
    </w:p>
    <w:p>
      <w:pPr>
        <w:pStyle w:val="TOC2"/>
        <w:tabs>
          <w:tab w:val="right" w:leader="dot" w:pos="8306"/>
        </w:tabs>
      </w:pPr>
      <w:hyperlink w:anchor="_Toc6663" w:history="1">
        <w:r>
          <w:rPr>
            <w:rFonts w:ascii="仿宋" w:eastAsia="仿宋" w:hAnsi="仿宋" w:cs="仿宋" w:hint="eastAsia"/>
            <w:lang w:eastAsia="zh-CN"/>
          </w:rPr>
          <w:t>(三)、风险监控与控制</w:t>
        </w:r>
        <w:r>
          <w:tab/>
        </w:r>
        <w:r>
          <w:fldChar w:fldCharType="begin"/>
        </w:r>
        <w:r>
          <w:instrText xml:space="preserve"> PAGEREF _Toc6663 \h </w:instrText>
        </w:r>
        <w:r>
          <w:fldChar w:fldCharType="separate"/>
        </w:r>
        <w:r>
          <w:t>33</w:t>
        </w:r>
        <w:r>
          <w:fldChar w:fldCharType="end"/>
        </w:r>
      </w:hyperlink>
    </w:p>
    <w:p>
      <w:pPr>
        <w:pStyle w:val="TOC1"/>
        <w:tabs>
          <w:tab w:val="right" w:leader="dot" w:pos="8306"/>
        </w:tabs>
      </w:pPr>
      <w:hyperlink w:anchor="_Toc29389" w:history="1">
        <w:r>
          <w:rPr>
            <w:rFonts w:ascii="仿宋" w:eastAsia="仿宋" w:hAnsi="仿宋" w:cs="仿宋" w:hint="eastAsia"/>
            <w:lang w:eastAsia="zh-CN"/>
          </w:rPr>
          <w:t>十一、不停电电源(UPS)项目创新与研发</w:t>
        </w:r>
        <w:r>
          <w:tab/>
        </w:r>
        <w:r>
          <w:fldChar w:fldCharType="begin"/>
        </w:r>
        <w:r>
          <w:instrText xml:space="preserve"> PAGEREF _Toc29389 \h </w:instrText>
        </w:r>
        <w:r>
          <w:fldChar w:fldCharType="separate"/>
        </w:r>
        <w:r>
          <w:t>34</w:t>
        </w:r>
        <w:r>
          <w:fldChar w:fldCharType="end"/>
        </w:r>
      </w:hyperlink>
    </w:p>
    <w:p>
      <w:pPr>
        <w:pStyle w:val="TOC2"/>
        <w:tabs>
          <w:tab w:val="right" w:leader="dot" w:pos="8306"/>
        </w:tabs>
      </w:pPr>
      <w:hyperlink w:anchor="_Toc2955" w:history="1">
        <w:r>
          <w:rPr>
            <w:rFonts w:ascii="仿宋" w:eastAsia="仿宋" w:hAnsi="仿宋" w:cs="仿宋" w:hint="eastAsia"/>
            <w:lang w:eastAsia="zh-CN"/>
          </w:rPr>
          <w:t>(一)、创新策略与方向</w:t>
        </w:r>
        <w:r>
          <w:tab/>
        </w:r>
        <w:r>
          <w:fldChar w:fldCharType="begin"/>
        </w:r>
        <w:r>
          <w:instrText xml:space="preserve"> PAGEREF _Toc2955 \h </w:instrText>
        </w:r>
        <w:r>
          <w:fldChar w:fldCharType="separate"/>
        </w:r>
        <w:r>
          <w:t>34</w:t>
        </w:r>
        <w:r>
          <w:fldChar w:fldCharType="end"/>
        </w:r>
      </w:hyperlink>
    </w:p>
    <w:p>
      <w:pPr>
        <w:pStyle w:val="TOC2"/>
        <w:tabs>
          <w:tab w:val="right" w:leader="dot" w:pos="8306"/>
        </w:tabs>
      </w:pPr>
      <w:hyperlink w:anchor="_Toc25611" w:history="1">
        <w:r>
          <w:rPr>
            <w:rFonts w:ascii="仿宋" w:eastAsia="仿宋" w:hAnsi="仿宋" w:cs="仿宋" w:hint="eastAsia"/>
            <w:lang w:eastAsia="zh-CN"/>
          </w:rPr>
          <w:t>(二)、研发规划与投入</w:t>
        </w:r>
        <w:r>
          <w:tab/>
        </w:r>
        <w:r>
          <w:fldChar w:fldCharType="begin"/>
        </w:r>
        <w:r>
          <w:instrText xml:space="preserve"> PAGEREF _Toc25611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28" w:history="1">
        <w:r>
          <w:rPr>
            <w:rFonts w:ascii="仿宋" w:eastAsia="仿宋" w:hAnsi="仿宋" w:cs="仿宋" w:hint="eastAsia"/>
            <w:lang w:eastAsia="zh-CN"/>
          </w:rPr>
          <w:t>十二、不停电电源(UPS)项目人力资源培养与发展</w:t>
        </w:r>
        <w:r>
          <w:tab/>
        </w:r>
        <w:r>
          <w:fldChar w:fldCharType="begin"/>
        </w:r>
        <w:r>
          <w:instrText xml:space="preserve"> PAGEREF _Toc3728 \h </w:instrText>
        </w:r>
        <w:r>
          <w:fldChar w:fldCharType="separate"/>
        </w:r>
        <w:r>
          <w:t>37</w:t>
        </w:r>
        <w:r>
          <w:fldChar w:fldCharType="end"/>
        </w:r>
      </w:hyperlink>
    </w:p>
    <w:p>
      <w:pPr>
        <w:pStyle w:val="TOC2"/>
        <w:tabs>
          <w:tab w:val="right" w:leader="dot" w:pos="8306"/>
        </w:tabs>
      </w:pPr>
      <w:hyperlink w:anchor="_Toc24164" w:history="1">
        <w:r>
          <w:rPr>
            <w:rFonts w:ascii="仿宋" w:eastAsia="仿宋" w:hAnsi="仿宋" w:cs="仿宋" w:hint="eastAsia"/>
            <w:lang w:eastAsia="zh-CN"/>
          </w:rPr>
          <w:t>(一)、人才需求与规划</w:t>
        </w:r>
        <w:r>
          <w:tab/>
        </w:r>
        <w:r>
          <w:fldChar w:fldCharType="begin"/>
        </w:r>
        <w:r>
          <w:instrText xml:space="preserve"> PAGEREF _Toc24164 \h </w:instrText>
        </w:r>
        <w:r>
          <w:fldChar w:fldCharType="separate"/>
        </w:r>
        <w:r>
          <w:t>37</w:t>
        </w:r>
        <w:r>
          <w:fldChar w:fldCharType="end"/>
        </w:r>
      </w:hyperlink>
    </w:p>
    <w:p>
      <w:pPr>
        <w:pStyle w:val="TOC2"/>
        <w:tabs>
          <w:tab w:val="right" w:leader="dot" w:pos="8306"/>
        </w:tabs>
      </w:pPr>
      <w:hyperlink w:anchor="_Toc32366" w:history="1">
        <w:r>
          <w:rPr>
            <w:rFonts w:ascii="仿宋" w:eastAsia="仿宋" w:hAnsi="仿宋" w:cs="仿宋" w:hint="eastAsia"/>
            <w:lang w:eastAsia="zh-CN"/>
          </w:rPr>
          <w:t>(二)、培训与发展计划</w:t>
        </w:r>
        <w:r>
          <w:tab/>
        </w:r>
        <w:r>
          <w:fldChar w:fldCharType="begin"/>
        </w:r>
        <w:r>
          <w:instrText xml:space="preserve"> PAGEREF _Toc32366 \h </w:instrText>
        </w:r>
        <w:r>
          <w:fldChar w:fldCharType="separate"/>
        </w:r>
        <w:r>
          <w:t>37</w:t>
        </w:r>
        <w:r>
          <w:fldChar w:fldCharType="end"/>
        </w:r>
      </w:hyperlink>
    </w:p>
    <w:p>
      <w:pPr>
        <w:pStyle w:val="TOC1"/>
        <w:tabs>
          <w:tab w:val="right" w:leader="dot" w:pos="8306"/>
        </w:tabs>
      </w:pPr>
      <w:hyperlink w:anchor="_Toc14002" w:history="1">
        <w:r>
          <w:rPr>
            <w:rFonts w:ascii="仿宋" w:eastAsia="仿宋" w:hAnsi="仿宋" w:cs="仿宋" w:hint="eastAsia"/>
            <w:lang w:eastAsia="zh-CN"/>
          </w:rPr>
          <w:t>十三、营销与推广策略</w:t>
        </w:r>
        <w:r>
          <w:tab/>
        </w:r>
        <w:r>
          <w:fldChar w:fldCharType="begin"/>
        </w:r>
        <w:r>
          <w:instrText xml:space="preserve"> PAGEREF _Toc14002 \h </w:instrText>
        </w:r>
        <w:r>
          <w:fldChar w:fldCharType="separate"/>
        </w:r>
        <w:r>
          <w:t>38</w:t>
        </w:r>
        <w:r>
          <w:fldChar w:fldCharType="end"/>
        </w:r>
      </w:hyperlink>
    </w:p>
    <w:p>
      <w:pPr>
        <w:pStyle w:val="TOC2"/>
        <w:tabs>
          <w:tab w:val="right" w:leader="dot" w:pos="8306"/>
        </w:tabs>
      </w:pPr>
      <w:hyperlink w:anchor="_Toc12274" w:history="1">
        <w:r>
          <w:rPr>
            <w:rFonts w:ascii="仿宋" w:eastAsia="仿宋" w:hAnsi="仿宋" w:cs="仿宋" w:hint="eastAsia"/>
            <w:lang w:eastAsia="zh-CN"/>
          </w:rPr>
          <w:t>(一)、产品/服务定位与特点</w:t>
        </w:r>
        <w:r>
          <w:tab/>
        </w:r>
        <w:r>
          <w:fldChar w:fldCharType="begin"/>
        </w:r>
        <w:r>
          <w:instrText xml:space="preserve"> PAGEREF _Toc12274 \h </w:instrText>
        </w:r>
        <w:r>
          <w:fldChar w:fldCharType="separate"/>
        </w:r>
        <w:r>
          <w:t>38</w:t>
        </w:r>
        <w:r>
          <w:fldChar w:fldCharType="end"/>
        </w:r>
      </w:hyperlink>
    </w:p>
    <w:p>
      <w:pPr>
        <w:pStyle w:val="TOC2"/>
        <w:tabs>
          <w:tab w:val="right" w:leader="dot" w:pos="8306"/>
        </w:tabs>
      </w:pPr>
      <w:hyperlink w:anchor="_Toc23674" w:history="1">
        <w:r>
          <w:rPr>
            <w:rFonts w:ascii="仿宋" w:eastAsia="仿宋" w:hAnsi="仿宋" w:cs="仿宋" w:hint="eastAsia"/>
            <w:lang w:eastAsia="zh-CN"/>
          </w:rPr>
          <w:t>(二)、市场定位与竞争分析</w:t>
        </w:r>
        <w:r>
          <w:tab/>
        </w:r>
        <w:r>
          <w:fldChar w:fldCharType="begin"/>
        </w:r>
        <w:r>
          <w:instrText xml:space="preserve"> PAGEREF _Toc23674 \h </w:instrText>
        </w:r>
        <w:r>
          <w:fldChar w:fldCharType="separate"/>
        </w:r>
        <w:r>
          <w:t>39</w:t>
        </w:r>
        <w:r>
          <w:fldChar w:fldCharType="end"/>
        </w:r>
      </w:hyperlink>
    </w:p>
    <w:p>
      <w:pPr>
        <w:pStyle w:val="TOC2"/>
        <w:tabs>
          <w:tab w:val="right" w:leader="dot" w:pos="8306"/>
        </w:tabs>
      </w:pPr>
      <w:hyperlink w:anchor="_Toc21176" w:history="1">
        <w:r>
          <w:rPr>
            <w:rFonts w:ascii="仿宋" w:eastAsia="仿宋" w:hAnsi="仿宋" w:cs="仿宋" w:hint="eastAsia"/>
            <w:lang w:eastAsia="zh-CN"/>
          </w:rPr>
          <w:t>(三)、营销渠道与策略</w:t>
        </w:r>
        <w:r>
          <w:tab/>
        </w:r>
        <w:r>
          <w:fldChar w:fldCharType="begin"/>
        </w:r>
        <w:r>
          <w:instrText xml:space="preserve"> PAGEREF _Toc21176 \h </w:instrText>
        </w:r>
        <w:r>
          <w:fldChar w:fldCharType="separate"/>
        </w:r>
        <w:r>
          <w:t>41</w:t>
        </w:r>
        <w:r>
          <w:fldChar w:fldCharType="end"/>
        </w:r>
      </w:hyperlink>
    </w:p>
    <w:p>
      <w:pPr>
        <w:pStyle w:val="TOC2"/>
        <w:tabs>
          <w:tab w:val="right" w:leader="dot" w:pos="8306"/>
        </w:tabs>
      </w:pPr>
      <w:hyperlink w:anchor="_Toc28273" w:history="1">
        <w:r>
          <w:rPr>
            <w:rFonts w:ascii="仿宋" w:eastAsia="仿宋" w:hAnsi="仿宋" w:cs="仿宋" w:hint="eastAsia"/>
            <w:lang w:eastAsia="zh-CN"/>
          </w:rPr>
          <w:t>(四)、推广与宣传活动</w:t>
        </w:r>
        <w:r>
          <w:tab/>
        </w:r>
        <w:r>
          <w:fldChar w:fldCharType="begin"/>
        </w:r>
        <w:r>
          <w:instrText xml:space="preserve"> PAGEREF _Toc28273 \h </w:instrText>
        </w:r>
        <w:r>
          <w:fldChar w:fldCharType="separate"/>
        </w:r>
        <w:r>
          <w:t>42</w:t>
        </w:r>
        <w:r>
          <w:fldChar w:fldCharType="end"/>
        </w:r>
      </w:hyperlink>
    </w:p>
    <w:p>
      <w:pPr>
        <w:pStyle w:val="TOC1"/>
        <w:tabs>
          <w:tab w:val="right" w:leader="dot" w:pos="8306"/>
        </w:tabs>
      </w:pPr>
      <w:hyperlink w:anchor="_Toc2584" w:history="1">
        <w:r>
          <w:rPr>
            <w:rFonts w:ascii="仿宋" w:eastAsia="仿宋" w:hAnsi="仿宋" w:cs="仿宋" w:hint="eastAsia"/>
            <w:lang w:eastAsia="zh-CN"/>
          </w:rPr>
          <w:t>十四、供应链管理</w:t>
        </w:r>
        <w:r>
          <w:tab/>
        </w:r>
        <w:r>
          <w:fldChar w:fldCharType="begin"/>
        </w:r>
        <w:r>
          <w:instrText xml:space="preserve"> PAGEREF _Toc2584 \h </w:instrText>
        </w:r>
        <w:r>
          <w:fldChar w:fldCharType="separate"/>
        </w:r>
        <w:r>
          <w:t>47</w:t>
        </w:r>
        <w:r>
          <w:fldChar w:fldCharType="end"/>
        </w:r>
      </w:hyperlink>
    </w:p>
    <w:p>
      <w:pPr>
        <w:pStyle w:val="TOC2"/>
        <w:tabs>
          <w:tab w:val="right" w:leader="dot" w:pos="8306"/>
        </w:tabs>
      </w:pPr>
      <w:hyperlink w:anchor="_Toc27679" w:history="1">
        <w:r>
          <w:rPr>
            <w:rFonts w:ascii="仿宋" w:eastAsia="仿宋" w:hAnsi="仿宋" w:cs="仿宋" w:hint="eastAsia"/>
            <w:lang w:eastAsia="zh-CN"/>
          </w:rPr>
          <w:t>(一)、供应链战略规划</w:t>
        </w:r>
        <w:r>
          <w:tab/>
        </w:r>
        <w:r>
          <w:fldChar w:fldCharType="begin"/>
        </w:r>
        <w:r>
          <w:instrText xml:space="preserve"> PAGEREF _Toc27679 \h </w:instrText>
        </w:r>
        <w:r>
          <w:fldChar w:fldCharType="separate"/>
        </w:r>
        <w:r>
          <w:t>47</w:t>
        </w:r>
        <w:r>
          <w:fldChar w:fldCharType="end"/>
        </w:r>
      </w:hyperlink>
    </w:p>
    <w:p>
      <w:pPr>
        <w:pStyle w:val="TOC2"/>
        <w:tabs>
          <w:tab w:val="right" w:leader="dot" w:pos="8306"/>
        </w:tabs>
      </w:pPr>
      <w:hyperlink w:anchor="_Toc25289" w:history="1">
        <w:r>
          <w:rPr>
            <w:rFonts w:ascii="仿宋" w:eastAsia="仿宋" w:hAnsi="仿宋" w:cs="仿宋" w:hint="eastAsia"/>
            <w:lang w:eastAsia="zh-CN"/>
          </w:rPr>
          <w:t>(二)、供应商选择与合作</w:t>
        </w:r>
        <w:r>
          <w:tab/>
        </w:r>
        <w:r>
          <w:fldChar w:fldCharType="begin"/>
        </w:r>
        <w:r>
          <w:instrText xml:space="preserve"> PAGEREF _Toc25289 \h </w:instrText>
        </w:r>
        <w:r>
          <w:fldChar w:fldCharType="separate"/>
        </w:r>
        <w:r>
          <w:t>49</w:t>
        </w:r>
        <w:r>
          <w:fldChar w:fldCharType="end"/>
        </w:r>
      </w:hyperlink>
    </w:p>
    <w:p>
      <w:pPr>
        <w:pStyle w:val="TOC2"/>
        <w:tabs>
          <w:tab w:val="right" w:leader="dot" w:pos="8306"/>
        </w:tabs>
      </w:pPr>
      <w:hyperlink w:anchor="_Toc13695" w:history="1">
        <w:r>
          <w:rPr>
            <w:rFonts w:ascii="仿宋" w:eastAsia="仿宋" w:hAnsi="仿宋" w:cs="仿宋" w:hint="eastAsia"/>
            <w:lang w:eastAsia="zh-CN"/>
          </w:rPr>
          <w:t>(三)、物流与库存管理</w:t>
        </w:r>
        <w:r>
          <w:tab/>
        </w:r>
        <w:r>
          <w:fldChar w:fldCharType="begin"/>
        </w:r>
        <w:r>
          <w:instrText xml:space="preserve"> PAGEREF _Toc13695 \h </w:instrText>
        </w:r>
        <w:r>
          <w:fldChar w:fldCharType="separate"/>
        </w:r>
        <w:r>
          <w:t>50</w:t>
        </w:r>
        <w:r>
          <w:fldChar w:fldCharType="end"/>
        </w:r>
      </w:hyperlink>
    </w:p>
    <w:p>
      <w:pPr>
        <w:pStyle w:val="TOC1"/>
        <w:tabs>
          <w:tab w:val="right" w:leader="dot" w:pos="8306"/>
        </w:tabs>
      </w:pPr>
      <w:hyperlink w:anchor="_Toc12911" w:history="1">
        <w:r>
          <w:rPr>
            <w:rFonts w:ascii="仿宋" w:eastAsia="仿宋" w:hAnsi="仿宋" w:cs="仿宋" w:hint="eastAsia"/>
            <w:lang w:eastAsia="zh-CN"/>
          </w:rPr>
          <w:t>十五、利益相关者分析与沟通计划</w:t>
        </w:r>
        <w:r>
          <w:tab/>
        </w:r>
        <w:r>
          <w:fldChar w:fldCharType="begin"/>
        </w:r>
        <w:r>
          <w:instrText xml:space="preserve"> PAGEREF _Toc12911 \h </w:instrText>
        </w:r>
        <w:r>
          <w:fldChar w:fldCharType="separate"/>
        </w:r>
        <w:r>
          <w:t>51</w:t>
        </w:r>
        <w:r>
          <w:fldChar w:fldCharType="end"/>
        </w:r>
      </w:hyperlink>
    </w:p>
    <w:p>
      <w:pPr>
        <w:pStyle w:val="TOC2"/>
        <w:tabs>
          <w:tab w:val="right" w:leader="dot" w:pos="8306"/>
        </w:tabs>
      </w:pPr>
      <w:hyperlink w:anchor="_Toc20695" w:history="1">
        <w:r>
          <w:rPr>
            <w:rFonts w:ascii="仿宋" w:eastAsia="仿宋" w:hAnsi="仿宋" w:cs="仿宋" w:hint="eastAsia"/>
            <w:lang w:eastAsia="zh-CN"/>
          </w:rPr>
          <w:t>(一)、利益相关者分析</w:t>
        </w:r>
        <w:r>
          <w:tab/>
        </w:r>
        <w:r>
          <w:fldChar w:fldCharType="begin"/>
        </w:r>
        <w:r>
          <w:instrText xml:space="preserve"> PAGEREF _Toc20695 \h </w:instrText>
        </w:r>
        <w:r>
          <w:fldChar w:fldCharType="separate"/>
        </w:r>
        <w:r>
          <w:t>51</w:t>
        </w:r>
        <w:r>
          <w:fldChar w:fldCharType="end"/>
        </w:r>
      </w:hyperlink>
    </w:p>
    <w:p>
      <w:pPr>
        <w:pStyle w:val="TOC2"/>
        <w:tabs>
          <w:tab w:val="right" w:leader="dot" w:pos="8306"/>
        </w:tabs>
      </w:pPr>
      <w:hyperlink w:anchor="_Toc6308" w:history="1">
        <w:r>
          <w:rPr>
            <w:rFonts w:ascii="仿宋" w:eastAsia="仿宋" w:hAnsi="仿宋" w:cs="仿宋" w:hint="eastAsia"/>
            <w:lang w:eastAsia="zh-CN"/>
          </w:rPr>
          <w:t>(二)、沟通计划</w:t>
        </w:r>
        <w:r>
          <w:tab/>
        </w:r>
        <w:r>
          <w:fldChar w:fldCharType="begin"/>
        </w:r>
        <w:r>
          <w:instrText xml:space="preserve"> PAGEREF _Toc6308 \h </w:instrText>
        </w:r>
        <w:r>
          <w:fldChar w:fldCharType="separate"/>
        </w:r>
        <w:r>
          <w:t>52</w:t>
        </w:r>
        <w:r>
          <w:fldChar w:fldCharType="end"/>
        </w:r>
      </w:hyperlink>
    </w:p>
    <w:p>
      <w:pPr>
        <w:pStyle w:val="TOC1"/>
        <w:tabs>
          <w:tab w:val="right" w:leader="dot" w:pos="8306"/>
        </w:tabs>
      </w:pPr>
      <w:hyperlink w:anchor="_Toc28702" w:history="1">
        <w:r>
          <w:rPr>
            <w:rFonts w:ascii="仿宋" w:eastAsia="仿宋" w:hAnsi="仿宋" w:cs="仿宋" w:hint="eastAsia"/>
            <w:lang w:eastAsia="zh-CN"/>
          </w:rPr>
          <w:t>十六、不停电电源(UPS)项目治理与监督</w:t>
        </w:r>
        <w:r>
          <w:tab/>
        </w:r>
        <w:r>
          <w:fldChar w:fldCharType="begin"/>
        </w:r>
        <w:r>
          <w:instrText xml:space="preserve"> PAGEREF _Toc28702 \h </w:instrText>
        </w:r>
        <w:r>
          <w:fldChar w:fldCharType="separate"/>
        </w:r>
        <w:r>
          <w:t>54</w:t>
        </w:r>
        <w:r>
          <w:fldChar w:fldCharType="end"/>
        </w:r>
      </w:hyperlink>
    </w:p>
    <w:p>
      <w:pPr>
        <w:pStyle w:val="TOC2"/>
        <w:tabs>
          <w:tab w:val="right" w:leader="dot" w:pos="8306"/>
        </w:tabs>
      </w:pPr>
      <w:hyperlink w:anchor="_Toc21823" w:history="1">
        <w:r>
          <w:rPr>
            <w:rFonts w:ascii="仿宋" w:eastAsia="仿宋" w:hAnsi="仿宋" w:cs="仿宋" w:hint="eastAsia"/>
            <w:lang w:eastAsia="zh-CN"/>
          </w:rPr>
          <w:t>(一)、不停电电源(UPS)项目治理结构</w:t>
        </w:r>
        <w:r>
          <w:tab/>
        </w:r>
        <w:r>
          <w:fldChar w:fldCharType="begin"/>
        </w:r>
        <w:r>
          <w:instrText xml:space="preserve"> PAGEREF _Toc21823 \h </w:instrText>
        </w:r>
        <w:r>
          <w:fldChar w:fldCharType="separate"/>
        </w:r>
        <w:r>
          <w:t>54</w:t>
        </w:r>
        <w:r>
          <w:fldChar w:fldCharType="end"/>
        </w:r>
      </w:hyperlink>
    </w:p>
    <w:p>
      <w:pPr>
        <w:pStyle w:val="TOC2"/>
        <w:tabs>
          <w:tab w:val="right" w:leader="dot" w:pos="8306"/>
        </w:tabs>
      </w:pPr>
      <w:hyperlink w:anchor="_Toc15006" w:history="1">
        <w:r>
          <w:rPr>
            <w:rFonts w:ascii="仿宋" w:eastAsia="仿宋" w:hAnsi="仿宋" w:cs="仿宋" w:hint="eastAsia"/>
            <w:lang w:eastAsia="zh-CN"/>
          </w:rPr>
          <w:t>(二)、监督与审计</w:t>
        </w:r>
        <w:r>
          <w:tab/>
        </w:r>
        <w:r>
          <w:fldChar w:fldCharType="begin"/>
        </w:r>
        <w:r>
          <w:instrText xml:space="preserve"> PAGEREF _Toc15006 \h </w:instrText>
        </w:r>
        <w:r>
          <w:fldChar w:fldCharType="separate"/>
        </w:r>
        <w:r>
          <w:t>55</w:t>
        </w:r>
        <w:r>
          <w:fldChar w:fldCharType="end"/>
        </w:r>
      </w:hyperlink>
    </w:p>
    <w:p>
      <w:pPr>
        <w:pStyle w:val="TOC1"/>
        <w:tabs>
          <w:tab w:val="right" w:leader="dot" w:pos="8306"/>
        </w:tabs>
      </w:pPr>
      <w:hyperlink w:anchor="_Toc1512" w:history="1">
        <w:r>
          <w:rPr>
            <w:rFonts w:ascii="仿宋" w:eastAsia="仿宋" w:hAnsi="仿宋" w:cs="仿宋" w:hint="eastAsia"/>
            <w:lang w:eastAsia="zh-CN"/>
          </w:rPr>
          <w:t>十七、不停电电源(UPS)项目工程方案分析</w:t>
        </w:r>
        <w:r>
          <w:tab/>
        </w:r>
        <w:r>
          <w:fldChar w:fldCharType="begin"/>
        </w:r>
        <w:r>
          <w:instrText xml:space="preserve"> PAGEREF _Toc1512 \h </w:instrText>
        </w:r>
        <w:r>
          <w:fldChar w:fldCharType="separate"/>
        </w:r>
        <w:r>
          <w:t>57</w:t>
        </w:r>
        <w:r>
          <w:fldChar w:fldCharType="end"/>
        </w:r>
      </w:hyperlink>
    </w:p>
    <w:p>
      <w:pPr>
        <w:pStyle w:val="TOC2"/>
        <w:tabs>
          <w:tab w:val="right" w:leader="dot" w:pos="8306"/>
        </w:tabs>
      </w:pPr>
      <w:hyperlink w:anchor="_Toc17603" w:history="1">
        <w:r>
          <w:rPr>
            <w:rFonts w:ascii="仿宋" w:eastAsia="仿宋" w:hAnsi="仿宋" w:cs="仿宋" w:hint="eastAsia"/>
            <w:lang w:eastAsia="zh-CN"/>
          </w:rPr>
          <w:t>(一)、建筑工程设计原则</w:t>
        </w:r>
        <w:r>
          <w:tab/>
        </w:r>
        <w:r>
          <w:fldChar w:fldCharType="begin"/>
        </w:r>
        <w:r>
          <w:instrText xml:space="preserve"> PAGEREF _Toc17603 \h </w:instrText>
        </w:r>
        <w:r>
          <w:fldChar w:fldCharType="separate"/>
        </w:r>
        <w:r>
          <w:t>57</w:t>
        </w:r>
        <w:r>
          <w:fldChar w:fldCharType="end"/>
        </w:r>
      </w:hyperlink>
    </w:p>
    <w:p>
      <w:pPr>
        <w:pStyle w:val="TOC2"/>
        <w:tabs>
          <w:tab w:val="right" w:leader="dot" w:pos="8306"/>
        </w:tabs>
      </w:pPr>
      <w:hyperlink w:anchor="_Toc11579" w:history="1">
        <w:r>
          <w:rPr>
            <w:rFonts w:ascii="仿宋" w:eastAsia="仿宋" w:hAnsi="仿宋" w:cs="仿宋" w:hint="eastAsia"/>
            <w:lang w:eastAsia="zh-CN"/>
          </w:rPr>
          <w:t>(二)、土建工程建设指标</w:t>
        </w:r>
        <w:r>
          <w:tab/>
        </w:r>
        <w:r>
          <w:fldChar w:fldCharType="begin"/>
        </w:r>
        <w:r>
          <w:instrText xml:space="preserve"> PAGEREF _Toc11579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3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07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的技术管理特点体现在其创新导向。通过引入最先进的技术趋势和解决方案，不停电电源(UPS)项目致力于提升科技含量、提高质量和效率水平。这意味着我们将采用最新的工具和方法，确保不停电电源(UPS)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不停电电源(UPS)项目技术管理的显著特征。通过整合不同领域的技术资源，我们实现了跨学科的协同工作。这有助于优化技术架构，提高整体效能。此外，整合性策略还促进了不同技术团队之间的紧密沟通和高效合作，确保不停电电源(UPS)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不停电电源(UPS)项目所采用的技术。通过不断优化技术方案，不停电电源(UPS)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不停电电源(UPS)项目团队将在不停电电源(UPS)项目初期识别可能的技术风险，并采取相应的预防和应对措施。通过建立健全的风险评估机制，不停电电源(UPS)项目能够在实施过程中及时发现并解决潜在的技术问题，保障不停电电源(UPS)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不停电电源(UPS)项目中，技术将成为不停电电源(UPS)项目成功的有力支持。这一深度剖析揭示了技术管理在不停电电源(UPS)项目实施中的关键作用，为不停电电源(UPS)项目的技术基础奠定了坚实的基础。</w:t>
      </w:r>
    </w:p>
    <w:p>
      <w:pPr>
        <w:pStyle w:val="Heading2"/>
        <w:ind w:firstLine="560" w:firstLineChars="200"/>
        <w:rPr>
          <w:rFonts w:ascii="仿宋" w:eastAsia="仿宋" w:hAnsi="仿宋" w:cs="仿宋" w:hint="eastAsia"/>
          <w:sz w:val="28"/>
          <w:lang w:eastAsia="zh-CN"/>
        </w:rPr>
      </w:pPr>
      <w:bookmarkStart w:id="4" w:name="_Toc32715"/>
      <w:r>
        <w:rPr>
          <w:rFonts w:ascii="仿宋" w:eastAsia="仿宋" w:hAnsi="仿宋" w:cs="仿宋" w:hint="eastAsia"/>
          <w:sz w:val="28"/>
          <w:lang w:eastAsia="zh-CN"/>
        </w:rPr>
        <w:t>(二)、不停电电源(UPS)项目工艺技术设计方案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不停电电源(UPS)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不停电电源(UPS)项目将严格按照相关行业规范要求进行组织。通过有效控制产品质量，不停电电源(UPS)项目将致力于为顾客提供优质的不停电电源(UPS)项目产品和良好的服务。这体现了不停电电源(UPS)项目对于生产活动合规性和质量标准的高度重视，为不停电电源(UPS)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不停电电源(UPS)项目注重生态效益和清洁生产原则。不停电电源(UPS)项目建设将紧密结合地方特色经济发展，与社会经济发展规划和区域环境保护规划方案相协调一致。通过与当地区域自然生态系统的结合，不停电电源(UPS)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不停电电源(UPS)项目产品具有多样化的客户需求和个性化的特点。因此，不停电电源(UPS)项目产品规格品种多样，且单批生产数量较小。为满足这一特点，不停电电源(UPS)项目承办单位将建设先进的柔性制造生产线。通过广泛应用柔性制造技术，不停电电源(UPS)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不停电电源(UPS)项目采用的技术具有较高的技术含量和自动化水平，处于国内先进水平。这一技术选用不仅体现了对生产效率、质量和环境友好性的高标准要求，同时为不停电电源(UPS)项目的可持续发展奠定了坚实的基础。</w:t>
      </w:r>
    </w:p>
    <w:p>
      <w:pPr>
        <w:pStyle w:val="Heading2"/>
        <w:ind w:firstLine="560" w:firstLineChars="200"/>
        <w:rPr>
          <w:rFonts w:ascii="仿宋" w:eastAsia="仿宋" w:hAnsi="仿宋" w:cs="仿宋" w:hint="eastAsia"/>
          <w:sz w:val="28"/>
          <w:lang w:eastAsia="zh-CN"/>
        </w:rPr>
      </w:pPr>
      <w:bookmarkStart w:id="5" w:name="_Toc287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为确保不停电电源(UPS)项目的高效生产和技术实施，我们制定了一套精心设计的设备选型方案，以满足不停电电源(UPS)项目生产、质量和环保的要求。该方案的主要特点如下：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不停电电源(UPS)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针对不停电电源(UPS)项目产品的多样性和小批量生产的特点，我们将建设柔性制造生产线。通过在设备选型中考虑柔性制造技术，可以灵活应对不同产品规格和生产需求，实现生产线的高度灵活性和适应性。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47"/>
      <w:r>
        <w:rPr>
          <w:rFonts w:ascii="仿宋" w:eastAsia="仿宋" w:hAnsi="仿宋" w:cs="仿宋" w:hint="eastAsia"/>
          <w:sz w:val="28"/>
          <w:lang w:eastAsia="zh-CN"/>
        </w:rPr>
        <w:t>二、不停电电源(UPS)项目建设背景及必要性分析</w:t>
      </w:r>
      <w:bookmarkEnd w:id="6"/>
    </w:p>
    <w:p>
      <w:pPr>
        <w:pStyle w:val="Heading2"/>
        <w:rPr>
          <w:rFonts w:ascii="仿宋" w:eastAsia="仿宋" w:hAnsi="仿宋" w:cs="仿宋" w:hint="eastAsia"/>
          <w:lang w:eastAsia="zh-CN"/>
        </w:rPr>
      </w:pPr>
      <w:bookmarkStart w:id="7" w:name="_Toc4439"/>
      <w:r>
        <w:rPr>
          <w:rFonts w:ascii="仿宋" w:eastAsia="仿宋" w:hAnsi="仿宋" w:cs="仿宋" w:hint="eastAsia"/>
          <w:lang w:eastAsia="zh-CN"/>
        </w:rPr>
        <w:t>(一)、不停电电源(UPS)项目背景分析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不停电电源(UPS)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不停电电源(UPS)项目在这个潮流中的定位。同时，我们将关注行业内涌现的新兴机遇，以便不停电电源(UPS)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不停电电源(UPS)项目提供了强大的发展动力。我们将聚焦于行业内最新的技术发展趋势，包括但不限于人工智能、大数据分析、物联网等领域。通过深度的技术研究，我们将确保不停电电源(UPS)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不停电电源(UPS)项目发展的源泉。我们将投入更多的精力对市场需求进行深入剖析，超越表面的需求，深入挖掘潜在的市场痛点和机遇。通过对市场需求的细致了解，不停电电源(UPS)项目将更有针对性地设计解决方案，满足市场的多样化需求，从而更好地促进不停电电源(UPS)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不停电电源(UPS)项目战略至关重要。我们将对竞争态势进行更为深入的分析，包括但不限于市场份额、产品特点、客户满意度等多个维度。通过深度的竞争分析，不停电电源(UPS)项目将能够更准确地把握市场脉搏，制定具有竞争力的不停电电源(UPS)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不停电电源(UPS)项目的发展具有直接的影响。我们将进行更为全面的法规和政策分析，了解行业发展中的潜在法律风险和合规挑战。通过充分了解和遵守相关法规，不停电电源(UPS)项目将确保在法律框架内合法合规运营，为不停电电源(UPS)项目的稳健发展提供有力支持。</w:t>
      </w:r>
    </w:p>
    <w:p>
      <w:pPr>
        <w:pStyle w:val="Heading2"/>
        <w:ind w:firstLine="560" w:firstLineChars="200"/>
        <w:rPr>
          <w:rFonts w:ascii="仿宋" w:eastAsia="仿宋" w:hAnsi="仿宋" w:cs="仿宋" w:hint="eastAsia"/>
          <w:sz w:val="28"/>
          <w:lang w:eastAsia="zh-CN"/>
        </w:rPr>
      </w:pPr>
      <w:bookmarkStart w:id="8" w:name="_Toc22898"/>
      <w:r>
        <w:rPr>
          <w:rFonts w:ascii="仿宋" w:eastAsia="仿宋" w:hAnsi="仿宋" w:cs="仿宋" w:hint="eastAsia"/>
          <w:sz w:val="28"/>
          <w:lang w:eastAsia="zh-CN"/>
        </w:rPr>
        <w:t>(二)、不停电电源(UPS)项目建设必要性分析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建设的迫切性源于对行业发展趋势的深刻洞察。我们正处于一个行业变革的时代，科技创新、数字化转型成为企业发展的关键动力。不停电电源(UPS)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建设不仅仅是为了跟上潮流，更是为了通过技术创新推动企业的持续发展。通过引入先进的技术和解决方案，不停电电源(UPS)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不停电电源(UPS)项目的建设成为必然选择，通过提高产品质量、拓展服务领域，从而在竞争中获得更多的机会。不停电电源(UPS)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不停电电源(UPS)项目建设的必要性体现在对客户需求更精准的满足。通过不停电电源(UPS)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建设的背后是对企业持续创新的追求。只有通过不断创新，企业才能在竞争中立于不败之地。不停电电源(UPS)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7596"/>
      <w:r>
        <w:rPr>
          <w:rFonts w:ascii="仿宋" w:eastAsia="仿宋" w:hAnsi="仿宋" w:cs="仿宋" w:hint="eastAsia"/>
          <w:sz w:val="28"/>
          <w:lang w:eastAsia="zh-CN"/>
        </w:rPr>
        <w:t>三、不停电电源(UPS)项目土建工程</w:t>
      </w:r>
      <w:bookmarkEnd w:id="9"/>
    </w:p>
    <w:p>
      <w:pPr>
        <w:pStyle w:val="Heading2"/>
        <w:rPr>
          <w:rFonts w:ascii="仿宋" w:eastAsia="仿宋" w:hAnsi="仿宋" w:cs="仿宋" w:hint="eastAsia"/>
          <w:lang w:eastAsia="zh-CN"/>
        </w:rPr>
      </w:pPr>
      <w:bookmarkStart w:id="10" w:name="_Toc2276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在不停电电源(UPS)项目的建筑工程设计中，我们将秉承一系列重要的设计原则，以确保不停电电源(UPS)项目建筑在功能、美观、可持续性等方面达到最佳效果。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首要原则是确保建筑的功能性得到最大化的发挥。我们将充分理解不停电电源(UPS)项目的实际需求，合理布局各个功能区域，保证建筑在满足业务需求的同时，提供高效的工作环境。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在建筑设计中，我们将综合考虑建设和运营成本。通过精细的经济效益分析，确保设计方案在高效利用资源的同时，对不停电电源(UPS)项目的长期盈利能力有积极的贡献。</w:t>
      </w:r>
    </w:p>
    <w:p>
      <w:pPr>
        <w:pStyle w:val="Heading2"/>
        <w:ind w:firstLine="560" w:firstLineChars="200"/>
        <w:rPr>
          <w:rFonts w:ascii="仿宋" w:eastAsia="仿宋" w:hAnsi="仿宋" w:cs="仿宋" w:hint="eastAsia"/>
          <w:sz w:val="28"/>
          <w:lang w:eastAsia="zh-CN"/>
        </w:rPr>
      </w:pPr>
      <w:bookmarkStart w:id="11" w:name="_Toc1444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停电电源(UPS)项目的土建工程设计中，我们将精准设定设计年限，结合不停电电源(UP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停电电源(UP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98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不停电电源(UP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停电电源(UPS)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停电电源(UP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0335"/>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本期工程不停电电源(UPS)项目预计总建筑面积XXX平方米，其中：计容建筑面积XXX平方米，计划建筑工程投资XX万元，占不停电电源(UPS)项目总投资的XX%。</w:t>
      </w:r>
    </w:p>
    <w:p>
      <w:pPr>
        <w:pStyle w:val="Heading1"/>
        <w:ind w:firstLine="560" w:firstLineChars="200"/>
        <w:rPr>
          <w:rFonts w:ascii="仿宋" w:eastAsia="仿宋" w:hAnsi="仿宋" w:cs="仿宋" w:hint="eastAsia"/>
          <w:sz w:val="28"/>
          <w:lang w:eastAsia="zh-CN"/>
        </w:rPr>
      </w:pPr>
      <w:bookmarkStart w:id="14" w:name="_Toc849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520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不停电电源(UPS)项目的主要产品是XXXX，预计年产值为XXX万元。这一产品在市场中占据着重要的地位，其广泛的应用范围使得该不停电电源(UPS)项目的市场前景非常广阔。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不停电电源(UPS)项目的xxx产品作为重要的原材料之一，将在多个领域发挥关键作用。其在建筑、交通、能源等方面的广泛应用将为整个产业链提供强大的支持，形成产业协同效应。不停电电源(UPS)项目的年产值XXX万XXX万XXX万万元不仅反映了其在市场上的巨大潜力，更预示着它对国民经济的积极贡献。这种关联度高、涉及面广的产业关系，使得该不停电电源(UPS)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005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总征地面积为XXXX平方米，相当于约XX.XX亩，其中净用地面积为XXXX平方米，红线范围内相当于约XX.XX亩。这一用地规模充分考虑了不停电电源(UPS)项目的建设需求，保障了不停电电源(UPS)项目在合适的空间内得以充分发展。不停电电源(UPS)项目规划的总建筑面积为XXXX平方米，其中主体工程建设占XXXX平方米，计容建筑面积达XXXX平方米。预计建筑工程的投资将达到XXXX万元，为不停电电源(UPS)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计划购置的设备共计XXXX台（套），设备购置费用为XXXX万元。这一设备购置计划充分考虑到不停电电源(UPS)项目的生产需求和技术要求，确保了不停电电源(UPS)项目在生产运营中具备先进的技术装备和高效的生产能力。设备的合理配置将为不停电电源(UPS)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项目计划总投资为XXXX万元，预计年实现营业收入为XXXX万元。这一产能规模的设定旨在确保不停电电源(UPS)项目能够在投资与回报之间取得平衡，实现长期可持续的发展。不停电电源(UPS)项目的总投资充分考虑到各个方面的需求，包括用地建设、设备购置等多个环节，以确保不停电电源(UPS)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637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5949"/>
      <w:r>
        <w:rPr>
          <w:rFonts w:ascii="仿宋" w:eastAsia="仿宋" w:hAnsi="仿宋" w:cs="仿宋" w:hint="eastAsia"/>
          <w:lang w:eastAsia="zh-CN"/>
        </w:rPr>
        <w:t>(一)、不停电电源(UPS)行业分析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行业一直以来都是市场的关注焦点。行业内的发展趋势、竞争态势以及潜在机会都对不停电电源(UPS)项目的推进产生深远的影响。通过深入研究行业的整体概貌，我们将更好地理解行业的核心特征，为不停电电源(UPS)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停电电源(UPS)行业，技术一直是推动创新和发展的关键因素。我们将对当前技术趋势进行详尽分析，包括但不限于人工智能、大数据应用、先进制造技术等。这有助于不停电电源(UPS)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不停电电源(UPS)项目成功的基础。我们将对主要竞争对手进行深入研究，包括其市场份额、产品特点、市场定位等。通过全面了解竞争对手的优势和劣势，不停电电源(UPS)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458"/>
      <w:r>
        <w:rPr>
          <w:rFonts w:ascii="仿宋" w:eastAsia="仿宋" w:hAnsi="仿宋" w:cs="仿宋" w:hint="eastAsia"/>
          <w:sz w:val="28"/>
          <w:lang w:eastAsia="zh-CN"/>
        </w:rPr>
        <w:t>(二)、不停电电源(UPS)市场分析预测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不停电电源(UPS)市场未来的增长趋势。这包括市场的整体规模、各细分领域的发展趋势等。不停电电源(UPS)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不停电电源(UPS)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https://d.book118.com/787031150010006032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866B9A"/>
    <w:rsid w:val="25866B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3115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2024-01-16T18:41:00Z</dcterms:created>
  <dcterms:modified xsi:type="dcterms:W3CDTF">2024-01-16T18:41:36Z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56F12944BAF94B6BB327A945449D9543_11</vt:lpwstr>
  </property>
  <property fmtid="{D5CDD505-2E9C-101B-9397-08002B2CF9AE}" pid="3" name="KSOProductBuildVer">
    <vt:lpwstr>2052-12.1.0.16120</vt:lpwstr>
  </property>
</Properties>
</file>