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油炸类制品项目建设总纲及方案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90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_Toc19900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7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_Toc6873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_Toc3109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_Toc12614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_Toc3589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2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_Toc11725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_Toc7449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96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_Toc20796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3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_Toc9453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0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_Toc14080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_Toc259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2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_Toc27442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_Toc14637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_Toc14865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_Toc1435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_Toc19534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_Toc107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2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_Toc32482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_Toc22726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_Toc6709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3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_Toc15303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9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_Toc27619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_Toc2500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8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_Toc8048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5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_Toc25265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8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_Toc21908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3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_Toc10923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0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_Toc14100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69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_Toc28669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_Toc26437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8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_Toc9748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7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_Toc7074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7" w:history="1">
        <w:r>
          <w:rPr>
            <w:rFonts w:ascii="仿宋" w:eastAsia="仿宋" w:hAnsi="仿宋" w:cs="仿宋" w:hint="eastAsia"/>
            <w:lang w:eastAsia="zh-CN"/>
          </w:rPr>
          <w:t>七、客户关系管理与市场拓展</w:t>
        </w:r>
        <w:r>
          <w:tab/>
        </w:r>
        <w:r>
          <w:fldChar w:fldCharType="begin"/>
        </w:r>
        <w:r>
          <w:instrText xml:space="preserve"> PAGEREF _Toc1337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_Toc2336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4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_Toc7444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68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_Toc7468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0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_Toc22590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4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_Toc26474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42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_Toc24942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_Toc697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1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_Toc7941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51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_Toc32518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82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_Toc24582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1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_Toc6891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2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_Toc28092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07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_Toc21307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_Toc3993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51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_Toc16351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_Toc15129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1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_Toc12471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52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_Toc14252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_Toc21077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_Toc32495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_Toc8659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_Toc9154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_Toc28689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35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_Toc7935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44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_Toc30744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42" w:history="1">
        <w:r>
          <w:rPr>
            <w:rFonts w:ascii="仿宋" w:eastAsia="仿宋" w:hAnsi="仿宋" w:cs="仿宋" w:hint="eastAsia"/>
            <w:lang w:eastAsia="zh-CN"/>
          </w:rPr>
          <w:t>十三、知识产权管理与保护</w:t>
        </w:r>
        <w:r>
          <w:tab/>
        </w:r>
        <w:r>
          <w:fldChar w:fldCharType="begin"/>
        </w:r>
        <w:r>
          <w:instrText xml:space="preserve"> PAGEREF _Toc5842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_Toc27009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_Toc7696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42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_Toc3842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_Toc4856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7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_Toc15007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_Toc16706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9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_Toc11269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95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_Toc18795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9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_Toc8095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42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_Toc8142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_Toc18095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_Toc31151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67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_Toc20467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_Toc3275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_Toc12044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90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87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0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油炸类制品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油炸类制品项目还将参与当地的环保活动和计划，如资助当地的环境保护项目或与社区合作进行环保宣传活动。通过这些活动，项目不仅能够提高自身的环境表现，还能在当地社区中树立积极的环保形象。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61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油炸类制品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油炸类制品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油炸类制品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58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172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在油炸类制品项目启动前，将进行一系列深入的地质调查，包括钻探和土壤取样，以深入了解项目区域的地层结构和土壤组成。特别是对于土壤的承载能力和地下水位的深度进行详细评估。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完成初始的地质风险评估后，油炸类制品项目将安装长期地质监测设备，如倾斜仪、裂缝计和地下水位计，以持续监测地质条件的变化。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7449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油炸类制品项目将通过这些措施来适应和尊重特殊环境条件，确保项目的可持续发展，同时减少对环境的负面影响。这不仅有助于保护自然和文化遗产，还能提升项目在社会责任方面的表现和形象。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0796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9453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油炸类制品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4080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https://d.book118.com/787063150011006031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油炸类制品项目建设总纲及方案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E38B6"/>
    <w:rsid w:val="69EE38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78706315001100603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2023-12-27T09:39:00Z</dcterms:created>
  <dcterms:modified xsi:type="dcterms:W3CDTF">2023-12-27T09:39:38Z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7DD50FC0CF964A3DB9F5F202623833C7_11</vt:lpwstr>
  </property>
  <property fmtid="{D5CDD505-2E9C-101B-9397-08002B2CF9AE}" pid="3" name="KSOProductBuildVer">
    <vt:lpwstr>2052-12.1.0.16120</vt:lpwstr>
  </property>
</Properties>
</file>