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1" w:lineRule="auto"/>
        <w:rPr>
          <w:rFonts w:ascii="Arial"/>
          <w:sz w:val="21"/>
        </w:rPr>
      </w:pPr>
    </w:p>
    <w:p>
      <w:pPr>
        <w:spacing w:before="101" w:line="221" w:lineRule="auto"/>
        <w:ind w:left="1324"/>
        <w:outlineLvl w:val="0"/>
        <w:rPr>
          <w:rFonts w:ascii="SimHei" w:eastAsia="SimHei" w:hAnsi="SimHei" w:cs="SimHei"/>
          <w:sz w:val="31"/>
          <w:szCs w:val="31"/>
        </w:rPr>
      </w:pPr>
      <w:r>
        <w:rPr>
          <w:rFonts w:ascii="SimHei" w:eastAsia="SimHei" w:hAnsi="SimHei" w:cs="SimHei"/>
          <w:b/>
          <w:bCs/>
          <w:sz w:val="31"/>
          <w:szCs w:val="31"/>
        </w:rPr>
        <w:t>辐射测温用一10</w:t>
      </w:r>
      <w:r>
        <w:rPr>
          <w:rFonts w:ascii="SimHei" w:eastAsia="SimHei" w:hAnsi="SimHei" w:cs="SimHei"/>
          <w:sz w:val="31"/>
          <w:szCs w:val="31"/>
        </w:rPr>
        <w:t xml:space="preserve"> </w:t>
      </w:r>
      <w:r>
        <w:rPr>
          <w:rFonts w:ascii="SimHei" w:eastAsia="SimHei" w:hAnsi="SimHei" w:cs="SimHei"/>
          <w:b/>
          <w:bCs/>
          <w:sz w:val="31"/>
          <w:szCs w:val="31"/>
        </w:rPr>
        <w:t>℃~200</w:t>
      </w:r>
      <w:r>
        <w:rPr>
          <w:rFonts w:ascii="SimHei" w:eastAsia="SimHei" w:hAnsi="SimHei" w:cs="SimHei"/>
          <w:sz w:val="31"/>
          <w:szCs w:val="31"/>
        </w:rPr>
        <w:t xml:space="preserve"> </w:t>
      </w:r>
      <w:r>
        <w:rPr>
          <w:rFonts w:ascii="SimHei" w:eastAsia="SimHei" w:hAnsi="SimHei" w:cs="SimHei"/>
          <w:b/>
          <w:bCs/>
          <w:sz w:val="31"/>
          <w:szCs w:val="31"/>
        </w:rPr>
        <w:t>℃黑体辐射源</w:t>
      </w:r>
      <w:r>
        <w:rPr>
          <w:rFonts w:ascii="SimHei" w:eastAsia="SimHei" w:hAnsi="SimHei" w:cs="SimHei"/>
          <w:b/>
          <w:bCs/>
          <w:spacing w:val="-1"/>
          <w:sz w:val="31"/>
          <w:szCs w:val="31"/>
        </w:rPr>
        <w:t>校准规范</w:t>
      </w:r>
    </w:p>
    <w:p>
      <w:pPr>
        <w:spacing w:line="251" w:lineRule="auto"/>
        <w:rPr>
          <w:rFonts w:ascii="Arial"/>
          <w:sz w:val="21"/>
        </w:rPr>
      </w:pPr>
    </w:p>
    <w:p>
      <w:pPr>
        <w:spacing w:line="251" w:lineRule="auto"/>
        <w:rPr>
          <w:rFonts w:ascii="Arial"/>
          <w:sz w:val="21"/>
        </w:rPr>
      </w:pPr>
    </w:p>
    <w:p>
      <w:pPr>
        <w:pStyle w:val="BodyText"/>
        <w:spacing w:before="75" w:line="220" w:lineRule="auto"/>
        <w:ind w:left="9"/>
      </w:pPr>
      <w:r>
        <w:rPr>
          <w:spacing w:val="-6"/>
        </w:rPr>
        <w:t>1</w:t>
      </w:r>
      <w:r>
        <w:rPr>
          <w:spacing w:val="7"/>
        </w:rPr>
        <w:t xml:space="preserve">  </w:t>
      </w:r>
      <w:r>
        <w:rPr>
          <w:b/>
          <w:bCs/>
          <w:spacing w:val="-6"/>
        </w:rPr>
        <w:t>范围</w:t>
      </w:r>
    </w:p>
    <w:p>
      <w:pPr>
        <w:pStyle w:val="BodyText"/>
        <w:spacing w:before="307" w:line="219" w:lineRule="auto"/>
        <w:ind w:left="489"/>
      </w:pPr>
      <w:r>
        <w:rPr>
          <w:spacing w:val="7"/>
        </w:rPr>
        <w:t>本规范适用于辐射测温用黑体辐射源在一10</w:t>
      </w:r>
      <w:r>
        <w:rPr>
          <w:spacing w:val="39"/>
        </w:rPr>
        <w:t xml:space="preserve"> </w:t>
      </w:r>
      <w:r>
        <w:rPr>
          <w:spacing w:val="7"/>
        </w:rPr>
        <w:t>℃~200</w:t>
      </w:r>
      <w:r>
        <w:rPr>
          <w:spacing w:val="40"/>
        </w:rPr>
        <w:t xml:space="preserve"> </w:t>
      </w:r>
      <w:r>
        <w:rPr>
          <w:spacing w:val="7"/>
        </w:rPr>
        <w:t>℃范</w:t>
      </w:r>
      <w:r>
        <w:rPr>
          <w:spacing w:val="6"/>
        </w:rPr>
        <w:t>围内有效亮度温度校准。</w:t>
      </w:r>
    </w:p>
    <w:p>
      <w:pPr>
        <w:spacing w:before="253" w:line="222" w:lineRule="auto"/>
        <w:ind w:left="13"/>
        <w:rPr>
          <w:rFonts w:ascii="SimHei" w:eastAsia="SimHei" w:hAnsi="SimHei" w:cs="SimHei"/>
          <w:sz w:val="23"/>
          <w:szCs w:val="23"/>
        </w:rPr>
      </w:pPr>
      <w:r>
        <w:rPr>
          <w:rFonts w:ascii="SimHei" w:eastAsia="SimHei" w:hAnsi="SimHei" w:cs="SimHei"/>
          <w:b/>
          <w:bCs/>
          <w:spacing w:val="1"/>
          <w:sz w:val="23"/>
          <w:szCs w:val="23"/>
        </w:rPr>
        <w:t>2</w:t>
      </w:r>
      <w:r>
        <w:rPr>
          <w:rFonts w:ascii="SimHei" w:eastAsia="SimHei" w:hAnsi="SimHei" w:cs="SimHei"/>
          <w:spacing w:val="1"/>
          <w:sz w:val="23"/>
          <w:szCs w:val="23"/>
        </w:rPr>
        <w:t xml:space="preserve">  </w:t>
      </w:r>
      <w:r>
        <w:rPr>
          <w:rFonts w:ascii="SimHei" w:eastAsia="SimHei" w:hAnsi="SimHei" w:cs="SimHei"/>
          <w:b/>
          <w:bCs/>
          <w:spacing w:val="1"/>
          <w:sz w:val="23"/>
          <w:szCs w:val="23"/>
        </w:rPr>
        <w:t>引用文件</w:t>
      </w:r>
    </w:p>
    <w:p>
      <w:pPr>
        <w:pStyle w:val="BodyText"/>
        <w:spacing w:before="286" w:line="218" w:lineRule="auto"/>
        <w:ind w:left="489"/>
      </w:pPr>
      <w:r>
        <w:t>JJF</w:t>
      </w:r>
      <w:r>
        <w:rPr>
          <w:spacing w:val="5"/>
        </w:rPr>
        <w:t xml:space="preserve"> 1007—2007  温度计量名词术语及定义</w:t>
      </w:r>
    </w:p>
    <w:p>
      <w:pPr>
        <w:pStyle w:val="BodyText"/>
        <w:spacing w:before="99" w:line="262" w:lineRule="auto"/>
        <w:ind w:left="9" w:right="117" w:firstLine="479"/>
      </w:pPr>
      <w:r>
        <w:rPr>
          <w:spacing w:val="15"/>
        </w:rPr>
        <w:t>凡是注日期的引用文件，仅注日期的版本适用于本规范；凡是不注日期</w:t>
      </w:r>
      <w:r>
        <w:rPr>
          <w:spacing w:val="14"/>
        </w:rPr>
        <w:t>的引用文</w:t>
      </w:r>
      <w:r>
        <w:t xml:space="preserve"> </w:t>
      </w:r>
      <w:r>
        <w:rPr>
          <w:spacing w:val="7"/>
        </w:rPr>
        <w:t>件，其最新版本(包括所有的修改单)适用于本规范。</w:t>
      </w:r>
    </w:p>
    <w:p>
      <w:pPr>
        <w:spacing w:before="265" w:line="222" w:lineRule="auto"/>
        <w:ind w:left="13"/>
        <w:rPr>
          <w:rFonts w:ascii="SimHei" w:eastAsia="SimHei" w:hAnsi="SimHei" w:cs="SimHei"/>
          <w:sz w:val="23"/>
          <w:szCs w:val="23"/>
        </w:rPr>
      </w:pPr>
      <w:r>
        <w:rPr>
          <w:rFonts w:ascii="SimHei" w:eastAsia="SimHei" w:hAnsi="SimHei" w:cs="SimHei"/>
          <w:b/>
          <w:bCs/>
          <w:spacing w:val="-7"/>
          <w:sz w:val="23"/>
          <w:szCs w:val="23"/>
        </w:rPr>
        <w:t>3</w:t>
      </w:r>
      <w:r>
        <w:rPr>
          <w:rFonts w:ascii="SimHei" w:eastAsia="SimHei" w:hAnsi="SimHei" w:cs="SimHei"/>
          <w:spacing w:val="7"/>
          <w:sz w:val="23"/>
          <w:szCs w:val="23"/>
        </w:rPr>
        <w:t xml:space="preserve">  </w:t>
      </w:r>
      <w:r>
        <w:rPr>
          <w:rFonts w:ascii="SimHei" w:eastAsia="SimHei" w:hAnsi="SimHei" w:cs="SimHei"/>
          <w:b/>
          <w:bCs/>
          <w:spacing w:val="-7"/>
          <w:sz w:val="23"/>
          <w:szCs w:val="23"/>
        </w:rPr>
        <w:t>术语</w:t>
      </w:r>
    </w:p>
    <w:p>
      <w:pPr>
        <w:pStyle w:val="BodyText"/>
        <w:spacing w:before="290" w:line="212" w:lineRule="auto"/>
        <w:ind w:left="9"/>
        <w:rPr>
          <w:rFonts w:ascii="Times New Roman" w:eastAsia="Times New Roman" w:hAnsi="Times New Roman" w:cs="Times New Roman"/>
        </w:rPr>
      </w:pPr>
      <w:r>
        <w:rPr>
          <w:spacing w:val="11"/>
        </w:rPr>
        <w:t xml:space="preserve">3.1   [绝对]黑体 </w:t>
      </w:r>
      <w:r>
        <w:rPr>
          <w:rFonts w:ascii="Times New Roman" w:eastAsia="Times New Roman" w:hAnsi="Times New Roman" w:cs="Times New Roman"/>
          <w:spacing w:val="11"/>
        </w:rPr>
        <w:t>[</w:t>
      </w:r>
      <w:r>
        <w:rPr>
          <w:rFonts w:ascii="Times New Roman" w:eastAsia="Times New Roman" w:hAnsi="Times New Roman" w:cs="Times New Roman"/>
        </w:rPr>
        <w:t>absolute</w:t>
      </w:r>
      <w:r>
        <w:rPr>
          <w:rFonts w:ascii="Times New Roman" w:eastAsia="Times New Roman" w:hAnsi="Times New Roman" w:cs="Times New Roman"/>
          <w:spacing w:val="11"/>
        </w:rPr>
        <w:t>]</w:t>
      </w:r>
      <w:r>
        <w:rPr>
          <w:rFonts w:ascii="Times New Roman" w:eastAsia="Times New Roman" w:hAnsi="Times New Roman" w:cs="Times New Roman"/>
        </w:rPr>
        <w:t>blackbody</w:t>
      </w:r>
    </w:p>
    <w:p>
      <w:pPr>
        <w:pStyle w:val="BodyText"/>
        <w:spacing w:before="123" w:line="255" w:lineRule="auto"/>
        <w:ind w:left="489" w:right="1065"/>
      </w:pPr>
      <w:r>
        <w:rPr>
          <w:spacing w:val="8"/>
        </w:rPr>
        <w:t>对任意方向、波长和偏振状态的入射辐射都能全部吸收的理想热辐射体。</w:t>
      </w:r>
      <w:r>
        <w:rPr>
          <w:spacing w:val="7"/>
        </w:rPr>
        <w:t xml:space="preserve"> </w:t>
      </w:r>
      <w:r>
        <w:rPr>
          <w:spacing w:val="-4"/>
        </w:rPr>
        <w:t>[JJF</w:t>
      </w:r>
      <w:r>
        <w:rPr>
          <w:spacing w:val="45"/>
        </w:rPr>
        <w:t xml:space="preserve">  </w:t>
      </w:r>
      <w:r>
        <w:rPr>
          <w:spacing w:val="-4"/>
        </w:rPr>
        <w:t>1007—2007,5.9]</w:t>
      </w:r>
    </w:p>
    <w:p>
      <w:pPr>
        <w:pStyle w:val="BodyText"/>
        <w:spacing w:before="88" w:line="212" w:lineRule="auto"/>
        <w:ind w:left="9"/>
        <w:rPr>
          <w:rFonts w:ascii="Times New Roman" w:eastAsia="Times New Roman" w:hAnsi="Times New Roman" w:cs="Times New Roman"/>
        </w:rPr>
      </w:pPr>
      <w:r>
        <w:rPr>
          <w:spacing w:val="6"/>
        </w:rPr>
        <w:t>3.2   [空腔]黑体辐射源</w:t>
      </w:r>
      <w:r>
        <w:rPr>
          <w:spacing w:val="25"/>
        </w:rPr>
        <w:t xml:space="preserve"> </w:t>
      </w:r>
      <w:r>
        <w:rPr>
          <w:rFonts w:ascii="Times New Roman" w:eastAsia="Times New Roman" w:hAnsi="Times New Roman" w:cs="Times New Roman"/>
          <w:spacing w:val="6"/>
        </w:rPr>
        <w:t>[</w:t>
      </w:r>
      <w:r>
        <w:rPr>
          <w:rFonts w:ascii="Times New Roman" w:eastAsia="Times New Roman" w:hAnsi="Times New Roman" w:cs="Times New Roman"/>
        </w:rPr>
        <w:t>cavity</w:t>
      </w:r>
      <w:r>
        <w:rPr>
          <w:rFonts w:ascii="Times New Roman" w:eastAsia="Times New Roman" w:hAnsi="Times New Roman" w:cs="Times New Roman"/>
          <w:spacing w:val="6"/>
        </w:rPr>
        <w:t>]</w:t>
      </w:r>
      <w:r>
        <w:rPr>
          <w:rFonts w:ascii="Times New Roman" w:eastAsia="Times New Roman" w:hAnsi="Times New Roman" w:cs="Times New Roman"/>
        </w:rPr>
        <w:t>blackbody</w:t>
      </w:r>
      <w:r>
        <w:rPr>
          <w:rFonts w:ascii="Times New Roman" w:eastAsia="Times New Roman" w:hAnsi="Times New Roman" w:cs="Times New Roman"/>
          <w:spacing w:val="6"/>
        </w:rPr>
        <w:t xml:space="preserve">     </w:t>
      </w:r>
      <w:r>
        <w:rPr>
          <w:rFonts w:ascii="Times New Roman" w:eastAsia="Times New Roman" w:hAnsi="Times New Roman" w:cs="Times New Roman"/>
        </w:rPr>
        <w:t>radiation</w:t>
      </w:r>
      <w:r>
        <w:rPr>
          <w:rFonts w:ascii="Times New Roman" w:eastAsia="Times New Roman" w:hAnsi="Times New Roman" w:cs="Times New Roman"/>
          <w:spacing w:val="6"/>
        </w:rPr>
        <w:t xml:space="preserve"> </w:t>
      </w:r>
      <w:r>
        <w:rPr>
          <w:rFonts w:ascii="Times New Roman" w:eastAsia="Times New Roman" w:hAnsi="Times New Roman" w:cs="Times New Roman"/>
          <w:spacing w:val="5"/>
        </w:rPr>
        <w:t xml:space="preserve">     </w:t>
      </w:r>
      <w:r>
        <w:rPr>
          <w:rFonts w:ascii="Times New Roman" w:eastAsia="Times New Roman" w:hAnsi="Times New Roman" w:cs="Times New Roman"/>
        </w:rPr>
        <w:t>source</w:t>
      </w:r>
    </w:p>
    <w:p>
      <w:pPr>
        <w:pStyle w:val="BodyText"/>
        <w:spacing w:before="112" w:line="391" w:lineRule="exact"/>
        <w:ind w:left="489"/>
      </w:pPr>
      <w:r>
        <w:rPr>
          <w:spacing w:val="9"/>
          <w:position w:val="11"/>
        </w:rPr>
        <w:t>用于检定或校准辐射温度计、具有稳定控制的温度和明确的发射率</w:t>
      </w:r>
      <w:r>
        <w:rPr>
          <w:spacing w:val="8"/>
          <w:position w:val="11"/>
        </w:rPr>
        <w:t>且热辐射特性接</w:t>
      </w:r>
    </w:p>
    <w:p>
      <w:pPr>
        <w:pStyle w:val="BodyText"/>
        <w:spacing w:line="220" w:lineRule="auto"/>
        <w:ind w:left="9"/>
      </w:pPr>
      <w:r>
        <w:rPr>
          <w:spacing w:val="4"/>
        </w:rPr>
        <w:t>近于黑体的凹形装置。</w:t>
      </w:r>
    </w:p>
    <w:p>
      <w:pPr>
        <w:pStyle w:val="BodyText"/>
        <w:spacing w:before="92" w:line="216" w:lineRule="auto"/>
        <w:ind w:left="489"/>
      </w:pPr>
      <w:r>
        <w:rPr>
          <w:spacing w:val="-3"/>
        </w:rPr>
        <w:t>[ASTM</w:t>
      </w:r>
      <w:r>
        <w:rPr>
          <w:spacing w:val="18"/>
        </w:rPr>
        <w:t xml:space="preserve">     </w:t>
      </w:r>
      <w:r>
        <w:rPr>
          <w:spacing w:val="-3"/>
        </w:rPr>
        <w:t>E2847—2013,3.1.2]</w:t>
      </w:r>
    </w:p>
    <w:p>
      <w:pPr>
        <w:pStyle w:val="BodyText"/>
        <w:spacing w:before="97" w:line="212" w:lineRule="auto"/>
        <w:rPr>
          <w:rFonts w:ascii="Times New Roman" w:eastAsia="Times New Roman" w:hAnsi="Times New Roman" w:cs="Times New Roman"/>
        </w:rPr>
      </w:pPr>
      <w:r>
        <w:rPr>
          <w:spacing w:val="11"/>
        </w:rPr>
        <w:t>3.3   [法向光谱]发射率</w:t>
      </w:r>
      <w:r>
        <w:rPr>
          <w:spacing w:val="24"/>
        </w:rPr>
        <w:t xml:space="preserve"> </w:t>
      </w:r>
      <w:r>
        <w:rPr>
          <w:rFonts w:ascii="Times New Roman" w:eastAsia="Times New Roman" w:hAnsi="Times New Roman" w:cs="Times New Roman"/>
          <w:spacing w:val="11"/>
        </w:rPr>
        <w:t>[</w:t>
      </w:r>
      <w:r>
        <w:rPr>
          <w:rFonts w:ascii="Times New Roman" w:eastAsia="Times New Roman" w:hAnsi="Times New Roman" w:cs="Times New Roman"/>
        </w:rPr>
        <w:t>normal</w:t>
      </w:r>
      <w:r>
        <w:rPr>
          <w:rFonts w:ascii="Times New Roman" w:eastAsia="Times New Roman" w:hAnsi="Times New Roman" w:cs="Times New Roman"/>
          <w:spacing w:val="2"/>
        </w:rPr>
        <w:t xml:space="preserve">         </w:t>
      </w:r>
      <w:r>
        <w:rPr>
          <w:rFonts w:ascii="Times New Roman" w:eastAsia="Times New Roman" w:hAnsi="Times New Roman" w:cs="Times New Roman"/>
        </w:rPr>
        <w:t>spectral</w:t>
      </w:r>
      <w:r>
        <w:rPr>
          <w:rFonts w:ascii="Times New Roman" w:eastAsia="Times New Roman" w:hAnsi="Times New Roman" w:cs="Times New Roman"/>
          <w:spacing w:val="11"/>
        </w:rPr>
        <w:t>]</w:t>
      </w:r>
      <w:r>
        <w:rPr>
          <w:rFonts w:ascii="Times New Roman" w:eastAsia="Times New Roman" w:hAnsi="Times New Roman" w:cs="Times New Roman"/>
        </w:rPr>
        <w:t>emissivity</w:t>
      </w:r>
    </w:p>
    <w:p>
      <w:pPr>
        <w:pStyle w:val="BodyText"/>
        <w:spacing w:before="122" w:line="364" w:lineRule="exact"/>
        <w:ind w:left="489"/>
      </w:pPr>
      <w:r>
        <w:rPr>
          <w:spacing w:val="8"/>
          <w:position w:val="9"/>
        </w:rPr>
        <w:t>物体的法向光谱辐射亮度与同温度黑体光谱辐射亮</w:t>
      </w:r>
      <w:r>
        <w:rPr>
          <w:spacing w:val="7"/>
          <w:position w:val="9"/>
        </w:rPr>
        <w:t>度之比。</w:t>
      </w:r>
    </w:p>
    <w:p>
      <w:pPr>
        <w:pStyle w:val="BodyText"/>
        <w:spacing w:line="212" w:lineRule="auto"/>
        <w:ind w:left="9"/>
        <w:rPr>
          <w:rFonts w:ascii="Times New Roman" w:eastAsia="Times New Roman" w:hAnsi="Times New Roman" w:cs="Times New Roman"/>
        </w:rPr>
      </w:pPr>
      <w:r>
        <w:rPr>
          <w:spacing w:val="11"/>
        </w:rPr>
        <w:t>3.4</w:t>
      </w:r>
      <w:r>
        <w:rPr>
          <w:spacing w:val="20"/>
        </w:rPr>
        <w:t xml:space="preserve">   </w:t>
      </w:r>
      <w:r>
        <w:rPr>
          <w:spacing w:val="11"/>
        </w:rPr>
        <w:t xml:space="preserve">[有效]发射率 </w:t>
      </w:r>
      <w:r>
        <w:rPr>
          <w:rFonts w:ascii="Times New Roman" w:eastAsia="Times New Roman" w:hAnsi="Times New Roman" w:cs="Times New Roman"/>
          <w:spacing w:val="11"/>
        </w:rPr>
        <w:t>[</w:t>
      </w:r>
      <w:r>
        <w:rPr>
          <w:rFonts w:ascii="Times New Roman" w:eastAsia="Times New Roman" w:hAnsi="Times New Roman" w:cs="Times New Roman"/>
        </w:rPr>
        <w:t>effective</w:t>
      </w:r>
      <w:r>
        <w:rPr>
          <w:rFonts w:ascii="Times New Roman" w:eastAsia="Times New Roman" w:hAnsi="Times New Roman" w:cs="Times New Roman"/>
          <w:spacing w:val="11"/>
        </w:rPr>
        <w:t>]</w:t>
      </w:r>
      <w:r>
        <w:rPr>
          <w:rFonts w:ascii="Times New Roman" w:eastAsia="Times New Roman" w:hAnsi="Times New Roman" w:cs="Times New Roman"/>
        </w:rPr>
        <w:t>emissivity</w:t>
      </w:r>
    </w:p>
    <w:p>
      <w:pPr>
        <w:pStyle w:val="BodyText"/>
        <w:spacing w:before="123" w:line="219" w:lineRule="auto"/>
        <w:ind w:left="489"/>
      </w:pPr>
      <w:r>
        <w:rPr>
          <w:spacing w:val="8"/>
        </w:rPr>
        <w:t>黑体辐射源有效光谱辐射亮度与同温度黑体辐射</w:t>
      </w:r>
      <w:r>
        <w:rPr>
          <w:spacing w:val="7"/>
        </w:rPr>
        <w:t>亮度之比。</w:t>
      </w:r>
    </w:p>
    <w:p>
      <w:pPr>
        <w:pStyle w:val="BodyText"/>
        <w:spacing w:before="91" w:line="212" w:lineRule="auto"/>
        <w:ind w:left="9"/>
        <w:rPr>
          <w:rFonts w:ascii="Times New Roman" w:eastAsia="Times New Roman" w:hAnsi="Times New Roman" w:cs="Times New Roman"/>
        </w:rPr>
      </w:pPr>
      <w:r>
        <w:rPr>
          <w:spacing w:val="8"/>
        </w:rPr>
        <w:t>3.5   [有效]亮度温度</w:t>
      </w:r>
      <w:r>
        <w:rPr>
          <w:spacing w:val="31"/>
        </w:rPr>
        <w:t xml:space="preserve"> </w:t>
      </w:r>
      <w:r>
        <w:rPr>
          <w:rFonts w:ascii="Times New Roman" w:eastAsia="Times New Roman" w:hAnsi="Times New Roman" w:cs="Times New Roman"/>
          <w:spacing w:val="8"/>
        </w:rPr>
        <w:t>[</w:t>
      </w:r>
      <w:r>
        <w:rPr>
          <w:rFonts w:ascii="Times New Roman" w:eastAsia="Times New Roman" w:hAnsi="Times New Roman" w:cs="Times New Roman"/>
        </w:rPr>
        <w:t>effective</w:t>
      </w:r>
      <w:r>
        <w:rPr>
          <w:rFonts w:ascii="Times New Roman" w:eastAsia="Times New Roman" w:hAnsi="Times New Roman" w:cs="Times New Roman"/>
          <w:spacing w:val="8"/>
        </w:rPr>
        <w:t>]</w:t>
      </w:r>
      <w:r>
        <w:rPr>
          <w:rFonts w:ascii="Times New Roman" w:eastAsia="Times New Roman" w:hAnsi="Times New Roman" w:cs="Times New Roman"/>
        </w:rPr>
        <w:t>radiance</w:t>
      </w:r>
      <w:r>
        <w:rPr>
          <w:rFonts w:ascii="Times New Roman" w:eastAsia="Times New Roman" w:hAnsi="Times New Roman" w:cs="Times New Roman"/>
          <w:spacing w:val="8"/>
        </w:rPr>
        <w:t xml:space="preserve">      </w:t>
      </w:r>
      <w:r>
        <w:rPr>
          <w:rFonts w:ascii="Times New Roman" w:eastAsia="Times New Roman" w:hAnsi="Times New Roman" w:cs="Times New Roman"/>
          <w:spacing w:val="7"/>
        </w:rPr>
        <w:t xml:space="preserve">   </w:t>
      </w:r>
      <w:r>
        <w:rPr>
          <w:rFonts w:ascii="Times New Roman" w:eastAsia="Times New Roman" w:hAnsi="Times New Roman" w:cs="Times New Roman"/>
        </w:rPr>
        <w:t>temperature</w:t>
      </w:r>
    </w:p>
    <w:p>
      <w:pPr>
        <w:pStyle w:val="BodyText"/>
        <w:spacing w:before="122" w:line="219" w:lineRule="auto"/>
        <w:ind w:left="489"/>
      </w:pPr>
      <w:r>
        <w:rPr>
          <w:spacing w:val="7"/>
        </w:rPr>
        <w:t>在给定波长范围，辐射亮度与被测热辐射体的有效辐射亮度相等的黑体的温</w:t>
      </w:r>
      <w:r>
        <w:rPr>
          <w:spacing w:val="6"/>
        </w:rPr>
        <w:t>度。</w:t>
      </w:r>
    </w:p>
    <w:p>
      <w:pPr>
        <w:spacing w:before="251" w:line="221" w:lineRule="auto"/>
        <w:ind w:left="13"/>
        <w:rPr>
          <w:rFonts w:ascii="SimHei" w:eastAsia="SimHei" w:hAnsi="SimHei" w:cs="SimHei"/>
          <w:sz w:val="23"/>
          <w:szCs w:val="23"/>
        </w:rPr>
      </w:pPr>
      <w:r>
        <w:rPr>
          <w:rFonts w:ascii="SimHei" w:eastAsia="SimHei" w:hAnsi="SimHei" w:cs="SimHei"/>
          <w:b/>
          <w:bCs/>
          <w:spacing w:val="-10"/>
          <w:sz w:val="23"/>
          <w:szCs w:val="23"/>
        </w:rPr>
        <w:t>4</w:t>
      </w:r>
      <w:r>
        <w:rPr>
          <w:rFonts w:ascii="SimHei" w:eastAsia="SimHei" w:hAnsi="SimHei" w:cs="SimHei"/>
          <w:spacing w:val="13"/>
          <w:sz w:val="23"/>
          <w:szCs w:val="23"/>
        </w:rPr>
        <w:t xml:space="preserve">  </w:t>
      </w:r>
      <w:r>
        <w:rPr>
          <w:rFonts w:ascii="SimHei" w:eastAsia="SimHei" w:hAnsi="SimHei" w:cs="SimHei"/>
          <w:b/>
          <w:bCs/>
          <w:spacing w:val="-10"/>
          <w:sz w:val="23"/>
          <w:szCs w:val="23"/>
        </w:rPr>
        <w:t>概述</w:t>
      </w:r>
    </w:p>
    <w:p>
      <w:pPr>
        <w:pStyle w:val="BodyText"/>
        <w:spacing w:before="292" w:line="221" w:lineRule="auto"/>
        <w:ind w:left="9"/>
      </w:pPr>
      <w:r>
        <w:rPr>
          <w:spacing w:val="-3"/>
        </w:rPr>
        <w:t>4.1</w:t>
      </w:r>
      <w:r>
        <w:rPr>
          <w:spacing w:val="16"/>
        </w:rPr>
        <w:t xml:space="preserve">  </w:t>
      </w:r>
      <w:r>
        <w:rPr>
          <w:spacing w:val="-3"/>
        </w:rPr>
        <w:t>用途</w:t>
      </w:r>
    </w:p>
    <w:p>
      <w:pPr>
        <w:pStyle w:val="BodyText"/>
        <w:spacing w:before="113" w:line="219" w:lineRule="auto"/>
        <w:ind w:left="489"/>
      </w:pPr>
      <w:r>
        <w:rPr>
          <w:spacing w:val="8"/>
        </w:rPr>
        <w:t>黑体辐射源用于校准辐射温度计、红外热像仪等辐射测温仪器。</w:t>
      </w:r>
    </w:p>
    <w:p>
      <w:pPr>
        <w:pStyle w:val="BodyText"/>
        <w:spacing w:before="108" w:line="220" w:lineRule="auto"/>
        <w:ind w:left="9"/>
      </w:pPr>
      <w:r>
        <w:rPr>
          <w:spacing w:val="3"/>
        </w:rPr>
        <w:t>4.2</w:t>
      </w:r>
      <w:r>
        <w:rPr>
          <w:spacing w:val="110"/>
        </w:rPr>
        <w:t xml:space="preserve"> </w:t>
      </w:r>
      <w:r>
        <w:rPr>
          <w:spacing w:val="3"/>
        </w:rPr>
        <w:t>原理与结构</w:t>
      </w:r>
    </w:p>
    <w:p>
      <w:pPr>
        <w:pStyle w:val="BodyText"/>
        <w:spacing w:before="65" w:line="400" w:lineRule="exact"/>
        <w:ind w:left="489"/>
        <w:sectPr>
          <w:headerReference w:type="default" r:id="rId4"/>
          <w:footerReference w:type="default" r:id="rId5"/>
          <w:pgSz w:w="11750" w:h="16820"/>
          <w:pgMar w:top="1800" w:right="1259" w:bottom="982" w:left="1310" w:header="1515" w:footer="823" w:gutter="0"/>
          <w:cols w:space="708"/>
        </w:sectPr>
      </w:pPr>
      <w:r>
        <w:rPr>
          <w:spacing w:val="9"/>
          <w:position w:val="12"/>
        </w:rPr>
        <w:t>等温封闭空腔内的热辐射为黑体辐射。黑体辐射源是具有小孔的等</w:t>
      </w:r>
      <w:r>
        <w:rPr>
          <w:spacing w:val="8"/>
          <w:position w:val="12"/>
        </w:rPr>
        <w:t>温空腔，其辐射</w:t>
      </w:r>
    </w:p>
    <w:p>
      <w:pPr>
        <w:pStyle w:val="BodyText"/>
        <w:spacing w:line="219" w:lineRule="auto"/>
        <w:ind w:left="9"/>
      </w:pPr>
      <w:r>
        <w:rPr>
          <w:spacing w:val="1"/>
        </w:rPr>
        <w:t>特性近似绝对黑体。</w:t>
      </w:r>
    </w:p>
    <w:p>
      <w:pPr>
        <w:pStyle w:val="BodyText"/>
        <w:spacing w:before="97" w:line="219" w:lineRule="auto"/>
        <w:ind w:left="489"/>
      </w:pPr>
      <w:r>
        <w:rPr>
          <w:spacing w:val="8"/>
        </w:rPr>
        <w:t>黑体辐射源为温度已知并可稳定工作的热辐</w:t>
      </w:r>
      <w:r>
        <w:rPr>
          <w:spacing w:val="7"/>
        </w:rPr>
        <w:t>射源。</w:t>
      </w:r>
    </w:p>
    <w:p>
      <w:pPr>
        <w:pStyle w:val="BodyText"/>
        <w:spacing w:before="88" w:line="262" w:lineRule="auto"/>
        <w:ind w:left="9" w:right="89" w:firstLine="479"/>
      </w:pPr>
      <w:r>
        <w:rPr>
          <w:spacing w:val="16"/>
        </w:rPr>
        <w:t>黑体辐射源通常由黑体空腔、温度测量与控制系统等构</w:t>
      </w:r>
      <w:r>
        <w:rPr>
          <w:spacing w:val="15"/>
        </w:rPr>
        <w:t>成。空腔通常为圆柱圆锥</w:t>
      </w:r>
      <w:r>
        <w:t xml:space="preserve"> </w:t>
      </w:r>
      <w:r>
        <w:rPr>
          <w:spacing w:val="3"/>
        </w:rPr>
        <w:t>型、双圆锥型、圆柱型或球型等。</w:t>
      </w:r>
    </w:p>
    <w:p>
      <w:pPr>
        <w:pStyle w:val="BodyText"/>
        <w:spacing w:before="117" w:line="219" w:lineRule="auto"/>
        <w:ind w:left="489"/>
      </w:pPr>
      <w:r>
        <w:rPr>
          <w:spacing w:val="8"/>
        </w:rPr>
        <w:t>黑体辐射源在低于露点温度使用时，应有措施保证空腔内</w:t>
      </w:r>
      <w:r>
        <w:rPr>
          <w:spacing w:val="7"/>
        </w:rPr>
        <w:t>表面无结露和结霜。</w:t>
      </w:r>
    </w:p>
    <w:p>
      <w:pPr>
        <w:spacing w:line="219" w:lineRule="auto"/>
        <w:sectPr>
          <w:headerReference w:type="default" r:id="rId6"/>
          <w:footerReference w:type="default" r:id="rId7"/>
          <w:type w:val="nextPage"/>
          <w:pgSz w:w="11750" w:h="16820"/>
          <w:pgMar w:top="1800" w:right="1259" w:bottom="982" w:left="1310" w:header="1515" w:footer="823" w:gutter="0"/>
          <w:pgNumType w:start="2"/>
          <w:cols w:space="708"/>
          <w:titlePg w:val="0"/>
        </w:sectPr>
      </w:pPr>
    </w:p>
    <w:p>
      <w:pPr>
        <w:pStyle w:val="BodyText"/>
        <w:spacing w:before="210" w:line="219" w:lineRule="auto"/>
        <w:ind w:left="26"/>
        <w:rPr>
          <w:sz w:val="24"/>
          <w:szCs w:val="24"/>
        </w:rPr>
      </w:pPr>
      <w:r>
        <w:rPr>
          <w:spacing w:val="-3"/>
          <w:sz w:val="24"/>
          <w:szCs w:val="24"/>
        </w:rPr>
        <w:t>4.3  黑体辐射源的特性参数</w:t>
      </w:r>
    </w:p>
    <w:p>
      <w:pPr>
        <w:pStyle w:val="BodyText"/>
        <w:spacing w:before="73" w:line="237" w:lineRule="auto"/>
        <w:ind w:left="26" w:right="35" w:firstLine="460"/>
        <w:rPr>
          <w:sz w:val="24"/>
          <w:szCs w:val="24"/>
        </w:rPr>
      </w:pPr>
      <w:r>
        <w:rPr>
          <w:sz w:val="24"/>
          <w:szCs w:val="24"/>
        </w:rPr>
        <w:t>黑体辐射源特性参数包括腔口直径、有效发</w:t>
      </w:r>
      <w:r>
        <w:rPr>
          <w:spacing w:val="-1"/>
          <w:sz w:val="24"/>
          <w:szCs w:val="24"/>
        </w:rPr>
        <w:t>射率、亮度温度、温度均匀性和温度稳</w:t>
      </w:r>
      <w:r>
        <w:rPr>
          <w:sz w:val="24"/>
          <w:szCs w:val="24"/>
        </w:rPr>
        <w:t xml:space="preserve"> </w:t>
      </w:r>
      <w:r>
        <w:rPr>
          <w:spacing w:val="-10"/>
          <w:sz w:val="24"/>
          <w:szCs w:val="24"/>
        </w:rPr>
        <w:t>定性等。</w:t>
      </w:r>
    </w:p>
    <w:p>
      <w:pPr>
        <w:spacing w:before="240" w:line="222" w:lineRule="auto"/>
        <w:ind w:left="29"/>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113"/>
          <w:sz w:val="24"/>
          <w:szCs w:val="24"/>
        </w:rPr>
        <w:t xml:space="preserve"> </w:t>
      </w:r>
      <w:r>
        <w:rPr>
          <w:rFonts w:ascii="SimHei" w:eastAsia="SimHei" w:hAnsi="SimHei" w:cs="SimHei"/>
          <w:b/>
          <w:bCs/>
          <w:spacing w:val="-5"/>
          <w:sz w:val="24"/>
          <w:szCs w:val="24"/>
        </w:rPr>
        <w:t>计量特性</w:t>
      </w:r>
    </w:p>
    <w:p>
      <w:pPr>
        <w:pStyle w:val="BodyText"/>
        <w:spacing w:before="246" w:line="219" w:lineRule="auto"/>
        <w:ind w:left="26"/>
        <w:rPr>
          <w:sz w:val="24"/>
          <w:szCs w:val="24"/>
        </w:rPr>
      </w:pPr>
      <w:r>
        <w:rPr>
          <w:sz w:val="24"/>
          <w:szCs w:val="24"/>
        </w:rPr>
        <w:t>5.1</w:t>
      </w:r>
      <w:r>
        <w:rPr>
          <w:spacing w:val="94"/>
          <w:sz w:val="24"/>
          <w:szCs w:val="24"/>
        </w:rPr>
        <w:t xml:space="preserve"> </w:t>
      </w:r>
      <w:r>
        <w:rPr>
          <w:sz w:val="24"/>
          <w:szCs w:val="24"/>
        </w:rPr>
        <w:t>亮度温度</w:t>
      </w:r>
    </w:p>
    <w:p>
      <w:pPr>
        <w:pStyle w:val="BodyText"/>
        <w:spacing w:before="75" w:line="219" w:lineRule="auto"/>
        <w:ind w:left="486"/>
        <w:rPr>
          <w:sz w:val="24"/>
          <w:szCs w:val="24"/>
        </w:rPr>
      </w:pPr>
      <w:r>
        <w:rPr>
          <w:spacing w:val="-1"/>
          <w:sz w:val="24"/>
          <w:szCs w:val="24"/>
        </w:rPr>
        <w:t>黑体辐射源亮度温度的不确定度应满足所开展的</w:t>
      </w:r>
      <w:r>
        <w:rPr>
          <w:spacing w:val="-2"/>
          <w:sz w:val="24"/>
          <w:szCs w:val="24"/>
        </w:rPr>
        <w:t>辐射温度计校准的不确定度要求。</w:t>
      </w:r>
    </w:p>
    <w:p>
      <w:pPr>
        <w:pStyle w:val="BodyText"/>
        <w:spacing w:before="45" w:line="219" w:lineRule="auto"/>
        <w:ind w:left="26"/>
        <w:rPr>
          <w:sz w:val="24"/>
          <w:szCs w:val="24"/>
        </w:rPr>
      </w:pPr>
      <w:r>
        <w:rPr>
          <w:spacing w:val="-4"/>
          <w:sz w:val="24"/>
          <w:szCs w:val="24"/>
        </w:rPr>
        <w:t>5.2  温度稳定性</w:t>
      </w:r>
    </w:p>
    <w:p>
      <w:pPr>
        <w:pStyle w:val="BodyText"/>
        <w:spacing w:before="174" w:line="219" w:lineRule="auto"/>
        <w:ind w:left="486"/>
        <w:rPr>
          <w:sz w:val="21"/>
          <w:szCs w:val="21"/>
        </w:rPr>
      </w:pPr>
      <w:r>
        <w:rPr>
          <w:spacing w:val="36"/>
          <w:sz w:val="21"/>
          <w:szCs w:val="21"/>
        </w:rPr>
        <w:t>温度稳定性为正常工作状态下在规定时间间隔内黑体辐射源空腔底部亮度温</w:t>
      </w:r>
      <w:r>
        <w:rPr>
          <w:spacing w:val="35"/>
          <w:sz w:val="21"/>
          <w:szCs w:val="21"/>
        </w:rPr>
        <w:t>度变</w:t>
      </w:r>
    </w:p>
    <w:p>
      <w:pPr>
        <w:pStyle w:val="BodyText"/>
        <w:spacing w:before="87" w:line="216" w:lineRule="auto"/>
        <w:ind w:left="26"/>
        <w:rPr>
          <w:sz w:val="21"/>
          <w:szCs w:val="21"/>
        </w:rPr>
      </w:pPr>
      <w:r>
        <w:rPr>
          <w:spacing w:val="24"/>
          <w:sz w:val="21"/>
          <w:szCs w:val="21"/>
        </w:rPr>
        <w:t xml:space="preserve">化的最大值。通常时间间隔为10 </w:t>
      </w:r>
      <w:r>
        <w:rPr>
          <w:sz w:val="21"/>
          <w:szCs w:val="21"/>
        </w:rPr>
        <w:t>min</w:t>
      </w:r>
      <w:r>
        <w:rPr>
          <w:spacing w:val="24"/>
          <w:sz w:val="21"/>
          <w:szCs w:val="21"/>
        </w:rPr>
        <w:t>,</w:t>
      </w:r>
    </w:p>
    <w:p>
      <w:pPr>
        <w:pStyle w:val="BodyText"/>
        <w:spacing w:line="220" w:lineRule="auto"/>
        <w:ind w:left="26"/>
        <w:rPr>
          <w:sz w:val="24"/>
          <w:szCs w:val="24"/>
        </w:rPr>
      </w:pPr>
      <w:r>
        <w:rPr>
          <w:spacing w:val="-4"/>
          <w:sz w:val="24"/>
          <w:szCs w:val="24"/>
        </w:rPr>
        <w:t>5.3  温度均匀性</w:t>
      </w:r>
    </w:p>
    <w:p>
      <w:pPr>
        <w:pStyle w:val="BodyText"/>
        <w:spacing w:before="93" w:line="219" w:lineRule="auto"/>
        <w:ind w:left="486"/>
        <w:rPr>
          <w:sz w:val="24"/>
          <w:szCs w:val="24"/>
        </w:rPr>
      </w:pPr>
      <w:r>
        <w:rPr>
          <w:spacing w:val="-2"/>
          <w:sz w:val="24"/>
          <w:szCs w:val="24"/>
        </w:rPr>
        <w:t>温度均匀性为黑体辐射源有效辐射区域内各点相对于中心点的温差。绝对值应不大</w:t>
      </w:r>
    </w:p>
    <w:p>
      <w:pPr>
        <w:pStyle w:val="BodyText"/>
        <w:spacing w:before="114" w:line="202" w:lineRule="auto"/>
        <w:ind w:left="26"/>
        <w:rPr>
          <w:sz w:val="24"/>
          <w:szCs w:val="24"/>
        </w:rPr>
      </w:pPr>
      <w:r>
        <w:rPr>
          <w:spacing w:val="1"/>
          <w:sz w:val="24"/>
          <w:szCs w:val="24"/>
        </w:rPr>
        <w:t>于0.15</w:t>
      </w:r>
      <w:r>
        <w:rPr>
          <w:spacing w:val="48"/>
          <w:sz w:val="24"/>
          <w:szCs w:val="24"/>
        </w:rPr>
        <w:t xml:space="preserve"> </w:t>
      </w:r>
      <w:r>
        <w:rPr>
          <w:spacing w:val="1"/>
          <w:sz w:val="24"/>
          <w:szCs w:val="24"/>
        </w:rPr>
        <w:t>℃和0.</w:t>
      </w:r>
      <w:r>
        <w:rPr>
          <w:spacing w:val="-70"/>
          <w:sz w:val="24"/>
          <w:szCs w:val="24"/>
        </w:rPr>
        <w:t xml:space="preserve"> </w:t>
      </w:r>
      <w:r>
        <w:rPr>
          <w:spacing w:val="1"/>
          <w:sz w:val="24"/>
          <w:szCs w:val="24"/>
        </w:rPr>
        <w:t>15%×黑体辐射源温度(单位为℃)中的大者。</w:t>
      </w:r>
    </w:p>
    <w:p>
      <w:pPr>
        <w:pStyle w:val="BodyText"/>
        <w:spacing w:before="1" w:line="220" w:lineRule="auto"/>
        <w:ind w:left="26"/>
        <w:rPr>
          <w:sz w:val="24"/>
          <w:szCs w:val="24"/>
        </w:rPr>
      </w:pPr>
      <w:r>
        <w:rPr>
          <w:spacing w:val="2"/>
          <w:sz w:val="24"/>
          <w:szCs w:val="24"/>
        </w:rPr>
        <w:t>5.4  绝缘电阻</w:t>
      </w:r>
    </w:p>
    <w:p>
      <w:pPr>
        <w:pStyle w:val="BodyText"/>
        <w:spacing w:before="59" w:line="371" w:lineRule="exact"/>
        <w:ind w:left="486"/>
        <w:rPr>
          <w:sz w:val="24"/>
          <w:szCs w:val="24"/>
        </w:rPr>
      </w:pPr>
      <w:r>
        <w:rPr>
          <w:rFonts w:ascii="FangSong" w:eastAsia="FangSong" w:hAnsi="FangSong" w:cs="FangSong"/>
          <w:spacing w:val="3"/>
          <w:position w:val="9"/>
          <w:sz w:val="24"/>
          <w:szCs w:val="24"/>
        </w:rPr>
        <w:t>常温下，黑体属射源的纯缘电阻不小于0.5</w:t>
      </w:r>
      <w:r>
        <w:rPr>
          <w:rFonts w:ascii="FangSong" w:eastAsia="FangSong" w:hAnsi="FangSong" w:cs="FangSong"/>
          <w:spacing w:val="3"/>
          <w:position w:val="9"/>
          <w:sz w:val="24"/>
          <w:szCs w:val="24"/>
        </w:rPr>
        <w:t xml:space="preserve"> </w:t>
      </w:r>
      <w:r>
        <w:rPr>
          <w:position w:val="9"/>
          <w:sz w:val="24"/>
          <w:szCs w:val="24"/>
        </w:rPr>
        <w:t>Ma</w:t>
      </w:r>
    </w:p>
    <w:p>
      <w:pPr>
        <w:pStyle w:val="BodyText"/>
        <w:spacing w:line="228" w:lineRule="auto"/>
        <w:ind w:left="426"/>
        <w:rPr>
          <w:rFonts w:ascii="STXinwei" w:eastAsia="STXinwei" w:hAnsi="STXinwei" w:cs="STXinwei"/>
          <w:sz w:val="24"/>
          <w:szCs w:val="24"/>
        </w:rPr>
      </w:pPr>
      <w:r>
        <w:rPr>
          <w:rFonts w:ascii="KaiTi" w:eastAsia="KaiTi" w:hAnsi="KaiTi" w:cs="KaiTi"/>
          <w:spacing w:val="-9"/>
          <w:sz w:val="24"/>
          <w:szCs w:val="24"/>
        </w:rPr>
        <w:t>注：以上</w:t>
      </w:r>
      <w:r>
        <w:rPr>
          <w:spacing w:val="-9"/>
          <w:sz w:val="24"/>
          <w:szCs w:val="24"/>
        </w:rPr>
        <w:t>滑标是用于合</w:t>
      </w:r>
      <w:r>
        <w:rPr>
          <w:rFonts w:ascii="STXinwei" w:eastAsia="STXinwei" w:hAnsi="STXinwei" w:cs="STXinwei"/>
          <w:spacing w:val="-9"/>
          <w:sz w:val="24"/>
          <w:szCs w:val="24"/>
        </w:rPr>
        <w:t>格性判别，仅供参</w:t>
      </w:r>
    </w:p>
    <w:p>
      <w:pPr>
        <w:spacing w:before="165" w:line="222" w:lineRule="auto"/>
        <w:rPr>
          <w:rFonts w:ascii="FangSong" w:eastAsia="FangSong" w:hAnsi="FangSong" w:cs="FangSong"/>
          <w:sz w:val="24"/>
          <w:szCs w:val="24"/>
        </w:rPr>
      </w:pPr>
      <w:r>
        <w:rPr>
          <w:rFonts w:ascii="FangSong" w:eastAsia="FangSong" w:hAnsi="FangSong" w:cs="FangSong"/>
          <w:b/>
          <w:bCs/>
          <w:spacing w:val="-7"/>
          <w:sz w:val="24"/>
          <w:szCs w:val="24"/>
        </w:rPr>
        <w:t>6</w:t>
      </w:r>
      <w:r>
        <w:rPr>
          <w:rFonts w:ascii="FangSong" w:eastAsia="FangSong" w:hAnsi="FangSong" w:cs="FangSong"/>
          <w:spacing w:val="5"/>
          <w:sz w:val="24"/>
          <w:szCs w:val="24"/>
        </w:rPr>
        <w:t xml:space="preserve">  </w:t>
      </w:r>
      <w:r>
        <w:rPr>
          <w:rFonts w:ascii="FangSong" w:eastAsia="FangSong" w:hAnsi="FangSong" w:cs="FangSong"/>
          <w:b/>
          <w:bCs/>
          <w:spacing w:val="-7"/>
          <w:sz w:val="24"/>
          <w:szCs w:val="24"/>
        </w:rPr>
        <w:t>校准条件</w:t>
      </w:r>
    </w:p>
    <w:p>
      <w:pPr>
        <w:pStyle w:val="BodyText"/>
        <w:spacing w:before="279" w:line="219" w:lineRule="auto"/>
        <w:ind w:left="26"/>
        <w:rPr>
          <w:sz w:val="24"/>
          <w:szCs w:val="24"/>
        </w:rPr>
      </w:pPr>
      <w:r>
        <w:rPr>
          <w:spacing w:val="-3"/>
          <w:sz w:val="24"/>
          <w:szCs w:val="24"/>
        </w:rPr>
        <w:t>6.1</w:t>
      </w:r>
      <w:r>
        <w:rPr>
          <w:spacing w:val="102"/>
          <w:sz w:val="24"/>
          <w:szCs w:val="24"/>
        </w:rPr>
        <w:t xml:space="preserve"> </w:t>
      </w:r>
      <w:r>
        <w:rPr>
          <w:spacing w:val="-3"/>
          <w:sz w:val="24"/>
          <w:szCs w:val="24"/>
        </w:rPr>
        <w:t>环境条件</w:t>
      </w:r>
    </w:p>
    <w:p>
      <w:pPr>
        <w:pStyle w:val="BodyText"/>
        <w:spacing w:before="66" w:line="220" w:lineRule="auto"/>
        <w:ind w:left="486"/>
        <w:rPr>
          <w:sz w:val="24"/>
          <w:szCs w:val="24"/>
        </w:rPr>
      </w:pPr>
      <w:r>
        <w:rPr>
          <w:spacing w:val="19"/>
          <w:sz w:val="24"/>
          <w:szCs w:val="24"/>
        </w:rPr>
        <w:t>环境温度：23±5)℃;相对湿度：20%～85%</w:t>
      </w:r>
    </w:p>
    <w:p>
      <w:pPr>
        <w:pStyle w:val="BodyText"/>
        <w:spacing w:before="63" w:line="248" w:lineRule="auto"/>
        <w:ind w:left="26" w:right="29" w:firstLine="460"/>
        <w:rPr>
          <w:sz w:val="24"/>
          <w:szCs w:val="24"/>
        </w:rPr>
      </w:pPr>
      <w:r>
        <w:rPr>
          <w:sz w:val="24"/>
          <w:szCs w:val="24"/>
        </w:rPr>
        <w:t>应满足森准餐辅助设备、被校准设备的速用环境条件要求</w:t>
      </w:r>
      <w:r>
        <w:rPr>
          <w:spacing w:val="-1"/>
          <w:sz w:val="24"/>
          <w:szCs w:val="24"/>
        </w:rPr>
        <w:t>。应无影响校准结果的环</w:t>
      </w:r>
      <w:r>
        <w:rPr>
          <w:sz w:val="24"/>
          <w:szCs w:val="24"/>
        </w:rPr>
        <w:t xml:space="preserve"> </w:t>
      </w:r>
      <w:r>
        <w:rPr>
          <w:spacing w:val="-8"/>
          <w:sz w:val="24"/>
          <w:szCs w:val="24"/>
        </w:rPr>
        <w:t>境辐射和空气对流。</w:t>
      </w:r>
    </w:p>
    <w:p>
      <w:pPr>
        <w:pStyle w:val="BodyText"/>
        <w:spacing w:before="36" w:line="220" w:lineRule="auto"/>
        <w:ind w:left="26"/>
        <w:rPr>
          <w:sz w:val="24"/>
          <w:szCs w:val="24"/>
        </w:rPr>
      </w:pPr>
      <w:r>
        <w:rPr>
          <w:spacing w:val="-4"/>
          <w:sz w:val="24"/>
          <w:szCs w:val="24"/>
        </w:rPr>
        <w:t>6.2  标准及辅助谩备</w:t>
      </w:r>
    </w:p>
    <w:p>
      <w:pPr>
        <w:pStyle w:val="BodyText"/>
        <w:spacing w:before="94" w:line="213" w:lineRule="auto"/>
        <w:ind w:left="26" w:right="70" w:firstLine="460"/>
        <w:rPr>
          <w:sz w:val="24"/>
          <w:szCs w:val="24"/>
        </w:rPr>
      </w:pPr>
      <w:r>
        <w:rPr>
          <w:spacing w:val="-1"/>
          <w:sz w:val="24"/>
          <w:szCs w:val="24"/>
        </w:rPr>
        <w:t>黑体辐射源比较测量设备由标准黑体辐射源、</w:t>
      </w:r>
      <w:r>
        <w:rPr>
          <w:spacing w:val="-2"/>
          <w:sz w:val="24"/>
          <w:szCs w:val="24"/>
        </w:rPr>
        <w:t>比较用辐射温度计和辅册设备组成。</w:t>
      </w:r>
      <w:r>
        <w:rPr>
          <w:sz w:val="24"/>
          <w:szCs w:val="24"/>
        </w:rPr>
        <w:t xml:space="preserve"> </w:t>
      </w:r>
      <w:r>
        <w:rPr>
          <w:spacing w:val="9"/>
          <w:sz w:val="24"/>
          <w:szCs w:val="24"/>
        </w:rPr>
        <w:t>6.2.1</w:t>
      </w:r>
      <w:r>
        <w:rPr>
          <w:spacing w:val="101"/>
          <w:sz w:val="24"/>
          <w:szCs w:val="24"/>
        </w:rPr>
        <w:t xml:space="preserve"> </w:t>
      </w:r>
      <w:r>
        <w:rPr>
          <w:spacing w:val="9"/>
          <w:sz w:val="24"/>
          <w:szCs w:val="24"/>
        </w:rPr>
        <w:t>标准黑体辐射源</w:t>
      </w:r>
    </w:p>
    <w:p>
      <w:pPr>
        <w:pStyle w:val="BodyText"/>
        <w:spacing w:before="35" w:line="219" w:lineRule="auto"/>
        <w:ind w:left="486"/>
        <w:rPr>
          <w:sz w:val="24"/>
          <w:szCs w:val="24"/>
        </w:rPr>
      </w:pPr>
      <w:r>
        <w:rPr>
          <w:spacing w:val="1"/>
          <w:sz w:val="24"/>
          <w:szCs w:val="24"/>
        </w:rPr>
        <w:t>标准黑体辐射源应符合表1的要求，建议使用热管或恒温槽黑体</w:t>
      </w:r>
      <w:r>
        <w:rPr>
          <w:sz w:val="24"/>
          <w:szCs w:val="24"/>
        </w:rPr>
        <w:t>辐射源。</w:t>
      </w:r>
    </w:p>
    <w:p>
      <w:pPr>
        <w:pStyle w:val="BodyText"/>
        <w:spacing w:before="82" w:line="219" w:lineRule="auto"/>
        <w:ind w:left="3129"/>
        <w:rPr>
          <w:sz w:val="24"/>
          <w:szCs w:val="24"/>
        </w:rPr>
      </w:pPr>
      <w:r>
        <w:rPr>
          <w:b/>
          <w:bCs/>
          <w:spacing w:val="-7"/>
          <w:sz w:val="24"/>
          <w:szCs w:val="24"/>
        </w:rPr>
        <w:t>表标准黑体辐射源技术要求</w:t>
      </w:r>
    </w:p>
    <w:tbl>
      <w:tblPr>
        <w:tblStyle w:val="TableNormal0"/>
        <w:tblW w:w="9090"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22"/>
        <w:gridCol w:w="5968"/>
      </w:tblGrid>
      <w:tr>
        <w:tblPrEx>
          <w:tblW w:w="9090"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3122" w:type="dxa"/>
            <w:vAlign w:val="top"/>
          </w:tcPr>
          <w:p>
            <w:pPr>
              <w:pStyle w:val="TableText"/>
              <w:spacing w:before="103" w:line="219" w:lineRule="auto"/>
              <w:ind w:left="1115"/>
            </w:pPr>
            <w:r>
              <w:rPr>
                <w:spacing w:val="-3"/>
              </w:rPr>
              <w:t>性能参数</w:t>
            </w:r>
          </w:p>
        </w:tc>
        <w:tc>
          <w:tcPr>
            <w:tcW w:w="5968" w:type="dxa"/>
            <w:vAlign w:val="top"/>
          </w:tcPr>
          <w:p>
            <w:pPr>
              <w:pStyle w:val="TableText"/>
              <w:spacing w:before="102" w:line="219" w:lineRule="auto"/>
              <w:ind w:left="2532"/>
            </w:pPr>
            <w:r>
              <w:rPr>
                <w:spacing w:val="-2"/>
              </w:rPr>
              <w:t>技本指标</w:t>
            </w:r>
          </w:p>
        </w:tc>
      </w:tr>
      <w:tr>
        <w:tblPrEx>
          <w:tblW w:w="9090" w:type="dxa"/>
          <w:tblInd w:w="6" w:type="dxa"/>
          <w:tblLayout w:type="fixed"/>
        </w:tblPrEx>
        <w:trPr>
          <w:trHeight w:val="409"/>
        </w:trPr>
        <w:tc>
          <w:tcPr>
            <w:tcW w:w="3122" w:type="dxa"/>
            <w:vAlign w:val="top"/>
          </w:tcPr>
          <w:p>
            <w:pPr>
              <w:pStyle w:val="TableText"/>
              <w:spacing w:before="100" w:line="220" w:lineRule="auto"/>
              <w:ind w:left="114"/>
            </w:pPr>
            <w:r>
              <w:rPr>
                <w:spacing w:val="4"/>
              </w:rPr>
              <w:t>温度范围</w:t>
            </w:r>
          </w:p>
        </w:tc>
        <w:tc>
          <w:tcPr>
            <w:tcW w:w="5968" w:type="dxa"/>
            <w:vAlign w:val="top"/>
          </w:tcPr>
          <w:p>
            <w:pPr>
              <w:pStyle w:val="TableText"/>
              <w:spacing w:before="99" w:line="219" w:lineRule="auto"/>
              <w:ind w:left="112"/>
            </w:pPr>
            <w:r>
              <w:rPr>
                <w:spacing w:val="-1"/>
              </w:rPr>
              <w:t>满足校准温度范围要求</w:t>
            </w:r>
          </w:p>
        </w:tc>
      </w:tr>
      <w:tr>
        <w:tblPrEx>
          <w:tblW w:w="9090" w:type="dxa"/>
          <w:tblInd w:w="6" w:type="dxa"/>
          <w:tblLayout w:type="fixed"/>
        </w:tblPrEx>
        <w:trPr>
          <w:trHeight w:val="817"/>
        </w:trPr>
        <w:tc>
          <w:tcPr>
            <w:tcW w:w="3122" w:type="dxa"/>
            <w:vAlign w:val="top"/>
          </w:tcPr>
          <w:p>
            <w:pPr>
              <w:rPr>
                <w:rFonts w:ascii="Arial"/>
                <w:sz w:val="21"/>
              </w:rPr>
            </w:pPr>
          </w:p>
          <w:p>
            <w:pPr>
              <w:pStyle w:val="TableText"/>
              <w:spacing w:before="69" w:line="219" w:lineRule="auto"/>
              <w:ind w:left="114"/>
            </w:pPr>
            <w:r>
              <w:rPr>
                <w:spacing w:val="-2"/>
              </w:rPr>
              <w:t>腔口直径</w:t>
            </w:r>
          </w:p>
        </w:tc>
        <w:tc>
          <w:tcPr>
            <w:tcW w:w="5968" w:type="dxa"/>
            <w:vAlign w:val="top"/>
          </w:tcPr>
          <w:p>
            <w:pPr>
              <w:pStyle w:val="TableText"/>
              <w:spacing w:before="169" w:line="244" w:lineRule="auto"/>
              <w:ind w:left="111" w:right="298" w:hanging="9"/>
            </w:pPr>
            <w:r>
              <w:rPr>
                <w:spacing w:val="-1"/>
              </w:rPr>
              <w:t>满足比较用辐射温度计的2倍以上视场直径要求，且直径一般</w:t>
            </w:r>
            <w:r>
              <w:rPr>
                <w:spacing w:val="17"/>
              </w:rPr>
              <w:t xml:space="preserve"> </w:t>
            </w:r>
            <w:r>
              <w:rPr>
                <w:spacing w:val="-2"/>
              </w:rPr>
              <w:t>不小于40 mm</w:t>
            </w:r>
          </w:p>
        </w:tc>
      </w:tr>
    </w:tbl>
    <w:p>
      <w:pPr>
        <w:sectPr>
          <w:headerReference w:type="default" r:id="rId8"/>
          <w:footerReference w:type="default" r:id="rId9"/>
          <w:pgSz w:w="11750" w:h="16820"/>
          <w:pgMar w:top="1769" w:right="1310" w:bottom="1052" w:left="1293" w:header="1454" w:footer="893" w:gutter="0"/>
          <w:pgNumType w:start="3"/>
          <w:cols w:space="708"/>
        </w:sectPr>
      </w:pPr>
    </w:p>
    <w:tbl>
      <w:tblPr>
        <w:tblStyle w:val="TableNormal1"/>
        <w:tblW w:w="9090"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22"/>
        <w:gridCol w:w="5968"/>
      </w:tblGrid>
      <w:tr>
        <w:tblPrEx>
          <w:tblW w:w="9090"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9"/>
        </w:trPr>
        <w:tc>
          <w:tcPr>
            <w:tcW w:w="3122" w:type="dxa"/>
            <w:vAlign w:val="top"/>
          </w:tcPr>
          <w:p>
            <w:pPr>
              <w:pStyle w:val="TableText"/>
              <w:spacing w:before="113" w:line="219" w:lineRule="auto"/>
              <w:ind w:left="114"/>
            </w:pPr>
            <w:r>
              <w:rPr>
                <w:spacing w:val="-2"/>
              </w:rPr>
              <w:t>有效发射率</w:t>
            </w:r>
          </w:p>
        </w:tc>
        <w:tc>
          <w:tcPr>
            <w:tcW w:w="5968" w:type="dxa"/>
            <w:vAlign w:val="top"/>
          </w:tcPr>
          <w:p>
            <w:pPr>
              <w:pStyle w:val="TableText"/>
              <w:spacing w:before="134" w:line="237" w:lineRule="auto"/>
              <w:ind w:left="112"/>
            </w:pPr>
            <w:r>
              <w:rPr>
                <w:spacing w:val="-5"/>
              </w:rPr>
              <w:t>≥0.998</w:t>
            </w:r>
          </w:p>
        </w:tc>
      </w:tr>
      <w:tr>
        <w:tblPrEx>
          <w:tblW w:w="9090" w:type="dxa"/>
          <w:tblInd w:w="6" w:type="dxa"/>
          <w:tblLayout w:type="fixed"/>
        </w:tblPrEx>
        <w:trPr>
          <w:trHeight w:val="409"/>
        </w:trPr>
        <w:tc>
          <w:tcPr>
            <w:tcW w:w="3122" w:type="dxa"/>
            <w:vAlign w:val="top"/>
          </w:tcPr>
          <w:p>
            <w:pPr>
              <w:pStyle w:val="TableText"/>
              <w:spacing w:before="104" w:line="219" w:lineRule="auto"/>
              <w:ind w:left="114"/>
            </w:pPr>
            <w:r>
              <w:rPr>
                <w:spacing w:val="-2"/>
              </w:rPr>
              <w:t>温度稳定性</w:t>
            </w:r>
          </w:p>
        </w:tc>
        <w:tc>
          <w:tcPr>
            <w:tcW w:w="5968" w:type="dxa"/>
            <w:vAlign w:val="top"/>
          </w:tcPr>
          <w:p>
            <w:pPr>
              <w:pStyle w:val="TableText"/>
              <w:spacing w:before="110" w:line="224" w:lineRule="auto"/>
              <w:ind w:left="112"/>
            </w:pPr>
            <w:r>
              <w:rPr>
                <w:spacing w:val="-5"/>
              </w:rPr>
              <w:t>≤0.05</w:t>
            </w:r>
            <w:r>
              <w:rPr>
                <w:spacing w:val="49"/>
              </w:rPr>
              <w:t xml:space="preserve"> </w:t>
            </w:r>
            <w:r>
              <w:rPr>
                <w:spacing w:val="-5"/>
              </w:rPr>
              <w:t>℃/10</w:t>
            </w:r>
            <w:r>
              <w:rPr>
                <w:spacing w:val="17"/>
              </w:rPr>
              <w:t xml:space="preserve"> </w:t>
            </w:r>
            <w:r>
              <w:rPr>
                <w:spacing w:val="-5"/>
              </w:rPr>
              <w:t>min</w:t>
            </w:r>
          </w:p>
        </w:tc>
      </w:tr>
      <w:tr>
        <w:tblPrEx>
          <w:tblW w:w="9090" w:type="dxa"/>
          <w:tblInd w:w="6" w:type="dxa"/>
          <w:tblLayout w:type="fixed"/>
        </w:tblPrEx>
        <w:trPr>
          <w:trHeight w:val="398"/>
        </w:trPr>
        <w:tc>
          <w:tcPr>
            <w:tcW w:w="3122" w:type="dxa"/>
            <w:vAlign w:val="top"/>
          </w:tcPr>
          <w:p>
            <w:pPr>
              <w:pStyle w:val="TableText"/>
              <w:spacing w:before="106" w:line="220" w:lineRule="auto"/>
              <w:ind w:left="114"/>
            </w:pPr>
            <w:r>
              <w:rPr>
                <w:spacing w:val="-2"/>
              </w:rPr>
              <w:t>温度均匀性</w:t>
            </w:r>
          </w:p>
        </w:tc>
        <w:tc>
          <w:tcPr>
            <w:tcW w:w="5968" w:type="dxa"/>
            <w:vAlign w:val="top"/>
          </w:tcPr>
          <w:p>
            <w:pPr>
              <w:pStyle w:val="TableText"/>
              <w:spacing w:before="124" w:line="232" w:lineRule="auto"/>
              <w:ind w:left="112"/>
            </w:pPr>
            <w:r>
              <w:rPr>
                <w:spacing w:val="-5"/>
              </w:rPr>
              <w:t>≤0.1</w:t>
            </w:r>
            <w:r>
              <w:rPr>
                <w:spacing w:val="76"/>
              </w:rPr>
              <w:t xml:space="preserve"> </w:t>
            </w:r>
            <w:r>
              <w:rPr>
                <w:spacing w:val="-5"/>
              </w:rPr>
              <w:t>℃</w:t>
            </w:r>
          </w:p>
        </w:tc>
      </w:tr>
      <w:tr>
        <w:tblPrEx>
          <w:tblW w:w="9090" w:type="dxa"/>
          <w:tblInd w:w="6" w:type="dxa"/>
          <w:tblLayout w:type="fixed"/>
        </w:tblPrEx>
        <w:trPr>
          <w:trHeight w:val="414"/>
        </w:trPr>
        <w:tc>
          <w:tcPr>
            <w:tcW w:w="3122" w:type="dxa"/>
            <w:vAlign w:val="top"/>
          </w:tcPr>
          <w:p>
            <w:pPr>
              <w:pStyle w:val="TableText"/>
              <w:spacing w:before="107" w:line="219" w:lineRule="auto"/>
              <w:ind w:left="114"/>
            </w:pPr>
            <w:r>
              <w:rPr>
                <w:spacing w:val="1"/>
              </w:rPr>
              <w:t>参考温度计准确度</w:t>
            </w:r>
          </w:p>
        </w:tc>
        <w:tc>
          <w:tcPr>
            <w:tcW w:w="5968" w:type="dxa"/>
            <w:vAlign w:val="top"/>
          </w:tcPr>
          <w:p>
            <w:pPr>
              <w:pStyle w:val="TableText"/>
              <w:spacing w:before="107" w:line="219" w:lineRule="auto"/>
              <w:ind w:left="112"/>
            </w:pPr>
            <w:r>
              <w:t>二等标准铂电阻温度计或不低于同等准确度的其他温度计</w:t>
            </w:r>
          </w:p>
        </w:tc>
      </w:tr>
    </w:tbl>
    <w:p>
      <w:pPr>
        <w:pStyle w:val="BodyText"/>
        <w:spacing w:before="295" w:line="219" w:lineRule="auto"/>
        <w:ind w:left="26"/>
        <w:rPr>
          <w:sz w:val="24"/>
          <w:szCs w:val="24"/>
        </w:rPr>
      </w:pPr>
      <w:r>
        <w:rPr>
          <w:spacing w:val="-3"/>
          <w:sz w:val="24"/>
          <w:szCs w:val="24"/>
        </w:rPr>
        <w:t>6.2.2  比较用辐射温度计</w:t>
      </w:r>
    </w:p>
    <w:p>
      <w:pPr>
        <w:pStyle w:val="BodyText"/>
        <w:spacing w:before="65" w:line="219" w:lineRule="auto"/>
        <w:ind w:left="486"/>
        <w:rPr>
          <w:sz w:val="24"/>
          <w:szCs w:val="24"/>
        </w:rPr>
      </w:pPr>
      <w:r>
        <w:rPr>
          <w:spacing w:val="1"/>
          <w:sz w:val="24"/>
          <w:szCs w:val="24"/>
        </w:rPr>
        <w:t>比较用辐射温度计应符合表2的要求。</w:t>
      </w:r>
    </w:p>
    <w:p>
      <w:pPr>
        <w:spacing w:line="219" w:lineRule="auto"/>
        <w:rPr>
          <w:sz w:val="24"/>
          <w:szCs w:val="24"/>
        </w:rPr>
        <w:sectPr>
          <w:headerReference w:type="default" r:id="rId10"/>
          <w:footerReference w:type="default" r:id="rId11"/>
          <w:type w:val="nextPage"/>
          <w:pgSz w:w="11750" w:h="16820"/>
          <w:pgMar w:top="1769" w:right="1310" w:bottom="1052" w:left="1293" w:header="1454" w:footer="893" w:gutter="0"/>
          <w:pgNumType w:start="4"/>
          <w:cols w:space="708"/>
          <w:titlePg w:val="0"/>
        </w:sectPr>
      </w:pPr>
    </w:p>
    <w:p>
      <w:pPr>
        <w:spacing w:before="224" w:line="222" w:lineRule="auto"/>
        <w:ind w:left="3059"/>
        <w:rPr>
          <w:rFonts w:ascii="SimHei" w:eastAsia="SimHei" w:hAnsi="SimHei" w:cs="SimHei"/>
          <w:sz w:val="22"/>
          <w:szCs w:val="22"/>
        </w:rPr>
      </w:pPr>
      <w:r>
        <w:rPr>
          <w:rFonts w:ascii="SimHei" w:eastAsia="SimHei" w:hAnsi="SimHei" w:cs="SimHei"/>
          <w:b/>
          <w:bCs/>
          <w:spacing w:val="-8"/>
          <w:sz w:val="22"/>
          <w:szCs w:val="22"/>
        </w:rPr>
        <w:t>表2</w:t>
      </w:r>
      <w:r>
        <w:rPr>
          <w:rFonts w:ascii="SimHei" w:eastAsia="SimHei" w:hAnsi="SimHei" w:cs="SimHei"/>
          <w:spacing w:val="-8"/>
          <w:sz w:val="22"/>
          <w:szCs w:val="22"/>
        </w:rPr>
        <w:t xml:space="preserve">  </w:t>
      </w:r>
      <w:r>
        <w:rPr>
          <w:rFonts w:ascii="SimHei" w:eastAsia="SimHei" w:hAnsi="SimHei" w:cs="SimHei"/>
          <w:b/>
          <w:bCs/>
          <w:spacing w:val="-8"/>
          <w:sz w:val="22"/>
          <w:szCs w:val="22"/>
        </w:rPr>
        <w:t>比较用辐射温度计技术要求</w:t>
      </w:r>
    </w:p>
    <w:p>
      <w:pPr>
        <w:spacing w:line="86" w:lineRule="exact"/>
      </w:pPr>
    </w:p>
    <w:tbl>
      <w:tblPr>
        <w:tblStyle w:val="TableNormal2"/>
        <w:tblW w:w="9090" w:type="dxa"/>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80"/>
        <w:gridCol w:w="4510"/>
      </w:tblGrid>
      <w:tr>
        <w:tblPrEx>
          <w:tblW w:w="9090" w:type="dxa"/>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4580" w:type="dxa"/>
            <w:vAlign w:val="top"/>
          </w:tcPr>
          <w:p>
            <w:pPr>
              <w:pStyle w:val="TableText"/>
              <w:spacing w:before="103" w:line="219" w:lineRule="auto"/>
              <w:ind w:left="1855"/>
            </w:pPr>
            <w:r>
              <w:rPr>
                <w:spacing w:val="-3"/>
              </w:rPr>
              <w:t>性能参数</w:t>
            </w:r>
          </w:p>
        </w:tc>
        <w:tc>
          <w:tcPr>
            <w:tcW w:w="4510" w:type="dxa"/>
            <w:vAlign w:val="top"/>
          </w:tcPr>
          <w:p>
            <w:pPr>
              <w:pStyle w:val="TableText"/>
              <w:spacing w:before="103" w:line="219" w:lineRule="auto"/>
              <w:ind w:left="1845"/>
            </w:pPr>
            <w:r>
              <w:rPr>
                <w:spacing w:val="-2"/>
              </w:rPr>
              <w:t>技术指标</w:t>
            </w:r>
          </w:p>
        </w:tc>
      </w:tr>
      <w:tr>
        <w:tblPrEx>
          <w:tblW w:w="9090" w:type="dxa"/>
          <w:tblInd w:w="46" w:type="dxa"/>
          <w:tblLayout w:type="fixed"/>
        </w:tblPrEx>
        <w:trPr>
          <w:trHeight w:val="408"/>
        </w:trPr>
        <w:tc>
          <w:tcPr>
            <w:tcW w:w="4580" w:type="dxa"/>
            <w:vAlign w:val="top"/>
          </w:tcPr>
          <w:p>
            <w:pPr>
              <w:pStyle w:val="TableText"/>
              <w:spacing w:before="101" w:line="220" w:lineRule="auto"/>
              <w:ind w:left="125"/>
            </w:pPr>
            <w:r>
              <w:rPr>
                <w:spacing w:val="4"/>
              </w:rPr>
              <w:t>温度范围</w:t>
            </w:r>
          </w:p>
        </w:tc>
        <w:tc>
          <w:tcPr>
            <w:tcW w:w="4510" w:type="dxa"/>
            <w:vAlign w:val="top"/>
          </w:tcPr>
          <w:p>
            <w:pPr>
              <w:pStyle w:val="TableText"/>
              <w:spacing w:before="100" w:line="219" w:lineRule="auto"/>
              <w:ind w:left="105"/>
            </w:pPr>
            <w:r>
              <w:rPr>
                <w:spacing w:val="-1"/>
              </w:rPr>
              <w:t>满足校准温度范围要求</w:t>
            </w:r>
          </w:p>
        </w:tc>
      </w:tr>
      <w:tr>
        <w:tblPrEx>
          <w:tblW w:w="9090" w:type="dxa"/>
          <w:tblInd w:w="46" w:type="dxa"/>
          <w:tblLayout w:type="fixed"/>
        </w:tblPrEx>
        <w:trPr>
          <w:trHeight w:val="409"/>
        </w:trPr>
        <w:tc>
          <w:tcPr>
            <w:tcW w:w="4580" w:type="dxa"/>
            <w:vAlign w:val="top"/>
          </w:tcPr>
          <w:p>
            <w:pPr>
              <w:pStyle w:val="TableText"/>
              <w:spacing w:before="103" w:line="220" w:lineRule="auto"/>
              <w:ind w:left="125"/>
            </w:pPr>
            <w:r>
              <w:rPr>
                <w:spacing w:val="-3"/>
              </w:rPr>
              <w:t>工作波段</w:t>
            </w:r>
          </w:p>
        </w:tc>
        <w:tc>
          <w:tcPr>
            <w:tcW w:w="4510" w:type="dxa"/>
            <w:vAlign w:val="top"/>
          </w:tcPr>
          <w:p>
            <w:pPr>
              <w:pStyle w:val="TableText"/>
              <w:spacing w:before="103" w:line="220" w:lineRule="auto"/>
              <w:ind w:left="105"/>
            </w:pPr>
            <w:r>
              <w:t>(8～14)μm或接近波段，其他波段可选</w:t>
            </w:r>
          </w:p>
        </w:tc>
      </w:tr>
      <w:tr>
        <w:tblPrEx>
          <w:tblW w:w="9090" w:type="dxa"/>
          <w:tblInd w:w="46" w:type="dxa"/>
          <w:tblLayout w:type="fixed"/>
        </w:tblPrEx>
        <w:trPr>
          <w:trHeight w:val="827"/>
        </w:trPr>
        <w:tc>
          <w:tcPr>
            <w:tcW w:w="4580" w:type="dxa"/>
            <w:vAlign w:val="top"/>
          </w:tcPr>
          <w:p>
            <w:pPr>
              <w:spacing w:line="243" w:lineRule="auto"/>
              <w:rPr>
                <w:rFonts w:ascii="Arial"/>
                <w:sz w:val="21"/>
              </w:rPr>
            </w:pPr>
          </w:p>
          <w:p>
            <w:pPr>
              <w:pStyle w:val="TableText"/>
              <w:spacing w:before="69" w:line="219" w:lineRule="auto"/>
              <w:ind w:left="125"/>
            </w:pPr>
            <w:r>
              <w:rPr>
                <w:spacing w:val="1"/>
              </w:rPr>
              <w:t>比较测量结果的噪声等效温差和分辨力</w:t>
            </w:r>
          </w:p>
        </w:tc>
        <w:tc>
          <w:tcPr>
            <w:tcW w:w="4510" w:type="dxa"/>
            <w:vAlign w:val="top"/>
          </w:tcPr>
          <w:p>
            <w:pPr>
              <w:pStyle w:val="TableText"/>
              <w:spacing w:before="174" w:line="268" w:lineRule="auto"/>
              <w:ind w:left="105" w:right="182"/>
            </w:pPr>
            <w:r>
              <w:t>应不劣于校准结果的最小量化值。通常不大于</w:t>
            </w:r>
            <w:r>
              <w:rPr>
                <w:spacing w:val="11"/>
              </w:rPr>
              <w:t xml:space="preserve"> </w:t>
            </w:r>
            <w:r>
              <w:rPr>
                <w:spacing w:val="-2"/>
              </w:rPr>
              <w:t>0.05</w:t>
            </w:r>
            <w:r>
              <w:rPr>
                <w:spacing w:val="57"/>
              </w:rPr>
              <w:t xml:space="preserve"> </w:t>
            </w:r>
            <w:r>
              <w:rPr>
                <w:spacing w:val="-2"/>
              </w:rPr>
              <w:t>℃</w:t>
            </w:r>
          </w:p>
        </w:tc>
      </w:tr>
      <w:tr>
        <w:tblPrEx>
          <w:tblW w:w="9090" w:type="dxa"/>
          <w:tblInd w:w="46" w:type="dxa"/>
          <w:tblLayout w:type="fixed"/>
        </w:tblPrEx>
        <w:trPr>
          <w:trHeight w:val="409"/>
        </w:trPr>
        <w:tc>
          <w:tcPr>
            <w:tcW w:w="4580" w:type="dxa"/>
            <w:vAlign w:val="top"/>
          </w:tcPr>
          <w:p>
            <w:pPr>
              <w:pStyle w:val="TableText"/>
              <w:spacing w:before="107" w:line="220" w:lineRule="auto"/>
              <w:ind w:left="125"/>
            </w:pPr>
            <w:r>
              <w:rPr>
                <w:spacing w:val="6"/>
              </w:rPr>
              <w:t>视场</w:t>
            </w:r>
          </w:p>
        </w:tc>
        <w:tc>
          <w:tcPr>
            <w:tcW w:w="4510" w:type="dxa"/>
            <w:vAlign w:val="top"/>
          </w:tcPr>
          <w:p>
            <w:pPr>
              <w:pStyle w:val="TableText"/>
              <w:spacing w:before="106" w:line="219" w:lineRule="auto"/>
              <w:ind w:left="105"/>
            </w:pPr>
            <w:r>
              <w:rPr>
                <w:spacing w:val="-1"/>
              </w:rPr>
              <w:t>不超过黑体辐射源腔口直径的1/2</w:t>
            </w:r>
          </w:p>
        </w:tc>
      </w:tr>
      <w:tr>
        <w:tblPrEx>
          <w:tblW w:w="9090" w:type="dxa"/>
          <w:tblInd w:w="46" w:type="dxa"/>
          <w:tblLayout w:type="fixed"/>
        </w:tblPrEx>
        <w:trPr>
          <w:trHeight w:val="413"/>
        </w:trPr>
        <w:tc>
          <w:tcPr>
            <w:tcW w:w="4580" w:type="dxa"/>
            <w:vAlign w:val="top"/>
          </w:tcPr>
          <w:p>
            <w:pPr>
              <w:pStyle w:val="TableText"/>
              <w:spacing w:before="107" w:line="219" w:lineRule="auto"/>
              <w:ind w:left="125"/>
            </w:pPr>
            <w:r>
              <w:rPr>
                <w:spacing w:val="1"/>
              </w:rPr>
              <w:t>最大允许误差</w:t>
            </w:r>
          </w:p>
        </w:tc>
        <w:tc>
          <w:tcPr>
            <w:tcW w:w="4510" w:type="dxa"/>
            <w:vAlign w:val="top"/>
          </w:tcPr>
          <w:p>
            <w:pPr>
              <w:pStyle w:val="TableText"/>
              <w:spacing w:before="107" w:line="219" w:lineRule="auto"/>
              <w:ind w:left="105"/>
            </w:pPr>
            <w:r>
              <w:rPr>
                <w:spacing w:val="1"/>
              </w:rPr>
              <w:t>士(1%×读数)℃或士1.4</w:t>
            </w:r>
            <w:r>
              <w:rPr>
                <w:spacing w:val="36"/>
              </w:rPr>
              <w:t xml:space="preserve"> </w:t>
            </w:r>
            <w:r>
              <w:rPr>
                <w:spacing w:val="1"/>
              </w:rPr>
              <w:t>℃</w:t>
            </w:r>
          </w:p>
        </w:tc>
      </w:tr>
    </w:tbl>
    <w:p>
      <w:pPr>
        <w:spacing w:line="261" w:lineRule="auto"/>
        <w:rPr>
          <w:rFonts w:ascii="Arial"/>
          <w:sz w:val="21"/>
        </w:rPr>
      </w:pPr>
    </w:p>
    <w:p>
      <w:pPr>
        <w:pStyle w:val="BodyText"/>
        <w:spacing w:before="72" w:line="220" w:lineRule="auto"/>
        <w:ind w:left="6"/>
        <w:rPr>
          <w:sz w:val="22"/>
          <w:szCs w:val="22"/>
        </w:rPr>
      </w:pPr>
      <w:r>
        <w:rPr>
          <w:spacing w:val="5"/>
          <w:sz w:val="22"/>
          <w:szCs w:val="22"/>
        </w:rPr>
        <w:t>6.2.3</w:t>
      </w:r>
      <w:r>
        <w:rPr>
          <w:spacing w:val="22"/>
          <w:sz w:val="22"/>
          <w:szCs w:val="22"/>
        </w:rPr>
        <w:t xml:space="preserve">  </w:t>
      </w:r>
      <w:r>
        <w:rPr>
          <w:spacing w:val="5"/>
          <w:sz w:val="22"/>
          <w:szCs w:val="22"/>
        </w:rPr>
        <w:t>辅助设备</w:t>
      </w:r>
    </w:p>
    <w:p>
      <w:pPr>
        <w:pStyle w:val="BodyText"/>
        <w:spacing w:before="86" w:line="283" w:lineRule="auto"/>
        <w:ind w:left="6" w:right="77" w:firstLine="479"/>
        <w:jc w:val="both"/>
        <w:rPr>
          <w:sz w:val="22"/>
          <w:szCs w:val="22"/>
        </w:rPr>
      </w:pPr>
      <w:r>
        <w:rPr>
          <w:spacing w:val="28"/>
          <w:sz w:val="22"/>
          <w:szCs w:val="22"/>
        </w:rPr>
        <w:t>同尺寸光阑2个，光阑温度应恒定，且2个光阑温度相同(建议使用恒温槽为光阑</w:t>
      </w:r>
      <w:r>
        <w:rPr>
          <w:spacing w:val="3"/>
          <w:sz w:val="22"/>
          <w:szCs w:val="22"/>
        </w:rPr>
        <w:t xml:space="preserve"> </w:t>
      </w:r>
      <w:r>
        <w:rPr>
          <w:spacing w:val="35"/>
          <w:sz w:val="22"/>
          <w:szCs w:val="22"/>
        </w:rPr>
        <w:t>提供恒温水)。光阑直径应大于比较用辐射温度计视场，建议为辐射温度计视场的</w:t>
      </w:r>
      <w:r>
        <w:rPr>
          <w:spacing w:val="6"/>
          <w:sz w:val="22"/>
          <w:szCs w:val="22"/>
        </w:rPr>
        <w:t xml:space="preserve"> </w:t>
      </w:r>
      <w:r>
        <w:rPr>
          <w:spacing w:val="23"/>
          <w:sz w:val="22"/>
          <w:szCs w:val="22"/>
        </w:rPr>
        <w:t>1.5倍。光阑表面应具备高吸收比。光阑温度的不确定</w:t>
      </w:r>
      <w:r>
        <w:rPr>
          <w:spacing w:val="22"/>
          <w:sz w:val="22"/>
          <w:szCs w:val="22"/>
        </w:rPr>
        <w:t>度不大于1℃。</w:t>
      </w:r>
    </w:p>
    <w:p>
      <w:pPr>
        <w:pStyle w:val="BodyText"/>
        <w:spacing w:before="89" w:line="257" w:lineRule="auto"/>
        <w:ind w:left="6" w:right="92" w:firstLine="479"/>
        <w:rPr>
          <w:sz w:val="22"/>
          <w:szCs w:val="22"/>
        </w:rPr>
      </w:pPr>
      <w:r>
        <w:rPr>
          <w:spacing w:val="18"/>
          <w:sz w:val="22"/>
          <w:szCs w:val="22"/>
        </w:rPr>
        <w:t xml:space="preserve">精密移动台或支架，用于测量标准和被校准黑体辐射源时比较用辐射温度计的位置 </w:t>
      </w:r>
      <w:r>
        <w:rPr>
          <w:spacing w:val="3"/>
          <w:sz w:val="22"/>
          <w:szCs w:val="22"/>
        </w:rPr>
        <w:t>切换。</w:t>
      </w:r>
    </w:p>
    <w:p>
      <w:pPr>
        <w:pStyle w:val="BodyText"/>
        <w:spacing w:before="97" w:line="379" w:lineRule="exact"/>
        <w:ind w:left="486"/>
        <w:rPr>
          <w:sz w:val="22"/>
          <w:szCs w:val="22"/>
        </w:rPr>
      </w:pPr>
      <w:r>
        <w:rPr>
          <w:spacing w:val="20"/>
          <w:position w:val="11"/>
          <w:sz w:val="22"/>
          <w:szCs w:val="22"/>
        </w:rPr>
        <w:t>参考温度计配套的电测设备，准确度不低于0.01级。</w:t>
      </w:r>
    </w:p>
    <w:p>
      <w:pPr>
        <w:pStyle w:val="BodyText"/>
        <w:spacing w:line="219" w:lineRule="auto"/>
        <w:ind w:left="486"/>
        <w:rPr>
          <w:sz w:val="22"/>
          <w:szCs w:val="22"/>
        </w:rPr>
      </w:pPr>
      <w:r>
        <w:rPr>
          <w:spacing w:val="23"/>
          <w:sz w:val="22"/>
          <w:szCs w:val="22"/>
        </w:rPr>
        <w:t>绝缘电阻测试仪，准确度不低于10级。</w:t>
      </w:r>
    </w:p>
    <w:p>
      <w:pPr>
        <w:spacing w:before="274" w:line="221" w:lineRule="auto"/>
        <w:ind w:left="9"/>
        <w:rPr>
          <w:rFonts w:ascii="SimHei" w:eastAsia="SimHei" w:hAnsi="SimHei" w:cs="SimHei"/>
          <w:sz w:val="22"/>
          <w:szCs w:val="22"/>
        </w:rPr>
      </w:pPr>
      <w:r>
        <w:rPr>
          <w:rFonts w:ascii="SimHei" w:eastAsia="SimHei" w:hAnsi="SimHei" w:cs="SimHei"/>
          <w:b/>
          <w:bCs/>
          <w:spacing w:val="12"/>
          <w:sz w:val="22"/>
          <w:szCs w:val="22"/>
        </w:rPr>
        <w:t>7</w:t>
      </w:r>
      <w:r>
        <w:rPr>
          <w:rFonts w:ascii="SimHei" w:eastAsia="SimHei" w:hAnsi="SimHei" w:cs="SimHei"/>
          <w:spacing w:val="5"/>
          <w:sz w:val="22"/>
          <w:szCs w:val="22"/>
        </w:rPr>
        <w:t xml:space="preserve">  </w:t>
      </w:r>
      <w:r>
        <w:rPr>
          <w:rFonts w:ascii="SimHei" w:eastAsia="SimHei" w:hAnsi="SimHei" w:cs="SimHei"/>
          <w:b/>
          <w:bCs/>
          <w:spacing w:val="12"/>
          <w:sz w:val="22"/>
          <w:szCs w:val="22"/>
        </w:rPr>
        <w:t>校准项目和校准方法</w:t>
      </w:r>
    </w:p>
    <w:p>
      <w:pPr>
        <w:pStyle w:val="BodyText"/>
        <w:spacing w:before="272" w:line="220" w:lineRule="auto"/>
        <w:ind w:left="6"/>
        <w:rPr>
          <w:sz w:val="22"/>
          <w:szCs w:val="22"/>
        </w:rPr>
      </w:pPr>
      <w:r>
        <w:rPr>
          <w:spacing w:val="4"/>
          <w:sz w:val="22"/>
          <w:szCs w:val="22"/>
        </w:rPr>
        <w:t>7.1</w:t>
      </w:r>
      <w:r>
        <w:rPr>
          <w:spacing w:val="36"/>
          <w:sz w:val="22"/>
          <w:szCs w:val="22"/>
        </w:rPr>
        <w:t xml:space="preserve">  </w:t>
      </w:r>
      <w:r>
        <w:rPr>
          <w:spacing w:val="4"/>
          <w:sz w:val="22"/>
          <w:szCs w:val="22"/>
        </w:rPr>
        <w:t>校准项目</w:t>
      </w:r>
    </w:p>
    <w:p>
      <w:pPr>
        <w:pStyle w:val="BodyText"/>
        <w:spacing w:before="118" w:line="219" w:lineRule="auto"/>
        <w:ind w:left="486"/>
        <w:rPr>
          <w:sz w:val="22"/>
          <w:szCs w:val="22"/>
        </w:rPr>
      </w:pPr>
      <w:r>
        <w:rPr>
          <w:spacing w:val="15"/>
          <w:sz w:val="22"/>
          <w:szCs w:val="22"/>
        </w:rPr>
        <w:t>校准项目见表3。</w:t>
      </w:r>
    </w:p>
    <w:p>
      <w:pPr>
        <w:spacing w:before="94" w:line="222" w:lineRule="auto"/>
        <w:ind w:left="3869"/>
        <w:rPr>
          <w:rFonts w:ascii="SimHei" w:eastAsia="SimHei" w:hAnsi="SimHei" w:cs="SimHei"/>
          <w:sz w:val="22"/>
          <w:szCs w:val="22"/>
        </w:rPr>
      </w:pPr>
      <w:r>
        <w:rPr>
          <w:rFonts w:ascii="SimHei" w:eastAsia="SimHei" w:hAnsi="SimHei" w:cs="SimHei"/>
          <w:b/>
          <w:bCs/>
          <w:spacing w:val="-3"/>
          <w:sz w:val="22"/>
          <w:szCs w:val="22"/>
        </w:rPr>
        <w:t>表3</w:t>
      </w:r>
      <w:r>
        <w:rPr>
          <w:rFonts w:ascii="SimHei" w:eastAsia="SimHei" w:hAnsi="SimHei" w:cs="SimHei"/>
          <w:spacing w:val="99"/>
          <w:sz w:val="22"/>
          <w:szCs w:val="22"/>
        </w:rPr>
        <w:t xml:space="preserve"> </w:t>
      </w:r>
      <w:r>
        <w:rPr>
          <w:rFonts w:ascii="SimHei" w:eastAsia="SimHei" w:hAnsi="SimHei" w:cs="SimHei"/>
          <w:b/>
          <w:bCs/>
          <w:spacing w:val="-3"/>
          <w:sz w:val="22"/>
          <w:szCs w:val="22"/>
        </w:rPr>
        <w:t>校准项目</w:t>
      </w:r>
    </w:p>
    <w:p>
      <w:pPr>
        <w:spacing w:line="86" w:lineRule="exact"/>
      </w:pPr>
    </w:p>
    <w:tbl>
      <w:tblPr>
        <w:tblStyle w:val="TableNormal2"/>
        <w:tblW w:w="9090" w:type="dxa"/>
        <w:tblInd w:w="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00"/>
        <w:gridCol w:w="4490"/>
      </w:tblGrid>
      <w:tr>
        <w:tblPrEx>
          <w:tblW w:w="9090" w:type="dxa"/>
          <w:tblInd w:w="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4600" w:type="dxa"/>
            <w:vAlign w:val="top"/>
          </w:tcPr>
          <w:p>
            <w:pPr>
              <w:pStyle w:val="TableText"/>
              <w:spacing w:before="114" w:line="221" w:lineRule="auto"/>
              <w:ind w:left="2094"/>
              <w:rPr>
                <w:sz w:val="20"/>
                <w:szCs w:val="20"/>
              </w:rPr>
            </w:pPr>
            <w:r>
              <w:rPr>
                <w:spacing w:val="-2"/>
                <w:sz w:val="20"/>
                <w:szCs w:val="20"/>
              </w:rPr>
              <w:t>序号</w:t>
            </w:r>
          </w:p>
        </w:tc>
        <w:tc>
          <w:tcPr>
            <w:tcW w:w="4490" w:type="dxa"/>
            <w:vAlign w:val="top"/>
          </w:tcPr>
          <w:p>
            <w:pPr>
              <w:pStyle w:val="TableText"/>
              <w:spacing w:before="113" w:line="220" w:lineRule="auto"/>
              <w:ind w:left="1834"/>
              <w:rPr>
                <w:sz w:val="20"/>
                <w:szCs w:val="20"/>
              </w:rPr>
            </w:pPr>
            <w:r>
              <w:rPr>
                <w:spacing w:val="2"/>
                <w:sz w:val="20"/>
                <w:szCs w:val="20"/>
              </w:rPr>
              <w:t>项目名称</w:t>
            </w:r>
          </w:p>
        </w:tc>
      </w:tr>
      <w:tr>
        <w:tblPrEx>
          <w:tblW w:w="9090" w:type="dxa"/>
          <w:tblInd w:w="16" w:type="dxa"/>
          <w:tblLayout w:type="fixed"/>
        </w:tblPrEx>
        <w:trPr>
          <w:trHeight w:val="408"/>
        </w:trPr>
        <w:tc>
          <w:tcPr>
            <w:tcW w:w="4600" w:type="dxa"/>
            <w:vAlign w:val="top"/>
          </w:tcPr>
          <w:p>
            <w:pPr>
              <w:pStyle w:val="TableText"/>
              <w:spacing w:before="160" w:line="184" w:lineRule="auto"/>
              <w:ind w:left="2245"/>
              <w:rPr>
                <w:sz w:val="20"/>
                <w:szCs w:val="20"/>
              </w:rPr>
            </w:pPr>
            <w:r>
              <w:rPr>
                <w:sz w:val="20"/>
                <w:szCs w:val="20"/>
              </w:rPr>
              <w:t>1</w:t>
            </w:r>
          </w:p>
        </w:tc>
        <w:tc>
          <w:tcPr>
            <w:tcW w:w="4490" w:type="dxa"/>
            <w:vAlign w:val="top"/>
          </w:tcPr>
          <w:p>
            <w:pPr>
              <w:pStyle w:val="TableText"/>
              <w:spacing w:before="111" w:line="221" w:lineRule="auto"/>
              <w:ind w:left="1834"/>
              <w:rPr>
                <w:sz w:val="20"/>
                <w:szCs w:val="20"/>
              </w:rPr>
            </w:pPr>
            <w:r>
              <w:rPr>
                <w:spacing w:val="-2"/>
                <w:sz w:val="20"/>
                <w:szCs w:val="20"/>
              </w:rPr>
              <w:t>绝缘电阻</w:t>
            </w:r>
          </w:p>
        </w:tc>
      </w:tr>
      <w:tr>
        <w:tblPrEx>
          <w:tblW w:w="9090" w:type="dxa"/>
          <w:tblInd w:w="16" w:type="dxa"/>
          <w:tblLayout w:type="fixed"/>
        </w:tblPrEx>
        <w:trPr>
          <w:trHeight w:val="408"/>
        </w:trPr>
        <w:tc>
          <w:tcPr>
            <w:tcW w:w="4600" w:type="dxa"/>
            <w:vAlign w:val="top"/>
          </w:tcPr>
          <w:p>
            <w:pPr>
              <w:pStyle w:val="TableText"/>
              <w:spacing w:before="163" w:line="183" w:lineRule="auto"/>
              <w:ind w:left="2245"/>
              <w:rPr>
                <w:sz w:val="20"/>
                <w:szCs w:val="20"/>
              </w:rPr>
            </w:pPr>
            <w:r>
              <w:rPr>
                <w:sz w:val="20"/>
                <w:szCs w:val="20"/>
              </w:rPr>
              <w:t>2</w:t>
            </w:r>
          </w:p>
        </w:tc>
        <w:tc>
          <w:tcPr>
            <w:tcW w:w="4490" w:type="dxa"/>
            <w:vAlign w:val="top"/>
          </w:tcPr>
          <w:p>
            <w:pPr>
              <w:pStyle w:val="TableText"/>
              <w:spacing w:before="112" w:line="219" w:lineRule="auto"/>
              <w:ind w:left="1734"/>
              <w:rPr>
                <w:sz w:val="20"/>
                <w:szCs w:val="20"/>
              </w:rPr>
            </w:pPr>
            <w:r>
              <w:rPr>
                <w:spacing w:val="-2"/>
                <w:sz w:val="20"/>
                <w:szCs w:val="20"/>
              </w:rPr>
              <w:t>温度稳定性</w:t>
            </w:r>
          </w:p>
        </w:tc>
      </w:tr>
      <w:tr>
        <w:tblPrEx>
          <w:tblW w:w="9090" w:type="dxa"/>
          <w:tblInd w:w="16" w:type="dxa"/>
          <w:tblLayout w:type="fixed"/>
        </w:tblPrEx>
        <w:trPr>
          <w:trHeight w:val="408"/>
        </w:trPr>
        <w:tc>
          <w:tcPr>
            <w:tcW w:w="4600" w:type="dxa"/>
            <w:vAlign w:val="top"/>
          </w:tcPr>
          <w:p>
            <w:pPr>
              <w:pStyle w:val="TableText"/>
              <w:spacing w:before="165" w:line="183" w:lineRule="auto"/>
              <w:ind w:left="2245"/>
              <w:rPr>
                <w:sz w:val="20"/>
                <w:szCs w:val="20"/>
              </w:rPr>
            </w:pPr>
            <w:r>
              <w:rPr>
                <w:sz w:val="20"/>
                <w:szCs w:val="20"/>
              </w:rPr>
              <w:t>3</w:t>
            </w:r>
          </w:p>
        </w:tc>
        <w:tc>
          <w:tcPr>
            <w:tcW w:w="4490" w:type="dxa"/>
            <w:vAlign w:val="top"/>
          </w:tcPr>
          <w:p>
            <w:pPr>
              <w:pStyle w:val="TableText"/>
              <w:spacing w:before="114" w:line="220" w:lineRule="auto"/>
              <w:ind w:left="1734"/>
              <w:rPr>
                <w:sz w:val="20"/>
                <w:szCs w:val="20"/>
              </w:rPr>
            </w:pPr>
            <w:r>
              <w:rPr>
                <w:spacing w:val="-2"/>
                <w:sz w:val="20"/>
                <w:szCs w:val="20"/>
              </w:rPr>
              <w:t>温度均匀性</w:t>
            </w:r>
          </w:p>
        </w:tc>
      </w:tr>
      <w:tr>
        <w:tblPrEx>
          <w:tblW w:w="9090" w:type="dxa"/>
          <w:tblInd w:w="16" w:type="dxa"/>
          <w:tblLayout w:type="fixed"/>
        </w:tblPrEx>
        <w:trPr>
          <w:trHeight w:val="412"/>
        </w:trPr>
        <w:tc>
          <w:tcPr>
            <w:tcW w:w="4600" w:type="dxa"/>
            <w:vAlign w:val="top"/>
          </w:tcPr>
          <w:p>
            <w:pPr>
              <w:pStyle w:val="TableText"/>
              <w:spacing w:before="167" w:line="183" w:lineRule="auto"/>
              <w:ind w:left="2245"/>
              <w:rPr>
                <w:sz w:val="20"/>
                <w:szCs w:val="20"/>
              </w:rPr>
            </w:pPr>
            <w:r>
              <w:rPr>
                <w:sz w:val="20"/>
                <w:szCs w:val="20"/>
              </w:rPr>
              <w:t>4</w:t>
            </w:r>
          </w:p>
        </w:tc>
        <w:tc>
          <w:tcPr>
            <w:tcW w:w="4490" w:type="dxa"/>
            <w:vAlign w:val="top"/>
          </w:tcPr>
          <w:p>
            <w:pPr>
              <w:pStyle w:val="TableText"/>
              <w:spacing w:before="116" w:line="219" w:lineRule="auto"/>
              <w:ind w:left="1834"/>
              <w:rPr>
                <w:sz w:val="20"/>
                <w:szCs w:val="20"/>
              </w:rPr>
            </w:pPr>
            <w:r>
              <w:rPr>
                <w:spacing w:val="2"/>
                <w:sz w:val="20"/>
                <w:szCs w:val="20"/>
              </w:rPr>
              <w:t>亮度温度</w:t>
            </w:r>
          </w:p>
        </w:tc>
      </w:tr>
    </w:tbl>
    <w:p>
      <w:pPr>
        <w:spacing w:line="258" w:lineRule="auto"/>
        <w:rPr>
          <w:rFonts w:ascii="Arial"/>
          <w:sz w:val="21"/>
        </w:rPr>
      </w:pPr>
    </w:p>
    <w:p>
      <w:pPr>
        <w:pStyle w:val="BodyText"/>
        <w:spacing w:before="72" w:line="220" w:lineRule="auto"/>
        <w:outlineLvl w:val="0"/>
        <w:rPr>
          <w:sz w:val="22"/>
          <w:szCs w:val="22"/>
        </w:rPr>
        <w:sectPr>
          <w:headerReference w:type="default" r:id="rId12"/>
          <w:footerReference w:type="default" r:id="rId13"/>
          <w:pgSz w:w="11750" w:h="16820"/>
          <w:pgMar w:top="1709" w:right="1290" w:bottom="1075" w:left="1293" w:header="1387" w:footer="926" w:gutter="0"/>
          <w:pgNumType w:start="5"/>
          <w:cols w:space="708"/>
        </w:sectPr>
      </w:pPr>
      <w:r>
        <w:rPr>
          <w:b/>
          <w:bCs/>
          <w:spacing w:val="-2"/>
          <w:sz w:val="22"/>
          <w:szCs w:val="22"/>
        </w:rPr>
        <w:t>7.2</w:t>
      </w:r>
      <w:r>
        <w:rPr>
          <w:spacing w:val="34"/>
          <w:sz w:val="22"/>
          <w:szCs w:val="22"/>
        </w:rPr>
        <w:t xml:space="preserve">  </w:t>
      </w:r>
      <w:r>
        <w:rPr>
          <w:b/>
          <w:bCs/>
          <w:spacing w:val="-2"/>
          <w:sz w:val="22"/>
          <w:szCs w:val="22"/>
        </w:rPr>
        <w:t>校准方法</w:t>
      </w:r>
    </w:p>
    <w:p>
      <w:pPr>
        <w:pStyle w:val="BodyText"/>
        <w:spacing w:before="101" w:line="220" w:lineRule="auto"/>
        <w:ind w:left="6"/>
        <w:rPr>
          <w:sz w:val="22"/>
          <w:szCs w:val="22"/>
        </w:rPr>
      </w:pPr>
      <w:r>
        <w:rPr>
          <w:spacing w:val="5"/>
          <w:sz w:val="22"/>
          <w:szCs w:val="22"/>
        </w:rPr>
        <w:t>7.2.1</w:t>
      </w:r>
      <w:r>
        <w:rPr>
          <w:spacing w:val="30"/>
          <w:sz w:val="22"/>
          <w:szCs w:val="22"/>
        </w:rPr>
        <w:t xml:space="preserve">  </w:t>
      </w:r>
      <w:r>
        <w:rPr>
          <w:spacing w:val="5"/>
          <w:sz w:val="22"/>
          <w:szCs w:val="22"/>
        </w:rPr>
        <w:t>校准原理</w:t>
      </w:r>
    </w:p>
    <w:p>
      <w:pPr>
        <w:pStyle w:val="BodyText"/>
        <w:spacing w:before="86" w:line="266" w:lineRule="auto"/>
        <w:ind w:left="6" w:right="90" w:firstLine="479"/>
        <w:rPr>
          <w:sz w:val="22"/>
          <w:szCs w:val="22"/>
        </w:rPr>
      </w:pPr>
      <w:r>
        <w:rPr>
          <w:spacing w:val="19"/>
          <w:sz w:val="22"/>
          <w:szCs w:val="22"/>
        </w:rPr>
        <w:t>采用比较法，以标准黑体辐射源为标准，辐射</w:t>
      </w:r>
      <w:r>
        <w:rPr>
          <w:spacing w:val="18"/>
          <w:sz w:val="22"/>
          <w:szCs w:val="22"/>
        </w:rPr>
        <w:t>温度计为比较器，校准黑体辐射源亮</w:t>
      </w:r>
      <w:r>
        <w:rPr>
          <w:sz w:val="22"/>
          <w:szCs w:val="22"/>
        </w:rPr>
        <w:t xml:space="preserve"> </w:t>
      </w:r>
      <w:r>
        <w:rPr>
          <w:spacing w:val="22"/>
          <w:sz w:val="22"/>
          <w:szCs w:val="22"/>
        </w:rPr>
        <w:t>度温度。校准装置如图1所示。</w:t>
      </w:r>
    </w:p>
    <w:p>
      <w:pPr>
        <w:spacing w:line="266" w:lineRule="auto"/>
        <w:rPr>
          <w:sz w:val="22"/>
          <w:szCs w:val="22"/>
        </w:rPr>
        <w:sectPr>
          <w:headerReference w:type="default" r:id="rId14"/>
          <w:footerReference w:type="default" r:id="rId15"/>
          <w:type w:val="nextPage"/>
          <w:pgSz w:w="11750" w:h="16820"/>
          <w:pgMar w:top="1709" w:right="1290" w:bottom="1075" w:left="1293" w:header="1387" w:footer="926" w:gutter="0"/>
          <w:pgNumType w:start="6"/>
          <w:cols w:space="708"/>
          <w:titlePg w:val="0"/>
        </w:sectPr>
      </w:pPr>
    </w:p>
    <w:p>
      <w:pPr>
        <w:spacing w:line="254" w:lineRule="auto"/>
        <w:rPr>
          <w:rFonts w:ascii="Arial"/>
          <w:sz w:val="21"/>
        </w:rPr>
      </w:pPr>
      <w:r>
        <w:drawing>
          <wp:anchor distT="0" distB="0" distL="0" distR="0" simplePos="0" relativeHeight="251658240" behindDoc="0" locked="0" layoutInCell="0" allowOverlap="1">
            <wp:simplePos x="0" y="0"/>
            <wp:positionH relativeFrom="page">
              <wp:posOffset>1619240</wp:posOffset>
            </wp:positionH>
            <wp:positionV relativeFrom="page">
              <wp:posOffset>6788118</wp:posOffset>
            </wp:positionV>
            <wp:extent cx="4190982" cy="34925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4190982" cy="349258"/>
                    </a:xfrm>
                    <a:prstGeom prst="rect">
                      <a:avLst/>
                    </a:prstGeom>
                  </pic:spPr>
                </pic:pic>
              </a:graphicData>
            </a:graphic>
          </wp:anchor>
        </w:drawing>
      </w:r>
    </w:p>
    <w:p>
      <w:pPr>
        <w:pStyle w:val="BodyText"/>
        <w:spacing w:before="62" w:line="219" w:lineRule="auto"/>
        <w:ind w:left="2620"/>
        <w:rPr>
          <w:sz w:val="19"/>
          <w:szCs w:val="19"/>
        </w:rPr>
      </w:pPr>
      <w:r>
        <w:rPr>
          <w:spacing w:val="19"/>
          <w:sz w:val="19"/>
          <w:szCs w:val="19"/>
        </w:rPr>
        <w:t>标准黑体辐射源</w:t>
      </w:r>
    </w:p>
    <w:p>
      <w:pPr>
        <w:pStyle w:val="BodyText"/>
        <w:spacing w:before="16" w:line="4130" w:lineRule="exact"/>
        <w:ind w:firstLine="1789"/>
      </w:pPr>
      <w:r>
        <w:rPr>
          <w:position w:val="-82"/>
        </w:rPr>
        <w:pict>
          <v:group id="_x0000_i1025" style="width:279.5pt;height:206.5pt;mso-position-horizontal-relative:char;mso-position-vertical-relative:line" coordorigin="0,0" coordsize="5590,41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590;height:4130;position:absolute" filled="f" stroked="f">
              <v:imagedata r:id="rId17" o:title=""/>
            </v:shape>
            <v:shapetype id="_x0000_t202" coordsize="21600,21600" o:spt="202" path="m,l,21600r21600,l21600,xe">
              <v:stroke joinstyle="miter"/>
              <v:path gradientshapeok="t" o:connecttype="rect"/>
            </v:shapetype>
            <v:shape id="_x0000_s1027" type="#_x0000_t202" style="width:5340;height:3641;left:209;position:absolute;top:309" filled="f" stroked="f">
              <o:lock v:ext="edit" aspectratio="f"/>
              <v:textbox inset="0,0,0,0">
                <w:txbxContent>
                  <w:p>
                    <w:pPr>
                      <w:spacing w:before="20" w:line="219" w:lineRule="auto"/>
                      <w:ind w:left="3190"/>
                      <w:rPr>
                        <w:rFonts w:ascii="SimSun" w:eastAsia="SimSun" w:hAnsi="SimSun" w:cs="SimSun"/>
                        <w:sz w:val="23"/>
                        <w:szCs w:val="23"/>
                      </w:rPr>
                    </w:pPr>
                    <w:r>
                      <w:rPr>
                        <w:rFonts w:ascii="SimSun" w:eastAsia="SimSun" w:hAnsi="SimSun" w:cs="SimSun"/>
                        <w:spacing w:val="-19"/>
                        <w:sz w:val="23"/>
                        <w:szCs w:val="23"/>
                      </w:rPr>
                      <w:t>被校黑体辐射源</w:t>
                    </w:r>
                  </w:p>
                  <w:p>
                    <w:pPr>
                      <w:spacing w:line="407" w:lineRule="auto"/>
                      <w:rPr>
                        <w:rFonts w:ascii="Arial"/>
                        <w:sz w:val="21"/>
                      </w:rPr>
                    </w:pPr>
                  </w:p>
                  <w:p>
                    <w:pPr>
                      <w:spacing w:before="52" w:line="185" w:lineRule="auto"/>
                      <w:ind w:left="1230"/>
                      <w:rPr>
                        <w:rFonts w:ascii="Times New Roman" w:eastAsia="Times New Roman" w:hAnsi="Times New Roman" w:cs="Times New Roman"/>
                        <w:sz w:val="18"/>
                        <w:szCs w:val="18"/>
                      </w:rPr>
                    </w:pPr>
                    <w:r>
                      <w:rPr>
                        <w:rFonts w:ascii="Times New Roman" w:eastAsia="Times New Roman" w:hAnsi="Times New Roman" w:cs="Times New Roman"/>
                        <w:i/>
                        <w:iCs/>
                        <w:spacing w:val="-5"/>
                        <w:sz w:val="18"/>
                        <w:szCs w:val="18"/>
                      </w:rPr>
                      <w:t>T₃</w:t>
                    </w:r>
                  </w:p>
                  <w:p>
                    <w:pPr>
                      <w:spacing w:before="60" w:line="178" w:lineRule="auto"/>
                      <w:ind w:left="3720"/>
                      <w:rPr>
                        <w:rFonts w:ascii="SimSun" w:eastAsia="SimSun" w:hAnsi="SimSun" w:cs="SimSun"/>
                        <w:sz w:val="17"/>
                        <w:szCs w:val="17"/>
                      </w:rPr>
                    </w:pPr>
                    <w:r>
                      <w:rPr>
                        <w:rFonts w:ascii="Times New Roman" w:eastAsia="Times New Roman" w:hAnsi="Times New Roman" w:cs="Times New Roman"/>
                        <w:spacing w:val="-3"/>
                        <w:sz w:val="17"/>
                        <w:szCs w:val="17"/>
                      </w:rPr>
                      <w:t>T</w:t>
                    </w:r>
                    <w:r>
                      <w:rPr>
                        <w:rFonts w:ascii="SimSun" w:eastAsia="SimSun" w:hAnsi="SimSun" w:cs="SimSun"/>
                        <w:spacing w:val="-3"/>
                        <w:sz w:val="17"/>
                        <w:szCs w:val="17"/>
                      </w:rPr>
                      <w:t>。</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61" w:line="219" w:lineRule="auto"/>
                      <w:jc w:val="right"/>
                      <w:rPr>
                        <w:rFonts w:ascii="SimSun" w:eastAsia="SimSun" w:hAnsi="SimSun" w:cs="SimSun"/>
                        <w:sz w:val="19"/>
                        <w:szCs w:val="19"/>
                      </w:rPr>
                    </w:pPr>
                    <w:r>
                      <w:rPr>
                        <w:rFonts w:ascii="SimSun" w:eastAsia="SimSun" w:hAnsi="SimSun" w:cs="SimSun"/>
                        <w:spacing w:val="-9"/>
                        <w:sz w:val="19"/>
                        <w:szCs w:val="19"/>
                      </w:rPr>
                      <w:t>-</w:t>
                    </w:r>
                    <w:r>
                      <w:rPr>
                        <w:rFonts w:ascii="SimSun" w:eastAsia="SimSun" w:hAnsi="SimSun" w:cs="SimSun"/>
                        <w:spacing w:val="-23"/>
                        <w:sz w:val="19"/>
                        <w:szCs w:val="19"/>
                      </w:rPr>
                      <w:t xml:space="preserve"> </w:t>
                    </w:r>
                    <w:r>
                      <w:rPr>
                        <w:rFonts w:ascii="SimSun" w:eastAsia="SimSun" w:hAnsi="SimSun" w:cs="SimSun"/>
                        <w:spacing w:val="-9"/>
                        <w:sz w:val="19"/>
                        <w:szCs w:val="19"/>
                      </w:rPr>
                      <w:t>-</w:t>
                    </w:r>
                    <w:r>
                      <w:rPr>
                        <w:rFonts w:ascii="SimSun" w:eastAsia="SimSun" w:hAnsi="SimSun" w:cs="SimSun"/>
                        <w:spacing w:val="-23"/>
                        <w:sz w:val="19"/>
                        <w:szCs w:val="19"/>
                      </w:rPr>
                      <w:t xml:space="preserve"> </w:t>
                    </w:r>
                    <w:r>
                      <w:rPr>
                        <w:rFonts w:ascii="SimSun" w:eastAsia="SimSun" w:hAnsi="SimSun" w:cs="SimSun"/>
                        <w:spacing w:val="-9"/>
                        <w:sz w:val="19"/>
                        <w:szCs w:val="19"/>
                      </w:rPr>
                      <w:t>恒</w:t>
                    </w:r>
                    <w:r>
                      <w:rPr>
                        <w:rFonts w:ascii="SimSun" w:eastAsia="SimSun" w:hAnsi="SimSun" w:cs="SimSun"/>
                        <w:spacing w:val="-19"/>
                        <w:sz w:val="19"/>
                        <w:szCs w:val="19"/>
                      </w:rPr>
                      <w:t xml:space="preserve"> </w:t>
                    </w:r>
                    <w:r>
                      <w:rPr>
                        <w:rFonts w:ascii="SimSun" w:eastAsia="SimSun" w:hAnsi="SimSun" w:cs="SimSun"/>
                        <w:spacing w:val="-9"/>
                        <w:sz w:val="19"/>
                        <w:szCs w:val="19"/>
                      </w:rPr>
                      <w:t>温</w:t>
                    </w:r>
                    <w:r>
                      <w:rPr>
                        <w:rFonts w:ascii="SimSun" w:eastAsia="SimSun" w:hAnsi="SimSun" w:cs="SimSun"/>
                        <w:spacing w:val="-19"/>
                        <w:sz w:val="19"/>
                        <w:szCs w:val="19"/>
                      </w:rPr>
                      <w:t xml:space="preserve"> </w:t>
                    </w:r>
                    <w:r>
                      <w:rPr>
                        <w:rFonts w:ascii="SimSun" w:eastAsia="SimSun" w:hAnsi="SimSun" w:cs="SimSun"/>
                        <w:spacing w:val="-9"/>
                        <w:sz w:val="19"/>
                        <w:szCs w:val="19"/>
                      </w:rPr>
                      <w:t>光 阑</w:t>
                    </w:r>
                  </w:p>
                  <w:p>
                    <w:pPr>
                      <w:spacing w:line="293" w:lineRule="auto"/>
                      <w:rPr>
                        <w:rFonts w:ascii="Arial"/>
                        <w:sz w:val="21"/>
                      </w:rPr>
                    </w:pPr>
                  </w:p>
                  <w:p>
                    <w:pPr>
                      <w:spacing w:line="294" w:lineRule="auto"/>
                      <w:rPr>
                        <w:rFonts w:ascii="Arial"/>
                        <w:sz w:val="21"/>
                      </w:rPr>
                    </w:pPr>
                  </w:p>
                  <w:p>
                    <w:pPr>
                      <w:spacing w:before="95" w:line="224" w:lineRule="auto"/>
                      <w:ind w:left="20"/>
                      <w:rPr>
                        <w:rFonts w:ascii="Times New Roman" w:eastAsia="Times New Roman" w:hAnsi="Times New Roman" w:cs="Times New Roman"/>
                        <w:sz w:val="33"/>
                        <w:szCs w:val="33"/>
                      </w:rPr>
                    </w:pPr>
                    <w:r>
                      <w:rPr>
                        <w:rFonts w:ascii="SimSun" w:eastAsia="SimSun" w:hAnsi="SimSun" w:cs="SimSun"/>
                        <w:spacing w:val="-9"/>
                        <w:position w:val="1"/>
                        <w:sz w:val="23"/>
                        <w:szCs w:val="23"/>
                      </w:rPr>
                      <w:t xml:space="preserve">辐射温度计 </w:t>
                    </w:r>
                    <w:r>
                      <w:rPr>
                        <w:rFonts w:ascii="Times New Roman" w:eastAsia="Times New Roman" w:hAnsi="Times New Roman" w:cs="Times New Roman"/>
                        <w:spacing w:val="-9"/>
                        <w:position w:val="-2"/>
                        <w:sz w:val="16"/>
                        <w:szCs w:val="16"/>
                      </w:rPr>
                      <w:t>Tr</w:t>
                    </w:r>
                    <w:r>
                      <w:rPr>
                        <w:rFonts w:ascii="Times New Roman" w:eastAsia="Times New Roman" w:hAnsi="Times New Roman" w:cs="Times New Roman"/>
                        <w:spacing w:val="2"/>
                        <w:position w:val="-2"/>
                        <w:sz w:val="16"/>
                        <w:szCs w:val="16"/>
                      </w:rPr>
                      <w:t xml:space="preserve">                   </w:t>
                    </w:r>
                    <w:r>
                      <w:rPr>
                        <w:rFonts w:ascii="SimSun" w:eastAsia="SimSun" w:hAnsi="SimSun" w:cs="SimSun"/>
                        <w:spacing w:val="-9"/>
                        <w:position w:val="4"/>
                        <w:sz w:val="17"/>
                        <w:szCs w:val="17"/>
                      </w:rPr>
                      <w:t>&lt;        →</w:t>
                    </w:r>
                    <w:r>
                      <w:rPr>
                        <w:rFonts w:ascii="SimSun" w:eastAsia="SimSun" w:hAnsi="SimSun" w:cs="SimSun"/>
                        <w:spacing w:val="5"/>
                        <w:position w:val="4"/>
                        <w:sz w:val="17"/>
                        <w:szCs w:val="17"/>
                      </w:rPr>
                      <w:t xml:space="preserve">        </w:t>
                    </w:r>
                    <w:r>
                      <w:rPr>
                        <w:rFonts w:ascii="Times New Roman" w:eastAsia="Times New Roman" w:hAnsi="Times New Roman" w:cs="Times New Roman"/>
                        <w:i/>
                        <w:iCs/>
                        <w:spacing w:val="-9"/>
                        <w:position w:val="-8"/>
                        <w:sz w:val="33"/>
                        <w:szCs w:val="33"/>
                      </w:rPr>
                      <w:t>ra</w:t>
                    </w:r>
                  </w:p>
                </w:txbxContent>
              </v:textbox>
            </v:shape>
            <v:shape id="_x0000_s1028" type="#_x0000_t202" style="width:1051;height:270;left:79;position:absolute;top:2659" filled="f" stroked="f">
              <o:lock v:ext="edit" aspectratio="f"/>
              <v:textbox inset="0,0,0,0">
                <w:txbxContent>
                  <w:p>
                    <w:pPr>
                      <w:spacing w:before="20" w:line="219" w:lineRule="auto"/>
                      <w:jc w:val="right"/>
                      <w:rPr>
                        <w:rFonts w:ascii="SimSun" w:eastAsia="SimSun" w:hAnsi="SimSun" w:cs="SimSun"/>
                        <w:sz w:val="23"/>
                        <w:szCs w:val="23"/>
                      </w:rPr>
                    </w:pPr>
                    <w:r>
                      <w:rPr>
                        <w:rFonts w:ascii="SimSun" w:eastAsia="SimSun" w:hAnsi="SimSun" w:cs="SimSun"/>
                        <w:spacing w:val="-26"/>
                        <w:w w:val="97"/>
                        <w:sz w:val="23"/>
                        <w:szCs w:val="23"/>
                      </w:rPr>
                      <w:t>恒温</w:t>
                    </w:r>
                    <w:r>
                      <w:rPr>
                        <w:rFonts w:ascii="SimSun" w:eastAsia="SimSun" w:hAnsi="SimSun" w:cs="SimSun"/>
                        <w:spacing w:val="-25"/>
                        <w:w w:val="97"/>
                        <w:sz w:val="23"/>
                        <w:szCs w:val="23"/>
                      </w:rPr>
                      <w:t>光阑</w:t>
                    </w:r>
                    <w:r>
                      <w:rPr>
                        <w:rFonts w:ascii="SimSun" w:eastAsia="SimSun" w:hAnsi="SimSun" w:cs="SimSun"/>
                        <w:spacing w:val="-13"/>
                        <w:w w:val="97"/>
                        <w:sz w:val="23"/>
                        <w:szCs w:val="23"/>
                      </w:rPr>
                      <w:t>一</w:t>
                    </w:r>
                  </w:p>
                </w:txbxContent>
              </v:textbox>
            </v:shape>
            <w10:wrap type="none"/>
          </v:group>
        </w:pict>
      </w:r>
    </w:p>
    <w:p>
      <w:pPr>
        <w:spacing w:line="244" w:lineRule="auto"/>
        <w:rPr>
          <w:rFonts w:ascii="Arial"/>
          <w:sz w:val="21"/>
        </w:rPr>
      </w:pPr>
    </w:p>
    <w:p>
      <w:pPr>
        <w:pStyle w:val="BodyText"/>
        <w:spacing w:before="74" w:line="220" w:lineRule="auto"/>
        <w:ind w:left="3889"/>
      </w:pPr>
      <w:r>
        <w:rPr>
          <w:spacing w:val="-9"/>
        </w:rPr>
        <w:t>图1</w:t>
      </w:r>
      <w:r>
        <w:rPr>
          <w:spacing w:val="73"/>
        </w:rPr>
        <w:t xml:space="preserve"> </w:t>
      </w:r>
      <w:r>
        <w:rPr>
          <w:spacing w:val="-9"/>
        </w:rPr>
        <w:t>校准装置</w:t>
      </w:r>
    </w:p>
    <w:p>
      <w:pPr>
        <w:pStyle w:val="BodyText"/>
        <w:spacing w:before="85" w:line="254" w:lineRule="auto"/>
        <w:ind w:left="39" w:right="31" w:firstLine="440"/>
      </w:pPr>
      <w:r>
        <w:rPr>
          <w:spacing w:val="9"/>
        </w:rPr>
        <w:t>将标准和被校准黑体辐射源稳定在相同温度。使用辐射温度计分别测量标准、被校</w:t>
      </w:r>
      <w:r>
        <w:rPr>
          <w:spacing w:val="13"/>
        </w:rPr>
        <w:t xml:space="preserve"> </w:t>
      </w:r>
      <w:r>
        <w:rPr>
          <w:spacing w:val="8"/>
        </w:rPr>
        <w:t>准黑体辐射源亮度温度的示值，根据公式(1)计算被校准黑体辐</w:t>
      </w:r>
      <w:r>
        <w:rPr>
          <w:spacing w:val="7"/>
        </w:rPr>
        <w:t>射源的亮度温度：</w:t>
      </w:r>
    </w:p>
    <w:p>
      <w:pPr>
        <w:pStyle w:val="BodyText"/>
        <w:spacing w:before="70" w:line="213" w:lineRule="auto"/>
        <w:ind w:left="2900"/>
      </w:pPr>
      <w:r>
        <w:rPr>
          <w:rFonts w:ascii="Times New Roman" w:eastAsia="Times New Roman" w:hAnsi="Times New Roman" w:cs="Times New Roman"/>
          <w:spacing w:val="-1"/>
        </w:rPr>
        <w:t>T</w:t>
      </w:r>
      <w:r>
        <w:rPr>
          <w:rFonts w:ascii="Times New Roman" w:eastAsia="Times New Roman" w:hAnsi="Times New Roman" w:cs="Times New Roman"/>
          <w:spacing w:val="-26"/>
        </w:rPr>
        <w:t xml:space="preserve"> </w:t>
      </w:r>
      <w:r>
        <w:rPr>
          <w:spacing w:val="-1"/>
        </w:rPr>
        <w:t>。</w:t>
      </w:r>
      <w:r>
        <w:rPr>
          <w:rFonts w:ascii="Times New Roman" w:eastAsia="Times New Roman" w:hAnsi="Times New Roman" w:cs="Times New Roman"/>
          <w:spacing w:val="-1"/>
        </w:rPr>
        <w:t>=T,+Te-Ts=T,+</w:t>
      </w:r>
      <w:r>
        <w:rPr>
          <w:spacing w:val="-1"/>
        </w:rPr>
        <w:t>△</w:t>
      </w:r>
      <w:r>
        <w:rPr>
          <w:rFonts w:ascii="Times New Roman" w:eastAsia="Times New Roman" w:hAnsi="Times New Roman" w:cs="Times New Roman"/>
          <w:spacing w:val="-1"/>
        </w:rPr>
        <w:t xml:space="preserve">T,                    </w:t>
      </w:r>
      <w:r>
        <w:rPr>
          <w:rFonts w:ascii="Times New Roman" w:eastAsia="Times New Roman" w:hAnsi="Times New Roman" w:cs="Times New Roman"/>
          <w:spacing w:val="-2"/>
        </w:rPr>
        <w:t xml:space="preserve">                                         </w:t>
      </w:r>
      <w:r>
        <w:rPr>
          <w:spacing w:val="-2"/>
        </w:rPr>
        <w:t>(1)</w:t>
      </w:r>
    </w:p>
    <w:p>
      <w:pPr>
        <w:pStyle w:val="BodyText"/>
        <w:spacing w:before="112" w:line="220" w:lineRule="auto"/>
        <w:ind w:left="489"/>
      </w:pPr>
      <w:r>
        <w:rPr>
          <w:spacing w:val="-6"/>
        </w:rPr>
        <w:t>式中：</w:t>
      </w:r>
    </w:p>
    <w:p>
      <w:pPr>
        <w:pStyle w:val="BodyText"/>
        <w:spacing w:before="90" w:line="360" w:lineRule="exact"/>
        <w:ind w:left="509"/>
        <w:rPr>
          <w:rFonts w:ascii="Times New Roman" w:eastAsia="Times New Roman" w:hAnsi="Times New Roman" w:cs="Times New Roman"/>
        </w:rPr>
      </w:pPr>
      <w:r>
        <w:rPr>
          <w:rFonts w:ascii="Times New Roman" w:eastAsia="Times New Roman" w:hAnsi="Times New Roman" w:cs="Times New Roman"/>
          <w:spacing w:val="4"/>
          <w:position w:val="9"/>
        </w:rPr>
        <w:t>T.—--</w:t>
      </w:r>
      <w:r>
        <w:rPr>
          <w:rFonts w:ascii="Times New Roman" w:eastAsia="Times New Roman" w:hAnsi="Times New Roman" w:cs="Times New Roman"/>
          <w:spacing w:val="32"/>
          <w:position w:val="9"/>
        </w:rPr>
        <w:t xml:space="preserve">  </w:t>
      </w:r>
      <w:r>
        <w:rPr>
          <w:spacing w:val="4"/>
          <w:position w:val="9"/>
        </w:rPr>
        <w:t>被校准黑体辐射源的亮度温度，</w:t>
      </w:r>
      <w:r>
        <w:rPr>
          <w:rFonts w:ascii="Times New Roman" w:eastAsia="Times New Roman" w:hAnsi="Times New Roman" w:cs="Times New Roman"/>
          <w:spacing w:val="4"/>
          <w:position w:val="9"/>
        </w:rPr>
        <w:t>K;</w:t>
      </w:r>
    </w:p>
    <w:p>
      <w:pPr>
        <w:pStyle w:val="BodyText"/>
        <w:spacing w:line="212" w:lineRule="auto"/>
        <w:ind w:left="489"/>
        <w:rPr>
          <w:rFonts w:ascii="Times New Roman" w:eastAsia="Times New Roman" w:hAnsi="Times New Roman" w:cs="Times New Roman"/>
        </w:rPr>
      </w:pPr>
      <w:r>
        <w:rPr>
          <w:rFonts w:ascii="Times New Roman" w:eastAsia="Times New Roman" w:hAnsi="Times New Roman" w:cs="Times New Roman"/>
          <w:spacing w:val="1"/>
        </w:rPr>
        <w:t>T,——</w:t>
      </w:r>
      <w:r>
        <w:rPr>
          <w:rFonts w:ascii="Times New Roman" w:eastAsia="Times New Roman" w:hAnsi="Times New Roman" w:cs="Times New Roman"/>
          <w:spacing w:val="41"/>
        </w:rPr>
        <w:t xml:space="preserve"> </w:t>
      </w:r>
      <w:r>
        <w:rPr>
          <w:spacing w:val="1"/>
        </w:rPr>
        <w:t>标准黑体辐射源的亮度温度，</w:t>
      </w:r>
      <w:r>
        <w:rPr>
          <w:spacing w:val="-45"/>
        </w:rPr>
        <w:t xml:space="preserve"> </w:t>
      </w:r>
      <w:r>
        <w:rPr>
          <w:rFonts w:ascii="Times New Roman" w:eastAsia="Times New Roman" w:hAnsi="Times New Roman" w:cs="Times New Roman"/>
          <w:spacing w:val="1"/>
        </w:rPr>
        <w:t>K;</w:t>
      </w:r>
    </w:p>
    <w:p>
      <w:pPr>
        <w:pStyle w:val="BodyText"/>
        <w:spacing w:before="96" w:line="212" w:lineRule="auto"/>
        <w:ind w:left="429"/>
        <w:rPr>
          <w:rFonts w:ascii="Times New Roman" w:eastAsia="Times New Roman" w:hAnsi="Times New Roman" w:cs="Times New Roman"/>
        </w:rPr>
      </w:pPr>
      <w:r>
        <w:rPr>
          <w:rFonts w:ascii="Times New Roman" w:eastAsia="Times New Roman" w:hAnsi="Times New Roman" w:cs="Times New Roman"/>
        </w:rPr>
        <w:t>Tw</w:t>
      </w:r>
      <w:r>
        <w:rPr>
          <w:rFonts w:ascii="Times New Roman" w:eastAsia="Times New Roman" w:hAnsi="Times New Roman" w:cs="Times New Roman"/>
          <w:spacing w:val="3"/>
        </w:rPr>
        <w:t>——</w:t>
      </w:r>
      <w:r>
        <w:rPr>
          <w:spacing w:val="3"/>
        </w:rPr>
        <w:t xml:space="preserve">辐射温度计测量标准黑体辐射源亮度温度示值， </w:t>
      </w:r>
      <w:r>
        <w:rPr>
          <w:rFonts w:ascii="Times New Roman" w:eastAsia="Times New Roman" w:hAnsi="Times New Roman" w:cs="Times New Roman"/>
          <w:spacing w:val="3"/>
        </w:rPr>
        <w:t>K;</w:t>
      </w:r>
    </w:p>
    <w:p>
      <w:pPr>
        <w:pStyle w:val="BodyText"/>
        <w:spacing w:before="111" w:line="345" w:lineRule="exact"/>
        <w:ind w:left="440"/>
      </w:pPr>
      <w:r>
        <w:rPr>
          <w:position w:val="8"/>
        </w:rPr>
        <w:t>Te</w:t>
      </w:r>
      <w:r>
        <w:rPr>
          <w:spacing w:val="1"/>
          <w:position w:val="8"/>
        </w:rPr>
        <w:t>—— 辐射温度计测量被校准黑体辐射源亮度温度示值， K;</w:t>
      </w:r>
    </w:p>
    <w:p>
      <w:pPr>
        <w:pStyle w:val="BodyText"/>
        <w:spacing w:line="212" w:lineRule="auto"/>
        <w:ind w:left="329"/>
      </w:pPr>
      <w:r>
        <w:rPr>
          <w:spacing w:val="-13"/>
        </w:rPr>
        <w:t>△</w:t>
      </w:r>
      <w:r>
        <w:rPr>
          <w:rFonts w:ascii="Times New Roman" w:eastAsia="Times New Roman" w:hAnsi="Times New Roman" w:cs="Times New Roman"/>
          <w:spacing w:val="-13"/>
        </w:rPr>
        <w:t>T,—-T</w:t>
      </w:r>
      <w:r>
        <w:rPr>
          <w:rFonts w:ascii="Times New Roman" w:eastAsia="Times New Roman" w:hAnsi="Times New Roman" w:cs="Times New Roman"/>
          <w:spacing w:val="4"/>
        </w:rPr>
        <w:t xml:space="preserve">      </w:t>
      </w:r>
      <w:r>
        <w:rPr>
          <w:spacing w:val="-13"/>
        </w:rPr>
        <w:t>与</w:t>
      </w:r>
      <w:r>
        <w:rPr>
          <w:spacing w:val="-19"/>
        </w:rPr>
        <w:t xml:space="preserve"> </w:t>
      </w:r>
      <w:r>
        <w:rPr>
          <w:rFonts w:ascii="Times New Roman" w:eastAsia="Times New Roman" w:hAnsi="Times New Roman" w:cs="Times New Roman"/>
          <w:spacing w:val="-13"/>
        </w:rPr>
        <w:t xml:space="preserve">Ts  </w:t>
      </w:r>
      <w:r>
        <w:rPr>
          <w:spacing w:val="-13"/>
        </w:rPr>
        <w:t>的 差</w:t>
      </w:r>
      <w:r>
        <w:rPr>
          <w:spacing w:val="-38"/>
        </w:rPr>
        <w:t xml:space="preserve"> </w:t>
      </w:r>
      <w:r>
        <w:rPr>
          <w:spacing w:val="-13"/>
        </w:rPr>
        <w:t>，</w:t>
      </w:r>
      <w:r>
        <w:rPr>
          <w:rFonts w:ascii="Times New Roman" w:eastAsia="Times New Roman" w:hAnsi="Times New Roman" w:cs="Times New Roman"/>
          <w:spacing w:val="-13"/>
        </w:rPr>
        <w:t>K</w:t>
      </w:r>
      <w:r>
        <w:rPr>
          <w:spacing w:val="-13"/>
        </w:rPr>
        <w:t>。</w:t>
      </w:r>
    </w:p>
    <w:p>
      <w:pPr>
        <w:pStyle w:val="BodyText"/>
        <w:spacing w:before="121" w:line="219" w:lineRule="auto"/>
        <w:ind w:left="499"/>
      </w:pPr>
      <w:r>
        <w:rPr>
          <w:spacing w:val="5"/>
        </w:rPr>
        <w:t>标准黑体辐射源亮度温度</w:t>
      </w:r>
      <w:r>
        <w:rPr>
          <w:rFonts w:ascii="Times New Roman" w:eastAsia="Times New Roman" w:hAnsi="Times New Roman" w:cs="Times New Roman"/>
          <w:spacing w:val="5"/>
        </w:rPr>
        <w:t>T</w:t>
      </w:r>
      <w:r>
        <w:rPr>
          <w:rFonts w:ascii="Times New Roman" w:eastAsia="Times New Roman" w:hAnsi="Times New Roman" w:cs="Times New Roman"/>
          <w:spacing w:val="-9"/>
        </w:rPr>
        <w:t xml:space="preserve"> </w:t>
      </w:r>
      <w:r>
        <w:rPr>
          <w:spacing w:val="5"/>
        </w:rPr>
        <w:t>。由公式(2)计算：</w:t>
      </w:r>
    </w:p>
    <w:p>
      <w:pPr>
        <w:pStyle w:val="BodyText"/>
        <w:spacing w:before="209" w:line="222" w:lineRule="auto"/>
        <w:ind w:left="8609"/>
        <w:rPr>
          <w:sz w:val="20"/>
          <w:szCs w:val="20"/>
        </w:rPr>
      </w:pPr>
      <w:r>
        <w:rPr>
          <w:spacing w:val="-10"/>
          <w:sz w:val="20"/>
          <w:szCs w:val="20"/>
        </w:rPr>
        <w:t>(2)</w:t>
      </w:r>
    </w:p>
    <w:p>
      <w:pPr>
        <w:pStyle w:val="BodyText"/>
        <w:spacing w:before="238" w:line="220" w:lineRule="auto"/>
        <w:ind w:left="509"/>
      </w:pPr>
      <w:r>
        <w:rPr>
          <w:spacing w:val="-4"/>
        </w:rPr>
        <w:t>式中：</w:t>
      </w:r>
    </w:p>
    <w:p>
      <w:pPr>
        <w:pStyle w:val="BodyText"/>
        <w:spacing w:before="69" w:line="212" w:lineRule="auto"/>
        <w:ind w:left="499"/>
        <w:rPr>
          <w:rFonts w:ascii="Times New Roman" w:eastAsia="Times New Roman" w:hAnsi="Times New Roman" w:cs="Times New Roman"/>
        </w:rPr>
      </w:pPr>
      <w:r>
        <w:rPr>
          <w:rFonts w:ascii="Times New Roman" w:eastAsia="Times New Roman" w:hAnsi="Times New Roman" w:cs="Times New Roman"/>
        </w:rPr>
        <w:t xml:space="preserve">L(a,T)——       </w:t>
      </w:r>
      <w:r>
        <w:t>黑体光谱辐射亮度，</w:t>
      </w:r>
      <w:r>
        <w:rPr>
          <w:spacing w:val="-35"/>
        </w:rPr>
        <w:t xml:space="preserve"> </w:t>
      </w:r>
      <w:r>
        <w:rPr>
          <w:rFonts w:ascii="Times New Roman" w:eastAsia="Times New Roman" w:hAnsi="Times New Roman" w:cs="Times New Roman"/>
        </w:rPr>
        <w:t>W/(m³·sr</w:t>
      </w:r>
      <w:r>
        <w:rPr>
          <w:rFonts w:ascii="Times New Roman" w:eastAsia="Times New Roman" w:hAnsi="Times New Roman" w:cs="Times New Roman"/>
          <w:spacing w:val="-1"/>
        </w:rPr>
        <w:t>);</w:t>
      </w:r>
    </w:p>
    <w:p>
      <w:pPr>
        <w:pStyle w:val="BodyText"/>
        <w:spacing w:before="117" w:line="360" w:lineRule="exact"/>
        <w:ind w:left="759"/>
        <w:rPr>
          <w:rFonts w:ascii="Times New Roman" w:eastAsia="Times New Roman" w:hAnsi="Times New Roman" w:cs="Times New Roman"/>
        </w:rPr>
      </w:pPr>
      <w:r>
        <w:rPr>
          <w:rFonts w:ascii="Times New Roman" w:eastAsia="Times New Roman" w:hAnsi="Times New Roman" w:cs="Times New Roman"/>
          <w:spacing w:val="2"/>
          <w:position w:val="9"/>
        </w:rPr>
        <w:t>λz,λ₁----</w:t>
      </w:r>
      <w:r>
        <w:rPr>
          <w:rFonts w:ascii="Times New Roman" w:eastAsia="Times New Roman" w:hAnsi="Times New Roman" w:cs="Times New Roman"/>
          <w:spacing w:val="7"/>
          <w:position w:val="9"/>
        </w:rPr>
        <w:t xml:space="preserve">       </w:t>
      </w:r>
      <w:r>
        <w:rPr>
          <w:spacing w:val="2"/>
          <w:position w:val="9"/>
        </w:rPr>
        <w:t>辐射温度计工作波段的</w:t>
      </w:r>
      <w:r>
        <w:rPr>
          <w:spacing w:val="1"/>
          <w:position w:val="9"/>
        </w:rPr>
        <w:t>上、下限，μ</w:t>
      </w:r>
      <w:r>
        <w:rPr>
          <w:rFonts w:ascii="Times New Roman" w:eastAsia="Times New Roman" w:hAnsi="Times New Roman" w:cs="Times New Roman"/>
          <w:spacing w:val="1"/>
          <w:position w:val="9"/>
        </w:rPr>
        <w:t>m;</w:t>
      </w:r>
    </w:p>
    <w:p>
      <w:pPr>
        <w:pStyle w:val="BodyText"/>
        <w:spacing w:line="212" w:lineRule="auto"/>
        <w:ind w:left="1220"/>
        <w:rPr>
          <w:rFonts w:ascii="Times New Roman" w:eastAsia="Times New Roman" w:hAnsi="Times New Roman" w:cs="Times New Roman"/>
        </w:rPr>
      </w:pPr>
      <w:r>
        <w:rPr>
          <w:rFonts w:ascii="Times New Roman" w:eastAsia="Times New Roman" w:hAnsi="Times New Roman" w:cs="Times New Roman"/>
          <w:spacing w:val="-2"/>
        </w:rPr>
        <w:t>T,——</w:t>
      </w:r>
      <w:r>
        <w:rPr>
          <w:rFonts w:ascii="Times New Roman" w:eastAsia="Times New Roman" w:hAnsi="Times New Roman" w:cs="Times New Roman"/>
          <w:spacing w:val="45"/>
        </w:rPr>
        <w:t xml:space="preserve"> </w:t>
      </w:r>
      <w:r>
        <w:rPr>
          <w:spacing w:val="-2"/>
        </w:rPr>
        <w:t xml:space="preserve">标准黑体辐射源的亮度温度， </w:t>
      </w:r>
      <w:r>
        <w:rPr>
          <w:rFonts w:ascii="Times New Roman" w:eastAsia="Times New Roman" w:hAnsi="Times New Roman" w:cs="Times New Roman"/>
          <w:spacing w:val="-2"/>
        </w:rPr>
        <w:t>K;</w:t>
      </w:r>
    </w:p>
    <w:p>
      <w:pPr>
        <w:pStyle w:val="BodyText"/>
        <w:spacing w:before="96" w:line="212" w:lineRule="auto"/>
        <w:ind w:left="1220"/>
        <w:rPr>
          <w:rFonts w:ascii="Times New Roman" w:eastAsia="Times New Roman" w:hAnsi="Times New Roman" w:cs="Times New Roman"/>
        </w:rPr>
      </w:pPr>
      <w:r>
        <w:rPr>
          <w:rFonts w:ascii="Times New Roman" w:eastAsia="Times New Roman" w:hAnsi="Times New Roman" w:cs="Times New Roman"/>
          <w:spacing w:val="6"/>
        </w:rPr>
        <w:t>T₁——</w:t>
      </w:r>
      <w:r>
        <w:rPr>
          <w:rFonts w:ascii="Times New Roman" w:eastAsia="Times New Roman" w:hAnsi="Times New Roman" w:cs="Times New Roman"/>
          <w:spacing w:val="28"/>
          <w:w w:val="101"/>
        </w:rPr>
        <w:t xml:space="preserve"> </w:t>
      </w:r>
      <w:r>
        <w:rPr>
          <w:spacing w:val="6"/>
        </w:rPr>
        <w:t>标准黑体辐射源参考温度计测量的</w:t>
      </w:r>
      <w:r>
        <w:rPr>
          <w:spacing w:val="5"/>
        </w:rPr>
        <w:t>实际温度，</w:t>
      </w:r>
      <w:r>
        <w:rPr>
          <w:rFonts w:ascii="Times New Roman" w:eastAsia="Times New Roman" w:hAnsi="Times New Roman" w:cs="Times New Roman"/>
          <w:spacing w:val="5"/>
        </w:rPr>
        <w:t>K;</w:t>
      </w:r>
    </w:p>
    <w:p>
      <w:pPr>
        <w:pStyle w:val="BodyText"/>
        <w:spacing w:before="96" w:line="212" w:lineRule="auto"/>
        <w:ind w:left="1100"/>
        <w:rPr>
          <w:rFonts w:ascii="Times New Roman" w:eastAsia="Times New Roman" w:hAnsi="Times New Roman" w:cs="Times New Roman"/>
        </w:rPr>
        <w:sectPr>
          <w:headerReference w:type="default" r:id="rId18"/>
          <w:footerReference w:type="default" r:id="rId19"/>
          <w:pgSz w:w="11750" w:h="16820"/>
          <w:pgMar w:top="1720" w:right="1319" w:bottom="1095" w:left="1300" w:header="1455" w:footer="946" w:gutter="0"/>
          <w:pgNumType w:start="7"/>
          <w:cols w:space="708"/>
        </w:sectPr>
      </w:pPr>
      <w:r>
        <w:rPr>
          <w:rFonts w:ascii="Times New Roman" w:eastAsia="Times New Roman" w:hAnsi="Times New Roman" w:cs="Times New Roman"/>
        </w:rPr>
        <w:t>Tm</w:t>
      </w:r>
      <w:r>
        <w:rPr>
          <w:rFonts w:ascii="Times New Roman" w:eastAsia="Times New Roman" w:hAnsi="Times New Roman" w:cs="Times New Roman"/>
          <w:spacing w:val="11"/>
        </w:rPr>
        <w:t>——</w:t>
      </w:r>
      <w:r>
        <w:rPr>
          <w:rFonts w:ascii="Times New Roman" w:eastAsia="Times New Roman" w:hAnsi="Times New Roman" w:cs="Times New Roman"/>
          <w:spacing w:val="44"/>
          <w:w w:val="101"/>
        </w:rPr>
        <w:t xml:space="preserve"> </w:t>
      </w:r>
      <w:r>
        <w:rPr>
          <w:spacing w:val="11"/>
        </w:rPr>
        <w:t>标准黑体辐射源所处环境温度(近似采用光阑温度),</w:t>
      </w:r>
      <w:r>
        <w:rPr>
          <w:rFonts w:ascii="Times New Roman" w:eastAsia="Times New Roman" w:hAnsi="Times New Roman" w:cs="Times New Roman"/>
          <w:spacing w:val="11"/>
        </w:rPr>
        <w:t>K;</w:t>
      </w:r>
    </w:p>
    <w:p>
      <w:pPr>
        <w:pStyle w:val="BodyText"/>
        <w:spacing w:before="94" w:line="386" w:lineRule="exact"/>
        <w:ind w:left="1279"/>
      </w:pPr>
      <w:r>
        <w:rPr>
          <w:rFonts w:ascii="Times New Roman" w:eastAsia="Times New Roman" w:hAnsi="Times New Roman" w:cs="Times New Roman"/>
          <w:position w:val="11"/>
        </w:rPr>
        <w:t>eg</w:t>
      </w:r>
      <w:r>
        <w:rPr>
          <w:rFonts w:ascii="Times New Roman" w:eastAsia="Times New Roman" w:hAnsi="Times New Roman" w:cs="Times New Roman"/>
          <w:spacing w:val="6"/>
          <w:position w:val="11"/>
        </w:rPr>
        <w:t>——</w:t>
      </w:r>
      <w:r>
        <w:rPr>
          <w:spacing w:val="6"/>
          <w:position w:val="11"/>
        </w:rPr>
        <w:t>标准黑体辐射源的有效发射率。</w:t>
      </w:r>
    </w:p>
    <w:p>
      <w:pPr>
        <w:pStyle w:val="BodyText"/>
        <w:spacing w:before="1" w:line="218" w:lineRule="auto"/>
        <w:ind w:left="519"/>
      </w:pPr>
      <w:r>
        <w:rPr>
          <w:spacing w:val="10"/>
        </w:rPr>
        <w:t>黑体辐射源亮度温度校准模型详见附录</w:t>
      </w:r>
      <w:r>
        <w:rPr>
          <w:rFonts w:ascii="Times New Roman" w:eastAsia="Times New Roman" w:hAnsi="Times New Roman" w:cs="Times New Roman"/>
          <w:spacing w:val="10"/>
        </w:rPr>
        <w:t>A</w:t>
      </w:r>
      <w:r>
        <w:rPr>
          <w:spacing w:val="10"/>
        </w:rPr>
        <w:t>。</w:t>
      </w:r>
    </w:p>
    <w:p>
      <w:pPr>
        <w:pStyle w:val="BodyText"/>
        <w:spacing w:before="100" w:line="221" w:lineRule="auto"/>
        <w:ind w:left="49"/>
      </w:pPr>
      <w:r>
        <w:rPr>
          <w:spacing w:val="4"/>
        </w:rPr>
        <w:t>7.2.2  绝缘电阻测试</w:t>
      </w:r>
    </w:p>
    <w:p>
      <w:pPr>
        <w:pStyle w:val="BodyText"/>
        <w:spacing w:before="71" w:line="250" w:lineRule="auto"/>
        <w:ind w:left="39" w:right="17" w:firstLine="470"/>
      </w:pPr>
      <w:r>
        <w:rPr>
          <w:spacing w:val="12"/>
        </w:rPr>
        <w:t>在不连接电源的情况下，将黑体辐射源电源开关打开。对使用接触器(需接通外部</w:t>
      </w:r>
      <w:r>
        <w:rPr>
          <w:spacing w:val="4"/>
        </w:rPr>
        <w:t xml:space="preserve"> </w:t>
      </w:r>
      <w:r>
        <w:rPr>
          <w:spacing w:val="7"/>
        </w:rPr>
        <w:t>电源后才能接通的开关)的黑体辐射源，如可能，应设法使接触器处于接通状态。</w:t>
      </w:r>
    </w:p>
    <w:p>
      <w:pPr>
        <w:pStyle w:val="BodyText"/>
        <w:spacing w:before="99" w:line="219" w:lineRule="auto"/>
        <w:ind w:right="13"/>
        <w:jc w:val="right"/>
      </w:pPr>
      <w:r>
        <w:rPr>
          <w:spacing w:val="11"/>
        </w:rPr>
        <w:t>使用绝缘电阻测试仪在500</w:t>
      </w:r>
      <w:r>
        <w:rPr>
          <w:spacing w:val="-66"/>
        </w:rPr>
        <w:t xml:space="preserve"> </w:t>
      </w:r>
      <w:r>
        <w:rPr>
          <w:rFonts w:ascii="Times New Roman" w:eastAsia="Times New Roman" w:hAnsi="Times New Roman" w:cs="Times New Roman"/>
          <w:spacing w:val="11"/>
        </w:rPr>
        <w:t>V</w:t>
      </w:r>
      <w:r>
        <w:rPr>
          <w:rFonts w:ascii="Times New Roman" w:eastAsia="Times New Roman" w:hAnsi="Times New Roman" w:cs="Times New Roman"/>
          <w:spacing w:val="18"/>
          <w:w w:val="101"/>
        </w:rPr>
        <w:t xml:space="preserve"> </w:t>
      </w:r>
      <w:r>
        <w:rPr>
          <w:spacing w:val="11"/>
        </w:rPr>
        <w:t>测试电压下</w:t>
      </w:r>
      <w:r>
        <w:rPr>
          <w:spacing w:val="10"/>
        </w:rPr>
        <w:t>，分别测量黑体辐射源电源输入端的相线</w:t>
      </w:r>
    </w:p>
    <w:p>
      <w:pPr>
        <w:spacing w:line="219" w:lineRule="auto"/>
        <w:sectPr>
          <w:headerReference w:type="default" r:id="rId20"/>
          <w:footerReference w:type="default" r:id="rId21"/>
          <w:type w:val="nextPage"/>
          <w:pgSz w:w="11750" w:h="16820"/>
          <w:pgMar w:top="1720" w:right="1319" w:bottom="1095" w:left="1300" w:header="1455" w:footer="946" w:gutter="0"/>
          <w:pgNumType w:start="8"/>
          <w:cols w:space="708"/>
          <w:titlePg w:val="0"/>
        </w:sectPr>
      </w:pPr>
    </w:p>
    <w:p>
      <w:pPr>
        <w:pStyle w:val="BodyText"/>
        <w:spacing w:before="219" w:line="350" w:lineRule="exact"/>
        <w:rPr>
          <w:sz w:val="24"/>
          <w:szCs w:val="24"/>
        </w:rPr>
      </w:pPr>
      <w:r>
        <w:drawing>
          <wp:anchor distT="0" distB="0" distL="0" distR="0" simplePos="0" relativeHeight="251659264" behindDoc="1" locked="0" layoutInCell="0" allowOverlap="1">
            <wp:simplePos x="0" y="0"/>
            <wp:positionH relativeFrom="page">
              <wp:posOffset>3619526</wp:posOffset>
            </wp:positionH>
            <wp:positionV relativeFrom="page">
              <wp:posOffset>9245616</wp:posOffset>
            </wp:positionV>
            <wp:extent cx="285691"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285691" cy="6350"/>
                    </a:xfrm>
                    <a:prstGeom prst="rect">
                      <a:avLst/>
                    </a:prstGeom>
                  </pic:spPr>
                </pic:pic>
              </a:graphicData>
            </a:graphic>
          </wp:anchor>
        </w:drawing>
      </w:r>
      <w:r>
        <w:rPr>
          <w:rFonts w:ascii="Times New Roman" w:eastAsia="Times New Roman" w:hAnsi="Times New Roman" w:cs="Times New Roman"/>
          <w:spacing w:val="-3"/>
          <w:position w:val="7"/>
          <w:sz w:val="24"/>
          <w:szCs w:val="24"/>
        </w:rPr>
        <w:t>L</w:t>
      </w:r>
      <w:r>
        <w:rPr>
          <w:rFonts w:ascii="Times New Roman" w:eastAsia="Times New Roman" w:hAnsi="Times New Roman" w:cs="Times New Roman"/>
          <w:spacing w:val="18"/>
          <w:position w:val="7"/>
          <w:sz w:val="24"/>
          <w:szCs w:val="24"/>
        </w:rPr>
        <w:t xml:space="preserve"> </w:t>
      </w:r>
      <w:r>
        <w:rPr>
          <w:spacing w:val="-3"/>
          <w:position w:val="7"/>
          <w:sz w:val="24"/>
          <w:szCs w:val="24"/>
        </w:rPr>
        <w:t>与地线</w:t>
      </w:r>
      <w:r>
        <w:rPr>
          <w:spacing w:val="-36"/>
          <w:position w:val="7"/>
          <w:sz w:val="24"/>
          <w:szCs w:val="24"/>
        </w:rPr>
        <w:t xml:space="preserve"> </w:t>
      </w:r>
      <w:r>
        <w:rPr>
          <w:rFonts w:ascii="Times New Roman" w:eastAsia="Times New Roman" w:hAnsi="Times New Roman" w:cs="Times New Roman"/>
          <w:spacing w:val="-3"/>
          <w:position w:val="7"/>
          <w:sz w:val="24"/>
          <w:szCs w:val="24"/>
        </w:rPr>
        <w:t>G</w:t>
      </w:r>
      <w:r>
        <w:rPr>
          <w:rFonts w:ascii="Times New Roman" w:eastAsia="Times New Roman" w:hAnsi="Times New Roman" w:cs="Times New Roman"/>
          <w:spacing w:val="-34"/>
          <w:position w:val="7"/>
          <w:sz w:val="24"/>
          <w:szCs w:val="24"/>
        </w:rPr>
        <w:t xml:space="preserve"> </w:t>
      </w:r>
      <w:r>
        <w:rPr>
          <w:spacing w:val="-3"/>
          <w:position w:val="7"/>
          <w:sz w:val="24"/>
          <w:szCs w:val="24"/>
        </w:rPr>
        <w:t>、中线</w:t>
      </w:r>
      <w:r>
        <w:rPr>
          <w:spacing w:val="-28"/>
          <w:position w:val="7"/>
          <w:sz w:val="24"/>
          <w:szCs w:val="24"/>
        </w:rPr>
        <w:t xml:space="preserve"> </w:t>
      </w:r>
      <w:r>
        <w:rPr>
          <w:rFonts w:ascii="Times New Roman" w:eastAsia="Times New Roman" w:hAnsi="Times New Roman" w:cs="Times New Roman"/>
          <w:spacing w:val="-3"/>
          <w:position w:val="7"/>
          <w:sz w:val="24"/>
          <w:szCs w:val="24"/>
        </w:rPr>
        <w:t xml:space="preserve">N </w:t>
      </w:r>
      <w:r>
        <w:rPr>
          <w:spacing w:val="-3"/>
          <w:position w:val="7"/>
          <w:sz w:val="24"/>
          <w:szCs w:val="24"/>
        </w:rPr>
        <w:t>与地线</w:t>
      </w:r>
      <w:r>
        <w:rPr>
          <w:spacing w:val="-47"/>
          <w:position w:val="7"/>
          <w:sz w:val="24"/>
          <w:szCs w:val="24"/>
        </w:rPr>
        <w:t xml:space="preserve"> </w:t>
      </w:r>
      <w:r>
        <w:rPr>
          <w:rFonts w:ascii="Times New Roman" w:eastAsia="Times New Roman" w:hAnsi="Times New Roman" w:cs="Times New Roman"/>
          <w:spacing w:val="-3"/>
          <w:position w:val="7"/>
          <w:sz w:val="24"/>
          <w:szCs w:val="24"/>
        </w:rPr>
        <w:t>G</w:t>
      </w:r>
      <w:r>
        <w:rPr>
          <w:spacing w:val="-3"/>
          <w:position w:val="7"/>
          <w:sz w:val="24"/>
          <w:szCs w:val="24"/>
        </w:rPr>
        <w:t>、相线</w:t>
      </w:r>
      <w:r>
        <w:rPr>
          <w:rFonts w:ascii="Times New Roman" w:eastAsia="Times New Roman" w:hAnsi="Times New Roman" w:cs="Times New Roman"/>
          <w:spacing w:val="-3"/>
          <w:position w:val="7"/>
          <w:sz w:val="24"/>
          <w:szCs w:val="24"/>
        </w:rPr>
        <w:t>L</w:t>
      </w:r>
      <w:r>
        <w:rPr>
          <w:rFonts w:ascii="Times New Roman" w:eastAsia="Times New Roman" w:hAnsi="Times New Roman" w:cs="Times New Roman"/>
          <w:spacing w:val="19"/>
          <w:position w:val="7"/>
          <w:sz w:val="24"/>
          <w:szCs w:val="24"/>
        </w:rPr>
        <w:t xml:space="preserve"> </w:t>
      </w:r>
      <w:r>
        <w:rPr>
          <w:spacing w:val="-3"/>
          <w:position w:val="7"/>
          <w:sz w:val="24"/>
          <w:szCs w:val="24"/>
        </w:rPr>
        <w:t>与仪器外壳的绝</w:t>
      </w:r>
      <w:r>
        <w:rPr>
          <w:spacing w:val="-4"/>
          <w:position w:val="7"/>
          <w:sz w:val="24"/>
          <w:szCs w:val="24"/>
        </w:rPr>
        <w:t>缘电阻。</w:t>
      </w:r>
    </w:p>
    <w:p>
      <w:pPr>
        <w:pStyle w:val="BodyText"/>
        <w:spacing w:line="219" w:lineRule="auto"/>
        <w:ind w:left="460"/>
        <w:rPr>
          <w:sz w:val="24"/>
          <w:szCs w:val="24"/>
        </w:rPr>
      </w:pPr>
      <w:r>
        <w:rPr>
          <w:spacing w:val="-2"/>
          <w:sz w:val="24"/>
          <w:szCs w:val="24"/>
        </w:rPr>
        <w:t>取所有测量值中的最小值作为绝缘电阻的测量结果。</w:t>
      </w:r>
    </w:p>
    <w:p>
      <w:pPr>
        <w:pStyle w:val="BodyText"/>
        <w:spacing w:before="74" w:line="362" w:lineRule="exact"/>
        <w:rPr>
          <w:sz w:val="24"/>
          <w:szCs w:val="24"/>
        </w:rPr>
      </w:pPr>
      <w:r>
        <w:rPr>
          <w:spacing w:val="-3"/>
          <w:position w:val="8"/>
          <w:sz w:val="24"/>
          <w:szCs w:val="24"/>
        </w:rPr>
        <w:t>7.2.3</w:t>
      </w:r>
      <w:r>
        <w:rPr>
          <w:spacing w:val="105"/>
          <w:position w:val="8"/>
          <w:sz w:val="24"/>
          <w:szCs w:val="24"/>
        </w:rPr>
        <w:t xml:space="preserve"> </w:t>
      </w:r>
      <w:r>
        <w:rPr>
          <w:spacing w:val="-3"/>
          <w:position w:val="8"/>
          <w:sz w:val="24"/>
          <w:szCs w:val="24"/>
        </w:rPr>
        <w:t>温度稳定性测试</w:t>
      </w:r>
    </w:p>
    <w:p>
      <w:pPr>
        <w:pStyle w:val="BodyText"/>
        <w:spacing w:before="1" w:line="220" w:lineRule="auto"/>
        <w:rPr>
          <w:sz w:val="24"/>
          <w:szCs w:val="24"/>
        </w:rPr>
      </w:pPr>
      <w:hyperlink r:id="rId23" w:history="1">
        <w:r>
          <w:rPr>
            <w:spacing w:val="-3"/>
            <w:sz w:val="24"/>
            <w:szCs w:val="24"/>
          </w:rPr>
          <w:t>7.2.3.1</w:t>
        </w:r>
      </w:hyperlink>
      <w:r>
        <w:rPr>
          <w:spacing w:val="104"/>
          <w:sz w:val="24"/>
          <w:szCs w:val="24"/>
        </w:rPr>
        <w:t xml:space="preserve"> </w:t>
      </w:r>
      <w:r>
        <w:rPr>
          <w:spacing w:val="-3"/>
          <w:sz w:val="24"/>
          <w:szCs w:val="24"/>
        </w:rPr>
        <w:t>测试方法</w:t>
      </w:r>
    </w:p>
    <w:p>
      <w:pPr>
        <w:pStyle w:val="BodyText"/>
        <w:spacing w:before="89" w:line="241" w:lineRule="auto"/>
        <w:ind w:right="100" w:firstLine="460"/>
        <w:rPr>
          <w:sz w:val="24"/>
          <w:szCs w:val="24"/>
        </w:rPr>
      </w:pPr>
      <w:r>
        <w:rPr>
          <w:spacing w:val="1"/>
          <w:sz w:val="24"/>
          <w:szCs w:val="24"/>
        </w:rPr>
        <w:t>1)选择温度点，在黑体辐射源温度范围内均匀分布，优先选择整10</w:t>
      </w:r>
      <w:r>
        <w:rPr>
          <w:spacing w:val="51"/>
          <w:sz w:val="24"/>
          <w:szCs w:val="24"/>
        </w:rPr>
        <w:t xml:space="preserve"> </w:t>
      </w:r>
      <w:r>
        <w:rPr>
          <w:spacing w:val="1"/>
          <w:sz w:val="24"/>
          <w:szCs w:val="24"/>
        </w:rPr>
        <w:t>℃点，也可根</w:t>
      </w:r>
      <w:r>
        <w:rPr>
          <w:sz w:val="24"/>
          <w:szCs w:val="24"/>
        </w:rPr>
        <w:t xml:space="preserve"> </w:t>
      </w:r>
      <w:r>
        <w:rPr>
          <w:spacing w:val="-9"/>
          <w:sz w:val="24"/>
          <w:szCs w:val="24"/>
        </w:rPr>
        <w:t>据用户要求选择。</w:t>
      </w:r>
    </w:p>
    <w:p>
      <w:pPr>
        <w:pStyle w:val="BodyText"/>
        <w:spacing w:before="104" w:line="238" w:lineRule="auto"/>
        <w:ind w:right="95" w:firstLine="460"/>
        <w:rPr>
          <w:sz w:val="24"/>
          <w:szCs w:val="24"/>
        </w:rPr>
      </w:pPr>
      <w:r>
        <w:rPr>
          <w:spacing w:val="10"/>
          <w:sz w:val="24"/>
          <w:szCs w:val="24"/>
        </w:rPr>
        <w:t xml:space="preserve">2)被校准黑体辐射源温度设定在测试温度点，10 </w:t>
      </w:r>
      <w:r>
        <w:rPr>
          <w:rFonts w:ascii="Times New Roman" w:eastAsia="Times New Roman" w:hAnsi="Times New Roman" w:cs="Times New Roman"/>
          <w:sz w:val="24"/>
          <w:szCs w:val="24"/>
        </w:rPr>
        <w:t>min</w:t>
      </w:r>
      <w:r>
        <w:rPr>
          <w:rFonts w:ascii="Times New Roman" w:eastAsia="Times New Roman" w:hAnsi="Times New Roman" w:cs="Times New Roman"/>
          <w:spacing w:val="29"/>
          <w:w w:val="101"/>
          <w:sz w:val="24"/>
          <w:szCs w:val="24"/>
        </w:rPr>
        <w:t xml:space="preserve"> </w:t>
      </w:r>
      <w:r>
        <w:rPr>
          <w:spacing w:val="10"/>
          <w:sz w:val="24"/>
          <w:szCs w:val="24"/>
        </w:rPr>
        <w:t>的温度控制稳定性不大于</w:t>
      </w:r>
      <w:r>
        <w:rPr>
          <w:sz w:val="24"/>
          <w:szCs w:val="24"/>
        </w:rPr>
        <w:t xml:space="preserve"> </w:t>
      </w:r>
      <w:r>
        <w:rPr>
          <w:spacing w:val="-1"/>
          <w:sz w:val="24"/>
          <w:szCs w:val="24"/>
        </w:rPr>
        <w:t>0</w:t>
      </w:r>
      <w:r>
        <w:rPr>
          <w:spacing w:val="-65"/>
          <w:sz w:val="24"/>
          <w:szCs w:val="24"/>
        </w:rPr>
        <w:t xml:space="preserve"> </w:t>
      </w:r>
      <w:r>
        <w:rPr>
          <w:spacing w:val="-1"/>
          <w:sz w:val="24"/>
          <w:szCs w:val="24"/>
        </w:rPr>
        <w:t>.</w:t>
      </w:r>
      <w:r>
        <w:rPr>
          <w:spacing w:val="-54"/>
          <w:sz w:val="24"/>
          <w:szCs w:val="24"/>
        </w:rPr>
        <w:t xml:space="preserve"> </w:t>
      </w:r>
      <w:r>
        <w:rPr>
          <w:spacing w:val="-1"/>
          <w:sz w:val="24"/>
          <w:szCs w:val="24"/>
        </w:rPr>
        <w:t>1℃和0</w:t>
      </w:r>
      <w:r>
        <w:rPr>
          <w:spacing w:val="-66"/>
          <w:sz w:val="24"/>
          <w:szCs w:val="24"/>
        </w:rPr>
        <w:t xml:space="preserve"> </w:t>
      </w:r>
      <w:r>
        <w:rPr>
          <w:spacing w:val="-1"/>
          <w:sz w:val="24"/>
          <w:szCs w:val="24"/>
        </w:rPr>
        <w:t>.</w:t>
      </w:r>
      <w:r>
        <w:rPr>
          <w:spacing w:val="-54"/>
          <w:sz w:val="24"/>
          <w:szCs w:val="24"/>
        </w:rPr>
        <w:t xml:space="preserve"> </w:t>
      </w:r>
      <w:r>
        <w:rPr>
          <w:spacing w:val="-1"/>
          <w:sz w:val="24"/>
          <w:szCs w:val="24"/>
        </w:rPr>
        <w:t>1%</w:t>
      </w:r>
      <w:r>
        <w:rPr>
          <w:spacing w:val="-25"/>
          <w:sz w:val="24"/>
          <w:szCs w:val="24"/>
        </w:rPr>
        <w:t xml:space="preserve"> </w:t>
      </w:r>
      <w:r>
        <w:rPr>
          <w:spacing w:val="-1"/>
          <w:sz w:val="24"/>
          <w:szCs w:val="24"/>
        </w:rPr>
        <w:t>|t| 中的大者(t</w:t>
      </w:r>
      <w:r>
        <w:rPr>
          <w:spacing w:val="-48"/>
          <w:sz w:val="24"/>
          <w:szCs w:val="24"/>
        </w:rPr>
        <w:t xml:space="preserve"> </w:t>
      </w:r>
      <w:r>
        <w:rPr>
          <w:spacing w:val="-2"/>
          <w:sz w:val="24"/>
          <w:szCs w:val="24"/>
        </w:rPr>
        <w:t>为校准点温度值)。</w:t>
      </w:r>
    </w:p>
    <w:p>
      <w:pPr>
        <w:pStyle w:val="BodyText"/>
        <w:spacing w:before="82" w:line="219" w:lineRule="auto"/>
        <w:ind w:left="460"/>
        <w:rPr>
          <w:sz w:val="24"/>
          <w:szCs w:val="24"/>
        </w:rPr>
      </w:pPr>
      <w:r>
        <w:rPr>
          <w:sz w:val="24"/>
          <w:szCs w:val="24"/>
        </w:rPr>
        <w:t>3)不使用光阑。</w:t>
      </w:r>
    </w:p>
    <w:p>
      <w:pPr>
        <w:pStyle w:val="BodyText"/>
        <w:spacing w:before="94" w:line="219" w:lineRule="auto"/>
        <w:ind w:left="460"/>
        <w:rPr>
          <w:sz w:val="24"/>
          <w:szCs w:val="24"/>
        </w:rPr>
      </w:pPr>
      <w:r>
        <w:rPr>
          <w:sz w:val="24"/>
          <w:szCs w:val="24"/>
        </w:rPr>
        <w:t>4)调整辐射温度计方位，使得辐射温度计与黑体辐射源同轴。</w:t>
      </w:r>
    </w:p>
    <w:p>
      <w:pPr>
        <w:pStyle w:val="BodyText"/>
        <w:spacing w:before="56" w:line="256" w:lineRule="auto"/>
        <w:ind w:right="23" w:firstLine="460"/>
        <w:rPr>
          <w:sz w:val="24"/>
          <w:szCs w:val="24"/>
        </w:rPr>
      </w:pPr>
      <w:r>
        <w:rPr>
          <w:spacing w:val="11"/>
          <w:sz w:val="24"/>
          <w:szCs w:val="24"/>
        </w:rPr>
        <w:t>5)每个温度点共进行</w:t>
      </w:r>
      <w:r>
        <w:rPr>
          <w:rFonts w:ascii="Times New Roman" w:eastAsia="Times New Roman" w:hAnsi="Times New Roman" w:cs="Times New Roman"/>
          <w:spacing w:val="11"/>
          <w:sz w:val="24"/>
          <w:szCs w:val="24"/>
        </w:rPr>
        <w:t>n</w:t>
      </w:r>
      <w:r>
        <w:rPr>
          <w:rFonts w:ascii="Times New Roman" w:eastAsia="Times New Roman" w:hAnsi="Times New Roman" w:cs="Times New Roman"/>
          <w:spacing w:val="44"/>
          <w:w w:val="101"/>
          <w:sz w:val="24"/>
          <w:szCs w:val="24"/>
        </w:rPr>
        <w:t xml:space="preserve"> </w:t>
      </w:r>
      <w:r>
        <w:rPr>
          <w:spacing w:val="11"/>
          <w:sz w:val="24"/>
          <w:szCs w:val="24"/>
        </w:rPr>
        <w:t xml:space="preserve">次(通常为11次)测量。每次测量时间间隔通常为1 </w:t>
      </w:r>
      <w:r>
        <w:rPr>
          <w:rFonts w:ascii="Times New Roman" w:eastAsia="Times New Roman" w:hAnsi="Times New Roman" w:cs="Times New Roman"/>
          <w:sz w:val="24"/>
          <w:szCs w:val="24"/>
        </w:rPr>
        <w:t>min</w:t>
      </w:r>
      <w:r>
        <w:rPr>
          <w:spacing w:val="11"/>
          <w:sz w:val="24"/>
          <w:szCs w:val="24"/>
        </w:rPr>
        <w:t>。</w:t>
      </w:r>
      <w:r>
        <w:rPr>
          <w:sz w:val="24"/>
          <w:szCs w:val="24"/>
        </w:rPr>
        <w:t xml:space="preserve"> </w:t>
      </w:r>
      <w:r>
        <w:rPr>
          <w:spacing w:val="-4"/>
          <w:sz w:val="24"/>
          <w:szCs w:val="24"/>
        </w:rPr>
        <w:t>记录辐射温度计测量值。</w:t>
      </w:r>
    </w:p>
    <w:p>
      <w:pPr>
        <w:pStyle w:val="BodyText"/>
        <w:spacing w:before="55" w:line="219" w:lineRule="auto"/>
        <w:rPr>
          <w:sz w:val="24"/>
          <w:szCs w:val="24"/>
        </w:rPr>
      </w:pPr>
      <w:hyperlink r:id="rId24" w:history="1">
        <w:r>
          <w:rPr>
            <w:spacing w:val="-1"/>
            <w:sz w:val="24"/>
            <w:szCs w:val="24"/>
          </w:rPr>
          <w:t>7.2.3.2</w:t>
        </w:r>
      </w:hyperlink>
      <w:r>
        <w:rPr>
          <w:spacing w:val="-1"/>
          <w:sz w:val="24"/>
          <w:szCs w:val="24"/>
        </w:rPr>
        <w:t xml:space="preserve">  数据处理</w:t>
      </w:r>
    </w:p>
    <w:p>
      <w:pPr>
        <w:pStyle w:val="BodyText"/>
        <w:spacing w:before="106" w:line="219" w:lineRule="auto"/>
        <w:ind w:left="460"/>
        <w:rPr>
          <w:sz w:val="24"/>
          <w:szCs w:val="24"/>
        </w:rPr>
      </w:pPr>
      <w:r>
        <w:rPr>
          <w:spacing w:val="-5"/>
          <w:sz w:val="24"/>
          <w:szCs w:val="24"/>
        </w:rPr>
        <w:t>温度稳定性由公式(3)计算：</w:t>
      </w:r>
    </w:p>
    <w:p>
      <w:pPr>
        <w:pStyle w:val="BodyText"/>
        <w:spacing w:before="78" w:line="327" w:lineRule="exact"/>
        <w:ind w:left="3409"/>
        <w:rPr>
          <w:sz w:val="24"/>
          <w:szCs w:val="24"/>
        </w:rPr>
      </w:pPr>
      <w:r>
        <w:rPr>
          <w:spacing w:val="-2"/>
          <w:sz w:val="24"/>
          <w:szCs w:val="24"/>
        </w:rPr>
        <w:t>△</w:t>
      </w:r>
      <w:r>
        <w:rPr>
          <w:rFonts w:ascii="Times New Roman" w:eastAsia="Times New Roman" w:hAnsi="Times New Roman" w:cs="Times New Roman"/>
          <w:spacing w:val="-2"/>
          <w:sz w:val="24"/>
          <w:szCs w:val="24"/>
        </w:rPr>
        <w:t>T=T</w:t>
      </w:r>
      <w:r>
        <w:rPr>
          <w:rFonts w:ascii="Times New Roman" w:eastAsia="Times New Roman" w:hAnsi="Times New Roman" w:cs="Times New Roman"/>
          <w:spacing w:val="24"/>
          <w:w w:val="101"/>
          <w:sz w:val="24"/>
          <w:szCs w:val="24"/>
        </w:rPr>
        <w:t xml:space="preserve">  </w:t>
      </w:r>
      <w:r>
        <w:rPr>
          <w:rFonts w:ascii="Times New Roman" w:eastAsia="Times New Roman" w:hAnsi="Times New Roman" w:cs="Times New Roman"/>
          <w:spacing w:val="-2"/>
          <w:sz w:val="24"/>
          <w:szCs w:val="24"/>
        </w:rPr>
        <w:t>mx</w:t>
      </w:r>
      <w:r>
        <w:rPr>
          <w:rFonts w:ascii="Times New Roman" w:eastAsia="Times New Roman" w:hAnsi="Times New Roman" w:cs="Times New Roman"/>
          <w:spacing w:val="20"/>
          <w:sz w:val="24"/>
          <w:szCs w:val="24"/>
        </w:rPr>
        <w:t xml:space="preserve">  </w:t>
      </w:r>
      <w:r>
        <w:rPr>
          <w:rFonts w:ascii="Times New Roman" w:eastAsia="Times New Roman" w:hAnsi="Times New Roman" w:cs="Times New Roman"/>
          <w:spacing w:val="-2"/>
          <w:sz w:val="24"/>
          <w:szCs w:val="24"/>
        </w:rPr>
        <w:t>—Tc</w:t>
      </w:r>
      <w:r>
        <w:rPr>
          <w:rFonts w:ascii="Times New Roman" w:eastAsia="Times New Roman" w:hAnsi="Times New Roman" w:cs="Times New Roman"/>
          <w:spacing w:val="21"/>
          <w:w w:val="101"/>
          <w:sz w:val="24"/>
          <w:szCs w:val="24"/>
        </w:rPr>
        <w:t xml:space="preserve">  </w:t>
      </w:r>
      <w:r>
        <w:rPr>
          <w:rFonts w:ascii="Times New Roman" w:eastAsia="Times New Roman" w:hAnsi="Times New Roman" w:cs="Times New Roman"/>
          <w:spacing w:val="-2"/>
          <w:sz w:val="24"/>
          <w:szCs w:val="24"/>
        </w:rPr>
        <w:t xml:space="preserve">mir                                                  </w:t>
      </w:r>
      <w:r>
        <w:rPr>
          <w:spacing w:val="-2"/>
          <w:position w:val="1"/>
          <w:sz w:val="24"/>
          <w:szCs w:val="24"/>
        </w:rPr>
        <w:t>(3)</w:t>
      </w:r>
    </w:p>
    <w:p>
      <w:pPr>
        <w:pStyle w:val="BodyText"/>
        <w:spacing w:before="21" w:line="220" w:lineRule="auto"/>
        <w:ind w:left="460"/>
        <w:rPr>
          <w:sz w:val="24"/>
          <w:szCs w:val="24"/>
        </w:rPr>
      </w:pPr>
      <w:r>
        <w:rPr>
          <w:spacing w:val="-16"/>
          <w:sz w:val="24"/>
          <w:szCs w:val="24"/>
        </w:rPr>
        <w:t>式中：</w:t>
      </w:r>
    </w:p>
    <w:p>
      <w:pPr>
        <w:pStyle w:val="BodyText"/>
        <w:spacing w:before="65" w:line="212" w:lineRule="auto"/>
        <w:ind w:left="460"/>
        <w:rPr>
          <w:rFonts w:ascii="Times New Roman" w:eastAsia="Times New Roman" w:hAnsi="Times New Roman" w:cs="Times New Roman"/>
          <w:sz w:val="24"/>
          <w:szCs w:val="24"/>
        </w:rPr>
      </w:pPr>
      <w:r>
        <w:rPr>
          <w:spacing w:val="-9"/>
          <w:sz w:val="24"/>
          <w:szCs w:val="24"/>
        </w:rPr>
        <w:t>△</w:t>
      </w:r>
      <w:r>
        <w:rPr>
          <w:rFonts w:ascii="Times New Roman" w:eastAsia="Times New Roman" w:hAnsi="Times New Roman" w:cs="Times New Roman"/>
          <w:spacing w:val="-9"/>
          <w:sz w:val="24"/>
          <w:szCs w:val="24"/>
        </w:rPr>
        <w:t>Tμ——</w:t>
      </w:r>
      <w:r>
        <w:rPr>
          <w:spacing w:val="-9"/>
          <w:sz w:val="24"/>
          <w:szCs w:val="24"/>
        </w:rPr>
        <w:t xml:space="preserve">被校准黑体辐射源的温度稳定性， </w:t>
      </w:r>
      <w:r>
        <w:rPr>
          <w:rFonts w:ascii="Times New Roman" w:eastAsia="Times New Roman" w:hAnsi="Times New Roman" w:cs="Times New Roman"/>
          <w:spacing w:val="-9"/>
          <w:sz w:val="24"/>
          <w:szCs w:val="24"/>
        </w:rPr>
        <w:t>K;</w:t>
      </w:r>
    </w:p>
    <w:p>
      <w:pPr>
        <w:pStyle w:val="BodyText"/>
        <w:spacing w:before="66" w:line="263" w:lineRule="auto"/>
        <w:ind w:left="360" w:right="1425"/>
        <w:jc w:val="both"/>
        <w:rPr>
          <w:rFonts w:ascii="FangSong" w:eastAsia="FangSong" w:hAnsi="FangSong" w:cs="FangSong"/>
          <w:sz w:val="24"/>
          <w:szCs w:val="24"/>
        </w:rPr>
      </w:pPr>
      <w:r>
        <w:rPr>
          <w:rFonts w:ascii="Times New Roman" w:eastAsia="Times New Roman" w:hAnsi="Times New Roman" w:cs="Times New Roman"/>
          <w:spacing w:val="-5"/>
          <w:sz w:val="24"/>
          <w:szCs w:val="24"/>
        </w:rPr>
        <w:t>Tmmx——</w:t>
      </w:r>
      <w:r>
        <w:rPr>
          <w:spacing w:val="-5"/>
          <w:sz w:val="24"/>
          <w:szCs w:val="24"/>
        </w:rPr>
        <w:t>辐射温度计测量被校准黑体辐</w:t>
      </w:r>
      <w:r>
        <w:rPr>
          <w:spacing w:val="-6"/>
          <w:sz w:val="24"/>
          <w:szCs w:val="24"/>
        </w:rPr>
        <w:t xml:space="preserve">射源亮度温度示值最大值， </w:t>
      </w:r>
      <w:r>
        <w:rPr>
          <w:rFonts w:ascii="Times New Roman" w:eastAsia="Times New Roman" w:hAnsi="Times New Roman" w:cs="Times New Roman"/>
          <w:spacing w:val="-6"/>
          <w:sz w:val="24"/>
          <w:szCs w:val="24"/>
        </w:rPr>
        <w:t xml:space="preserve">K;  </w:t>
      </w:r>
      <w:r>
        <w:rPr>
          <w:rFonts w:ascii="Times New Roman" w:eastAsia="Times New Roman" w:hAnsi="Times New Roman" w:cs="Times New Roman"/>
          <w:spacing w:val="-3"/>
          <w:sz w:val="24"/>
          <w:szCs w:val="24"/>
        </w:rPr>
        <w:t>Ter min----</w:t>
      </w:r>
      <w:r>
        <w:rPr>
          <w:spacing w:val="-3"/>
          <w:sz w:val="24"/>
          <w:szCs w:val="24"/>
        </w:rPr>
        <w:t>辐射温度计测量被校准黑体辐射源亮度温度示值最小值，</w:t>
      </w:r>
      <w:r>
        <w:rPr>
          <w:rFonts w:ascii="Times New Roman" w:eastAsia="Times New Roman" w:hAnsi="Times New Roman" w:cs="Times New Roman"/>
          <w:spacing w:val="-4"/>
          <w:sz w:val="24"/>
          <w:szCs w:val="24"/>
        </w:rPr>
        <w:t>K</w:t>
      </w:r>
      <w:r>
        <w:rPr>
          <w:spacing w:val="-4"/>
          <w:sz w:val="24"/>
          <w:szCs w:val="24"/>
        </w:rPr>
        <w:t>。</w:t>
      </w:r>
      <w:r>
        <w:rPr>
          <w:sz w:val="24"/>
          <w:szCs w:val="24"/>
        </w:rPr>
        <w:t xml:space="preserve"> </w:t>
      </w:r>
      <w:r>
        <w:rPr>
          <w:rFonts w:ascii="FangSong" w:eastAsia="FangSong" w:hAnsi="FangSong" w:cs="FangSong"/>
          <w:spacing w:val="-33"/>
          <w:sz w:val="24"/>
          <w:szCs w:val="24"/>
        </w:rPr>
        <w:t>注：在给出结果时温度单位可按习惯使用单位℃。以下公式可相同处理。</w:t>
      </w:r>
    </w:p>
    <w:p>
      <w:pPr>
        <w:pStyle w:val="BodyText"/>
        <w:spacing w:before="61" w:line="361" w:lineRule="exact"/>
        <w:ind w:left="3"/>
        <w:rPr>
          <w:sz w:val="24"/>
          <w:szCs w:val="24"/>
        </w:rPr>
      </w:pPr>
      <w:r>
        <w:rPr>
          <w:b/>
          <w:bCs/>
          <w:spacing w:val="-3"/>
          <w:position w:val="8"/>
          <w:sz w:val="24"/>
          <w:szCs w:val="24"/>
        </w:rPr>
        <w:t>7.2.4</w:t>
      </w:r>
      <w:r>
        <w:rPr>
          <w:spacing w:val="-3"/>
          <w:position w:val="8"/>
          <w:sz w:val="24"/>
          <w:szCs w:val="24"/>
        </w:rPr>
        <w:t xml:space="preserve">  温度均匀性测试</w:t>
      </w:r>
    </w:p>
    <w:p>
      <w:pPr>
        <w:pStyle w:val="BodyText"/>
        <w:spacing w:before="1" w:line="220" w:lineRule="auto"/>
        <w:ind w:left="3"/>
        <w:rPr>
          <w:sz w:val="24"/>
          <w:szCs w:val="24"/>
        </w:rPr>
      </w:pPr>
      <w:hyperlink r:id="rId25" w:history="1">
        <w:r>
          <w:rPr>
            <w:b/>
            <w:bCs/>
            <w:spacing w:val="-3"/>
            <w:sz w:val="24"/>
            <w:szCs w:val="24"/>
          </w:rPr>
          <w:t>7.2.4.1</w:t>
        </w:r>
      </w:hyperlink>
      <w:r>
        <w:rPr>
          <w:spacing w:val="-3"/>
          <w:sz w:val="24"/>
          <w:szCs w:val="24"/>
        </w:rPr>
        <w:t xml:space="preserve">  测试方法</w:t>
      </w:r>
    </w:p>
    <w:p>
      <w:pPr>
        <w:pStyle w:val="BodyText"/>
        <w:spacing w:before="82" w:line="248" w:lineRule="auto"/>
        <w:ind w:right="100" w:firstLine="460"/>
        <w:rPr>
          <w:sz w:val="24"/>
          <w:szCs w:val="24"/>
        </w:rPr>
      </w:pPr>
      <w:r>
        <w:rPr>
          <w:spacing w:val="6"/>
          <w:sz w:val="24"/>
          <w:szCs w:val="24"/>
        </w:rPr>
        <w:t>1)选择温度点，在黑体辐射源温度范围内均匀分布</w:t>
      </w:r>
      <w:r>
        <w:rPr>
          <w:spacing w:val="5"/>
          <w:sz w:val="24"/>
          <w:szCs w:val="24"/>
        </w:rPr>
        <w:t>，优先选择整10℃点，也可根</w:t>
      </w:r>
      <w:r>
        <w:rPr>
          <w:sz w:val="24"/>
          <w:szCs w:val="24"/>
        </w:rPr>
        <w:t xml:space="preserve"> </w:t>
      </w:r>
      <w:r>
        <w:rPr>
          <w:spacing w:val="-9"/>
          <w:sz w:val="24"/>
          <w:szCs w:val="24"/>
        </w:rPr>
        <w:t>据用户要求选择。</w:t>
      </w:r>
    </w:p>
    <w:p>
      <w:pPr>
        <w:pStyle w:val="BodyText"/>
        <w:spacing w:before="95" w:line="248" w:lineRule="auto"/>
        <w:ind w:right="96" w:firstLine="460"/>
        <w:rPr>
          <w:sz w:val="24"/>
          <w:szCs w:val="24"/>
        </w:rPr>
      </w:pPr>
      <w:r>
        <w:rPr>
          <w:spacing w:val="6"/>
          <w:sz w:val="24"/>
          <w:szCs w:val="24"/>
        </w:rPr>
        <w:t>2)均匀性测试位置可选择黑体辐射源空腔底部的中部、上部、下部、左</w:t>
      </w:r>
      <w:r>
        <w:rPr>
          <w:spacing w:val="5"/>
          <w:sz w:val="24"/>
          <w:szCs w:val="24"/>
        </w:rPr>
        <w:t>部和右部</w:t>
      </w:r>
      <w:r>
        <w:rPr>
          <w:sz w:val="24"/>
          <w:szCs w:val="24"/>
        </w:rPr>
        <w:t xml:space="preserve"> </w:t>
      </w:r>
      <w:r>
        <w:rPr>
          <w:spacing w:val="-6"/>
          <w:sz w:val="24"/>
          <w:szCs w:val="24"/>
        </w:rPr>
        <w:t>五个点，或按用户要求选择。</w:t>
      </w:r>
    </w:p>
    <w:p>
      <w:pPr>
        <w:pStyle w:val="BodyText"/>
        <w:spacing w:before="74" w:line="242" w:lineRule="auto"/>
        <w:ind w:right="77" w:firstLine="460"/>
        <w:rPr>
          <w:sz w:val="24"/>
          <w:szCs w:val="24"/>
        </w:rPr>
      </w:pPr>
      <w:r>
        <w:rPr>
          <w:spacing w:val="7"/>
          <w:sz w:val="24"/>
          <w:szCs w:val="24"/>
        </w:rPr>
        <w:t xml:space="preserve">3)被校准黑体辐射源温度设定在测试温度点，10 </w:t>
      </w:r>
      <w:r>
        <w:rPr>
          <w:rFonts w:ascii="Times New Roman" w:eastAsia="Times New Roman" w:hAnsi="Times New Roman" w:cs="Times New Roman"/>
          <w:sz w:val="24"/>
          <w:szCs w:val="24"/>
        </w:rPr>
        <w:t>min</w:t>
      </w:r>
      <w:r>
        <w:rPr>
          <w:rFonts w:ascii="Times New Roman" w:eastAsia="Times New Roman" w:hAnsi="Times New Roman" w:cs="Times New Roman"/>
          <w:spacing w:val="7"/>
          <w:sz w:val="24"/>
          <w:szCs w:val="24"/>
        </w:rPr>
        <w:t xml:space="preserve"> </w:t>
      </w:r>
      <w:r>
        <w:rPr>
          <w:spacing w:val="7"/>
          <w:sz w:val="24"/>
          <w:szCs w:val="24"/>
        </w:rPr>
        <w:t>的温度稳定性不大于0.1℃</w:t>
      </w:r>
      <w:r>
        <w:rPr>
          <w:spacing w:val="12"/>
          <w:sz w:val="24"/>
          <w:szCs w:val="24"/>
        </w:rPr>
        <w:t xml:space="preserve"> </w:t>
      </w:r>
      <w:r>
        <w:rPr>
          <w:spacing w:val="-3"/>
          <w:sz w:val="24"/>
          <w:szCs w:val="24"/>
        </w:rPr>
        <w:t>和0</w:t>
      </w:r>
      <w:r>
        <w:rPr>
          <w:spacing w:val="-52"/>
          <w:sz w:val="24"/>
          <w:szCs w:val="24"/>
        </w:rPr>
        <w:t xml:space="preserve"> </w:t>
      </w:r>
      <w:r>
        <w:rPr>
          <w:spacing w:val="-3"/>
          <w:sz w:val="24"/>
          <w:szCs w:val="24"/>
        </w:rPr>
        <w:t>.</w:t>
      </w:r>
      <w:r>
        <w:rPr>
          <w:spacing w:val="-42"/>
          <w:sz w:val="24"/>
          <w:szCs w:val="24"/>
        </w:rPr>
        <w:t xml:space="preserve"> </w:t>
      </w:r>
      <w:r>
        <w:rPr>
          <w:spacing w:val="-3"/>
          <w:sz w:val="24"/>
          <w:szCs w:val="24"/>
        </w:rPr>
        <w:t>1% |t| 中的大者(t</w:t>
      </w:r>
      <w:r>
        <w:rPr>
          <w:spacing w:val="-48"/>
          <w:sz w:val="24"/>
          <w:szCs w:val="24"/>
        </w:rPr>
        <w:t xml:space="preserve"> </w:t>
      </w:r>
      <w:r>
        <w:rPr>
          <w:spacing w:val="-3"/>
          <w:sz w:val="24"/>
          <w:szCs w:val="24"/>
        </w:rPr>
        <w:t>为校准</w:t>
      </w:r>
      <w:r>
        <w:rPr>
          <w:spacing w:val="-4"/>
          <w:sz w:val="24"/>
          <w:szCs w:val="24"/>
        </w:rPr>
        <w:t>点温度值)。</w:t>
      </w:r>
    </w:p>
    <w:p>
      <w:pPr>
        <w:pStyle w:val="BodyText"/>
        <w:spacing w:before="82" w:line="219" w:lineRule="auto"/>
        <w:ind w:left="460"/>
        <w:rPr>
          <w:sz w:val="24"/>
          <w:szCs w:val="24"/>
        </w:rPr>
      </w:pPr>
      <w:r>
        <w:rPr>
          <w:sz w:val="24"/>
          <w:szCs w:val="24"/>
        </w:rPr>
        <w:t>4)不使用光阑。</w:t>
      </w:r>
    </w:p>
    <w:p>
      <w:pPr>
        <w:pStyle w:val="BodyText"/>
        <w:spacing w:before="75" w:line="252" w:lineRule="auto"/>
        <w:ind w:right="98" w:firstLine="460"/>
        <w:rPr>
          <w:sz w:val="24"/>
          <w:szCs w:val="24"/>
        </w:rPr>
        <w:sectPr>
          <w:headerReference w:type="default" r:id="rId26"/>
          <w:footerReference w:type="default" r:id="rId27"/>
          <w:pgSz w:w="11750" w:h="16820"/>
          <w:pgMar w:top="1740" w:right="1249" w:bottom="1041" w:left="1329" w:header="1404" w:footer="883" w:gutter="0"/>
          <w:pgNumType w:start="9"/>
          <w:cols w:space="708"/>
        </w:sectPr>
      </w:pPr>
      <w:r>
        <w:rPr>
          <w:spacing w:val="6"/>
          <w:sz w:val="24"/>
          <w:szCs w:val="24"/>
        </w:rPr>
        <w:t>5)调整辐射温度计方位，使辐射温度计与黑体辐射源同轴。此时辐</w:t>
      </w:r>
      <w:r>
        <w:rPr>
          <w:spacing w:val="5"/>
          <w:sz w:val="24"/>
          <w:szCs w:val="24"/>
        </w:rPr>
        <w:t>射温度计瞄准</w:t>
      </w:r>
      <w:r>
        <w:rPr>
          <w:sz w:val="24"/>
          <w:szCs w:val="24"/>
        </w:rPr>
        <w:t xml:space="preserve"> </w:t>
      </w:r>
      <w:r>
        <w:rPr>
          <w:spacing w:val="-5"/>
          <w:sz w:val="24"/>
          <w:szCs w:val="24"/>
        </w:rPr>
        <w:t>黑体辐射源的中心位置。</w:t>
      </w:r>
    </w:p>
    <w:p>
      <w:pPr>
        <w:pStyle w:val="BodyText"/>
        <w:spacing w:before="85" w:line="360" w:lineRule="exact"/>
        <w:ind w:left="460"/>
        <w:rPr>
          <w:sz w:val="24"/>
          <w:szCs w:val="24"/>
        </w:rPr>
      </w:pPr>
      <w:r>
        <w:rPr>
          <w:spacing w:val="1"/>
          <w:position w:val="8"/>
          <w:sz w:val="24"/>
          <w:szCs w:val="24"/>
        </w:rPr>
        <w:t>6)测量顺序可按中→上、中→左、中→右、中→下顺序</w:t>
      </w:r>
      <w:r>
        <w:rPr>
          <w:position w:val="8"/>
          <w:sz w:val="24"/>
          <w:szCs w:val="24"/>
        </w:rPr>
        <w:t>测量。</w:t>
      </w:r>
    </w:p>
    <w:p>
      <w:pPr>
        <w:pStyle w:val="BodyText"/>
        <w:spacing w:line="219" w:lineRule="auto"/>
        <w:ind w:left="460"/>
        <w:rPr>
          <w:sz w:val="24"/>
          <w:szCs w:val="24"/>
        </w:rPr>
      </w:pPr>
      <w:r>
        <w:rPr>
          <w:spacing w:val="9"/>
          <w:sz w:val="24"/>
          <w:szCs w:val="24"/>
        </w:rPr>
        <w:t>7)每个位置上共进行</w:t>
      </w:r>
      <w:r>
        <w:rPr>
          <w:rFonts w:ascii="Times New Roman" w:eastAsia="Times New Roman" w:hAnsi="Times New Roman" w:cs="Times New Roman"/>
          <w:spacing w:val="9"/>
          <w:sz w:val="24"/>
          <w:szCs w:val="24"/>
        </w:rPr>
        <w:t>n</w:t>
      </w:r>
      <w:r>
        <w:rPr>
          <w:rFonts w:ascii="Times New Roman" w:eastAsia="Times New Roman" w:hAnsi="Times New Roman" w:cs="Times New Roman"/>
          <w:spacing w:val="41"/>
          <w:sz w:val="24"/>
          <w:szCs w:val="24"/>
        </w:rPr>
        <w:t xml:space="preserve"> </w:t>
      </w:r>
      <w:r>
        <w:rPr>
          <w:spacing w:val="9"/>
          <w:sz w:val="24"/>
          <w:szCs w:val="24"/>
        </w:rPr>
        <w:t>次(通常为3次)测量。</w:t>
      </w:r>
    </w:p>
    <w:p>
      <w:pPr>
        <w:pStyle w:val="BodyText"/>
        <w:spacing w:before="55" w:line="219" w:lineRule="auto"/>
        <w:rPr>
          <w:sz w:val="24"/>
          <w:szCs w:val="24"/>
        </w:rPr>
      </w:pPr>
      <w:hyperlink r:id="rId28" w:history="1">
        <w:r>
          <w:rPr>
            <w:spacing w:val="-4"/>
            <w:sz w:val="24"/>
            <w:szCs w:val="24"/>
          </w:rPr>
          <w:t>7.2.4.2</w:t>
        </w:r>
      </w:hyperlink>
      <w:r>
        <w:rPr>
          <w:spacing w:val="-4"/>
          <w:sz w:val="24"/>
          <w:szCs w:val="24"/>
        </w:rPr>
        <w:t xml:space="preserve">  数据处理</w:t>
      </w:r>
    </w:p>
    <w:sdt>
      <w:sdtPr>
        <w:rPr>
          <w:rFonts w:ascii="SimSun" w:eastAsia="SimSun" w:hAnsi="SimSun" w:cs="SimSun"/>
          <w:sz w:val="24"/>
          <w:szCs w:val="24"/>
        </w:rPr>
        <w:id w:val="2066243577"/>
        <w:docPartObj>
          <w:docPartGallery w:val="Table of Contents"/>
          <w:docPartUnique/>
        </w:docPartObj>
      </w:sdtPr>
      <w:sdtEndPr>
        <w:rPr>
          <w:rFonts w:ascii="SimSun" w:eastAsia="SimSun" w:hAnsi="SimSun" w:cs="SimSun"/>
          <w:sz w:val="28"/>
          <w:szCs w:val="28"/>
        </w:rPr>
      </w:sdtEndPr>
      <w:sdtContent>
        <w:p>
          <w:pPr>
            <w:pStyle w:val="BodyText"/>
            <w:spacing w:before="96" w:line="219" w:lineRule="auto"/>
            <w:ind w:left="460"/>
            <w:rPr>
              <w:sz w:val="24"/>
              <w:szCs w:val="24"/>
            </w:rPr>
          </w:pPr>
          <w:r>
            <w:rPr>
              <w:spacing w:val="-1"/>
              <w:sz w:val="24"/>
              <w:szCs w:val="24"/>
            </w:rPr>
            <w:t>温度均匀性为各点温度与中心温度之差，根据公式(4)计算</w:t>
          </w:r>
        </w:p>
        <w:p>
          <w:pPr>
            <w:pStyle w:val="BodyText"/>
            <w:spacing w:before="35" w:line="239" w:lineRule="auto"/>
            <w:ind w:left="3620"/>
            <w:rPr>
              <w:sz w:val="28"/>
              <w:szCs w:val="28"/>
            </w:rPr>
          </w:pPr>
          <w:r>
            <w:rPr>
              <w:spacing w:val="-8"/>
              <w:position w:val="2"/>
              <w:sz w:val="24"/>
              <w:szCs w:val="24"/>
            </w:rPr>
            <w:t>△</w:t>
          </w:r>
          <w:r>
            <w:rPr>
              <w:rFonts w:ascii="Times New Roman" w:eastAsia="Times New Roman" w:hAnsi="Times New Roman" w:cs="Times New Roman"/>
              <w:spacing w:val="-8"/>
              <w:position w:val="2"/>
              <w:sz w:val="24"/>
              <w:szCs w:val="24"/>
            </w:rPr>
            <w:t>Tg=T</w:t>
          </w:r>
          <w:r>
            <w:rPr>
              <w:rFonts w:ascii="Times New Roman" w:eastAsia="Times New Roman" w:hAnsi="Times New Roman" w:cs="Times New Roman"/>
              <w:spacing w:val="-8"/>
              <w:position w:val="2"/>
              <w:sz w:val="24"/>
              <w:szCs w:val="24"/>
            </w:rPr>
            <w:t>:-T</w:t>
          </w:r>
          <w:r>
            <w:rPr>
              <w:rFonts w:ascii="Times New Roman" w:eastAsia="Times New Roman" w:hAnsi="Times New Roman" w:cs="Times New Roman"/>
              <w:spacing w:val="4"/>
              <w:position w:val="2"/>
              <w:sz w:val="24"/>
              <w:szCs w:val="24"/>
            </w:rPr>
            <w:t xml:space="preserve">      </w:t>
          </w:r>
          <w:r>
            <w:rPr>
              <w:position w:val="23"/>
              <w:sz w:val="24"/>
              <w:szCs w:val="24"/>
            </w:rPr>
            <w:drawing>
              <wp:inline distT="0" distB="0" distL="0" distR="0">
                <wp:extent cx="285766" cy="630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9"/>
                        <a:stretch>
                          <a:fillRect/>
                        </a:stretch>
                      </pic:blipFill>
                      <pic:spPr>
                        <a:xfrm>
                          <a:off x="0" y="0"/>
                          <a:ext cx="285766" cy="6301"/>
                        </a:xfrm>
                        <a:prstGeom prst="rect">
                          <a:avLst/>
                        </a:prstGeom>
                      </pic:spPr>
                    </pic:pic>
                  </a:graphicData>
                </a:graphic>
              </wp:inline>
            </w:drawing>
          </w:r>
          <w:r>
            <w:rPr>
              <w:rFonts w:ascii="Times New Roman" w:eastAsia="Times New Roman" w:hAnsi="Times New Roman" w:cs="Times New Roman"/>
              <w:position w:val="2"/>
              <w:sz w:val="24"/>
              <w:szCs w:val="24"/>
            </w:rPr>
            <w:t xml:space="preserve">                                                   </w:t>
          </w:r>
          <w:r>
            <w:rPr>
              <w:spacing w:val="-8"/>
              <w:position w:val="-2"/>
              <w:sz w:val="28"/>
              <w:szCs w:val="28"/>
            </w:rPr>
            <w:t>(</w:t>
          </w:r>
          <w:hyperlink w:anchor="bookmark1" w:history="1">
            <w:r>
              <w:rPr>
                <w:spacing w:val="-8"/>
                <w:position w:val="-2"/>
                <w:sz w:val="28"/>
                <w:szCs w:val="28"/>
              </w:rPr>
              <w:t>4)</w:t>
            </w:r>
          </w:hyperlink>
        </w:p>
      </w:sdtContent>
    </w:sdt>
    <w:p>
      <w:pPr>
        <w:pStyle w:val="BodyText"/>
        <w:spacing w:before="38" w:line="220" w:lineRule="auto"/>
        <w:ind w:left="460"/>
        <w:rPr>
          <w:sz w:val="24"/>
          <w:szCs w:val="24"/>
        </w:rPr>
      </w:pPr>
      <w:r>
        <w:rPr>
          <w:spacing w:val="-16"/>
          <w:sz w:val="24"/>
          <w:szCs w:val="24"/>
        </w:rPr>
        <w:t>式中：</w:t>
      </w:r>
    </w:p>
    <w:p>
      <w:pPr>
        <w:pStyle w:val="BodyText"/>
        <w:spacing w:before="68" w:line="212" w:lineRule="auto"/>
        <w:ind w:left="460"/>
        <w:rPr>
          <w:rFonts w:ascii="Times New Roman" w:eastAsia="Times New Roman" w:hAnsi="Times New Roman" w:cs="Times New Roman"/>
          <w:sz w:val="24"/>
          <w:szCs w:val="24"/>
        </w:rPr>
      </w:pPr>
      <w:r>
        <w:rPr>
          <w:spacing w:val="-9"/>
          <w:sz w:val="24"/>
          <w:szCs w:val="24"/>
        </w:rPr>
        <w:t>△</w:t>
      </w:r>
      <w:r>
        <w:rPr>
          <w:rFonts w:ascii="Times New Roman" w:eastAsia="Times New Roman" w:hAnsi="Times New Roman" w:cs="Times New Roman"/>
          <w:spacing w:val="-9"/>
          <w:sz w:val="24"/>
          <w:szCs w:val="24"/>
        </w:rPr>
        <w:t>Tr:——</w:t>
      </w:r>
      <w:r>
        <w:rPr>
          <w:spacing w:val="-9"/>
          <w:sz w:val="24"/>
          <w:szCs w:val="24"/>
        </w:rPr>
        <w:t xml:space="preserve">各点温度与中心温度之差， </w:t>
      </w:r>
      <w:r>
        <w:rPr>
          <w:rFonts w:ascii="Times New Roman" w:eastAsia="Times New Roman" w:hAnsi="Times New Roman" w:cs="Times New Roman"/>
          <w:spacing w:val="-9"/>
          <w:sz w:val="24"/>
          <w:szCs w:val="24"/>
        </w:rPr>
        <w:t>K;</w:t>
      </w:r>
    </w:p>
    <w:p>
      <w:pPr>
        <w:spacing w:line="212" w:lineRule="auto"/>
        <w:rPr>
          <w:rFonts w:ascii="Times New Roman" w:eastAsia="Times New Roman" w:hAnsi="Times New Roman" w:cs="Times New Roman"/>
          <w:sz w:val="24"/>
          <w:szCs w:val="24"/>
        </w:rPr>
        <w:sectPr>
          <w:headerReference w:type="default" r:id="rId30"/>
          <w:footerReference w:type="default" r:id="rId31"/>
          <w:type w:val="nextPage"/>
          <w:pgSz w:w="11750" w:h="16820"/>
          <w:pgMar w:top="1740" w:right="1249" w:bottom="1041" w:left="1329" w:header="1404" w:footer="883" w:gutter="0"/>
          <w:pgNumType w:start="10"/>
          <w:cols w:space="708"/>
          <w:titlePg w:val="0"/>
        </w:sectPr>
      </w:pPr>
    </w:p>
    <w:p>
      <w:pPr>
        <w:tabs>
          <w:tab w:val="left" w:pos="1030"/>
        </w:tabs>
        <w:spacing w:line="231" w:lineRule="exact"/>
        <w:ind w:left="609"/>
        <w:rPr>
          <w:rFonts w:ascii="Arial"/>
          <w:sz w:val="21"/>
        </w:rPr>
      </w:pPr>
      <w:r>
        <w:rPr>
          <w:rFonts w:ascii="Arial" w:eastAsia="Arial" w:hAnsi="Arial" w:cs="Arial"/>
          <w:position w:val="-1"/>
          <w:sz w:val="21"/>
          <w:szCs w:val="21"/>
          <w:u w:val="single" w:color="auto"/>
        </w:rPr>
        <w:tab/>
      </w:r>
    </w:p>
    <w:p>
      <w:pPr>
        <w:pStyle w:val="BodyText"/>
        <w:spacing w:line="205" w:lineRule="auto"/>
        <w:ind w:left="629"/>
        <w:rPr>
          <w:rFonts w:ascii="Times New Roman" w:eastAsia="Times New Roman" w:hAnsi="Times New Roman" w:cs="Times New Roman"/>
          <w:sz w:val="22"/>
          <w:szCs w:val="22"/>
        </w:rPr>
      </w:pPr>
      <w:r>
        <w:rPr>
          <w:rFonts w:ascii="Times New Roman" w:eastAsia="Times New Roman" w:hAnsi="Times New Roman" w:cs="Times New Roman"/>
          <w:spacing w:val="19"/>
          <w:sz w:val="22"/>
          <w:szCs w:val="22"/>
        </w:rPr>
        <w:t xml:space="preserve">T   </w:t>
      </w:r>
      <w:r>
        <w:rPr>
          <w:rFonts w:ascii="Times New Roman" w:eastAsia="Times New Roman" w:hAnsi="Times New Roman" w:cs="Times New Roman"/>
          <w:strike/>
          <w:spacing w:val="19"/>
          <w:sz w:val="22"/>
          <w:szCs w:val="22"/>
        </w:rPr>
        <w:t xml:space="preserve">         </w:t>
      </w:r>
      <w:r>
        <w:rPr>
          <w:rFonts w:ascii="Times New Roman" w:eastAsia="Times New Roman" w:hAnsi="Times New Roman" w:cs="Times New Roman"/>
          <w:spacing w:val="-55"/>
          <w:sz w:val="22"/>
          <w:szCs w:val="22"/>
        </w:rPr>
        <w:t xml:space="preserve"> </w:t>
      </w:r>
      <w:r>
        <w:rPr>
          <w:spacing w:val="19"/>
          <w:sz w:val="22"/>
          <w:szCs w:val="22"/>
        </w:rPr>
        <w:t>黑体辐射源上部、下部、左部和右部的亮度温度测量平</w:t>
      </w:r>
      <w:r>
        <w:rPr>
          <w:spacing w:val="18"/>
          <w:sz w:val="22"/>
          <w:szCs w:val="22"/>
        </w:rPr>
        <w:t>均值</w:t>
      </w:r>
      <w:r>
        <w:rPr>
          <w:rFonts w:ascii="Times New Roman" w:eastAsia="Times New Roman" w:hAnsi="Times New Roman" w:cs="Times New Roman"/>
          <w:spacing w:val="18"/>
          <w:sz w:val="22"/>
          <w:szCs w:val="22"/>
        </w:rPr>
        <w:t>(i=1,2,</w:t>
      </w:r>
    </w:p>
    <w:p>
      <w:pPr>
        <w:spacing w:before="149" w:line="191" w:lineRule="auto"/>
        <w:ind w:left="1459"/>
        <w:rPr>
          <w:rFonts w:ascii="Times New Roman" w:eastAsia="Times New Roman" w:hAnsi="Times New Roman" w:cs="Times New Roman"/>
          <w:sz w:val="19"/>
          <w:szCs w:val="19"/>
        </w:rPr>
      </w:pPr>
      <w:r>
        <w:pict>
          <v:shape id="_x0000_s1029" type="#_x0000_t202" style="width:24.5pt;height:14.1pt;margin-top:11.08pt;margin-left:28pt;position:absolute;z-index:251660288" filled="f" stroked="f">
            <o:lock v:ext="edit" aspectratio="f"/>
            <v:textbox inset="0,0,0,0">
              <w:txbxContent>
                <w:p>
                  <w:pPr>
                    <w:tabs>
                      <w:tab w:val="left" w:pos="469"/>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Times New Roman" w:eastAsia="Times New Roman" w:hAnsi="Times New Roman" w:cs="Times New Roman"/>
          <w:spacing w:val="-2"/>
          <w:sz w:val="19"/>
          <w:szCs w:val="19"/>
        </w:rPr>
        <w:t>3,4),K;</w:t>
      </w:r>
    </w:p>
    <w:p>
      <w:pPr>
        <w:pStyle w:val="BodyText"/>
        <w:spacing w:before="169" w:line="219" w:lineRule="auto"/>
        <w:ind w:left="609"/>
        <w:rPr>
          <w:sz w:val="22"/>
          <w:szCs w:val="22"/>
        </w:rPr>
      </w:pPr>
      <w:r>
        <w:rPr>
          <w:rFonts w:ascii="Times New Roman" w:eastAsia="Times New Roman" w:hAnsi="Times New Roman" w:cs="Times New Roman"/>
          <w:spacing w:val="10"/>
          <w:position w:val="-2"/>
          <w:sz w:val="22"/>
          <w:szCs w:val="22"/>
        </w:rPr>
        <w:t xml:space="preserve">T    </w:t>
      </w:r>
      <w:r>
        <w:rPr>
          <w:rFonts w:ascii="Times New Roman" w:eastAsia="Times New Roman" w:hAnsi="Times New Roman" w:cs="Times New Roman"/>
          <w:strike/>
          <w:spacing w:val="10"/>
          <w:position w:val="-2"/>
          <w:sz w:val="22"/>
          <w:szCs w:val="22"/>
        </w:rPr>
        <w:t xml:space="preserve">         </w:t>
      </w:r>
      <w:r>
        <w:rPr>
          <w:rFonts w:ascii="Times New Roman" w:eastAsia="Times New Roman" w:hAnsi="Times New Roman" w:cs="Times New Roman"/>
          <w:spacing w:val="-45"/>
          <w:position w:val="-2"/>
          <w:sz w:val="22"/>
          <w:szCs w:val="22"/>
        </w:rPr>
        <w:t xml:space="preserve"> </w:t>
      </w:r>
      <w:r>
        <w:rPr>
          <w:spacing w:val="10"/>
          <w:sz w:val="22"/>
          <w:szCs w:val="22"/>
        </w:rPr>
        <w:t>黑体辐射源中心</w:t>
      </w:r>
      <w:r>
        <w:rPr>
          <w:spacing w:val="9"/>
          <w:sz w:val="22"/>
          <w:szCs w:val="22"/>
        </w:rPr>
        <w:t>位置亮度温度的平均值，</w:t>
      </w:r>
      <w:r>
        <w:rPr>
          <w:rFonts w:ascii="Times New Roman" w:eastAsia="Times New Roman" w:hAnsi="Times New Roman" w:cs="Times New Roman"/>
          <w:spacing w:val="9"/>
          <w:sz w:val="22"/>
          <w:szCs w:val="22"/>
        </w:rPr>
        <w:t>K</w:t>
      </w:r>
      <w:r>
        <w:rPr>
          <w:spacing w:val="9"/>
          <w:sz w:val="22"/>
          <w:szCs w:val="22"/>
        </w:rPr>
        <w:t>。</w:t>
      </w:r>
    </w:p>
    <w:p>
      <w:pPr>
        <w:pStyle w:val="BodyText"/>
        <w:spacing w:before="85" w:line="219" w:lineRule="auto"/>
        <w:ind w:left="29"/>
        <w:rPr>
          <w:sz w:val="22"/>
          <w:szCs w:val="22"/>
        </w:rPr>
      </w:pPr>
      <w:r>
        <w:rPr>
          <w:spacing w:val="9"/>
          <w:sz w:val="22"/>
          <w:szCs w:val="22"/>
        </w:rPr>
        <w:t>7.2.5</w:t>
      </w:r>
      <w:r>
        <w:rPr>
          <w:spacing w:val="35"/>
          <w:sz w:val="22"/>
          <w:szCs w:val="22"/>
        </w:rPr>
        <w:t xml:space="preserve">  </w:t>
      </w:r>
      <w:r>
        <w:rPr>
          <w:spacing w:val="9"/>
          <w:sz w:val="22"/>
          <w:szCs w:val="22"/>
        </w:rPr>
        <w:t>亮度温度校准</w:t>
      </w:r>
    </w:p>
    <w:p>
      <w:pPr>
        <w:pStyle w:val="BodyText"/>
        <w:spacing w:before="100" w:line="220" w:lineRule="auto"/>
        <w:ind w:left="39"/>
        <w:rPr>
          <w:sz w:val="22"/>
          <w:szCs w:val="22"/>
        </w:rPr>
      </w:pPr>
      <w:hyperlink r:id="rId32" w:history="1">
        <w:r>
          <w:rPr>
            <w:spacing w:val="8"/>
            <w:sz w:val="22"/>
            <w:szCs w:val="22"/>
          </w:rPr>
          <w:t>7.2.5.1</w:t>
        </w:r>
      </w:hyperlink>
      <w:r>
        <w:rPr>
          <w:spacing w:val="37"/>
          <w:sz w:val="22"/>
          <w:szCs w:val="22"/>
        </w:rPr>
        <w:t xml:space="preserve">  </w:t>
      </w:r>
      <w:r>
        <w:rPr>
          <w:spacing w:val="8"/>
          <w:sz w:val="22"/>
          <w:szCs w:val="22"/>
        </w:rPr>
        <w:t>校准前的准备</w:t>
      </w:r>
    </w:p>
    <w:p>
      <w:pPr>
        <w:pStyle w:val="BodyText"/>
        <w:spacing w:before="95" w:line="219" w:lineRule="auto"/>
        <w:ind w:left="509"/>
        <w:rPr>
          <w:sz w:val="22"/>
          <w:szCs w:val="22"/>
        </w:rPr>
      </w:pPr>
      <w:r>
        <w:rPr>
          <w:spacing w:val="19"/>
          <w:sz w:val="22"/>
          <w:szCs w:val="22"/>
        </w:rPr>
        <w:t>1)选择校准温度点。在黑体辐射源温度范围内均匀分布，优先选择整10</w:t>
      </w:r>
      <w:r>
        <w:rPr>
          <w:spacing w:val="79"/>
          <w:sz w:val="22"/>
          <w:szCs w:val="22"/>
        </w:rPr>
        <w:t xml:space="preserve"> </w:t>
      </w:r>
      <w:r>
        <w:rPr>
          <w:spacing w:val="19"/>
          <w:sz w:val="22"/>
          <w:szCs w:val="22"/>
        </w:rPr>
        <w:t>℃点，也</w:t>
      </w:r>
    </w:p>
    <w:p>
      <w:pPr>
        <w:pStyle w:val="BodyText"/>
        <w:spacing w:before="100" w:line="371" w:lineRule="exact"/>
        <w:ind w:left="49"/>
        <w:rPr>
          <w:sz w:val="22"/>
          <w:szCs w:val="22"/>
        </w:rPr>
      </w:pPr>
      <w:r>
        <w:rPr>
          <w:spacing w:val="13"/>
          <w:position w:val="11"/>
          <w:sz w:val="22"/>
          <w:szCs w:val="22"/>
        </w:rPr>
        <w:t>可根据用户要求选择。</w:t>
      </w:r>
    </w:p>
    <w:p>
      <w:pPr>
        <w:pStyle w:val="BodyText"/>
        <w:spacing w:line="220" w:lineRule="auto"/>
        <w:ind w:left="480"/>
        <w:rPr>
          <w:sz w:val="22"/>
          <w:szCs w:val="22"/>
        </w:rPr>
      </w:pPr>
      <w:r>
        <w:rPr>
          <w:spacing w:val="19"/>
          <w:sz w:val="22"/>
          <w:szCs w:val="22"/>
        </w:rPr>
        <w:t>2)电测设备预热。</w:t>
      </w:r>
    </w:p>
    <w:p>
      <w:pPr>
        <w:pStyle w:val="BodyText"/>
        <w:spacing w:before="118" w:line="262" w:lineRule="auto"/>
        <w:ind w:left="20" w:right="49" w:firstLine="469"/>
        <w:rPr>
          <w:sz w:val="22"/>
          <w:szCs w:val="22"/>
        </w:rPr>
      </w:pPr>
      <w:r>
        <w:rPr>
          <w:spacing w:val="22"/>
          <w:sz w:val="22"/>
          <w:szCs w:val="22"/>
        </w:rPr>
        <w:t>3)使标准和被校准黑体辐射源温度均处于校准温度点士0.5</w:t>
      </w:r>
      <w:r>
        <w:rPr>
          <w:spacing w:val="90"/>
          <w:sz w:val="22"/>
          <w:szCs w:val="22"/>
        </w:rPr>
        <w:t xml:space="preserve"> </w:t>
      </w:r>
      <w:r>
        <w:rPr>
          <w:spacing w:val="22"/>
          <w:sz w:val="22"/>
          <w:szCs w:val="22"/>
        </w:rPr>
        <w:t>℃之内。标准黑体辐</w:t>
      </w:r>
      <w:r>
        <w:rPr>
          <w:sz w:val="22"/>
          <w:szCs w:val="22"/>
        </w:rPr>
        <w:t xml:space="preserve"> </w:t>
      </w:r>
      <w:r>
        <w:rPr>
          <w:spacing w:val="24"/>
          <w:sz w:val="22"/>
          <w:szCs w:val="22"/>
        </w:rPr>
        <w:t xml:space="preserve">射源的温度稳定性满足表1的相应要求，被校准黑体辐射源10 </w:t>
      </w:r>
      <w:r>
        <w:rPr>
          <w:rFonts w:ascii="Times New Roman" w:eastAsia="Times New Roman" w:hAnsi="Times New Roman" w:cs="Times New Roman"/>
          <w:sz w:val="22"/>
          <w:szCs w:val="22"/>
        </w:rPr>
        <w:t>min</w:t>
      </w:r>
      <w:r>
        <w:rPr>
          <w:rFonts w:ascii="Times New Roman" w:eastAsia="Times New Roman" w:hAnsi="Times New Roman" w:cs="Times New Roman"/>
          <w:spacing w:val="24"/>
          <w:sz w:val="22"/>
          <w:szCs w:val="22"/>
        </w:rPr>
        <w:t xml:space="preserve"> </w:t>
      </w:r>
      <w:r>
        <w:rPr>
          <w:rFonts w:ascii="Times New Roman" w:eastAsia="Times New Roman" w:hAnsi="Times New Roman" w:cs="Times New Roman"/>
          <w:spacing w:val="23"/>
          <w:sz w:val="22"/>
          <w:szCs w:val="22"/>
        </w:rPr>
        <w:t xml:space="preserve"> </w:t>
      </w:r>
      <w:r>
        <w:rPr>
          <w:spacing w:val="23"/>
          <w:sz w:val="22"/>
          <w:szCs w:val="22"/>
        </w:rPr>
        <w:t>的温度稳定性不大</w:t>
      </w:r>
      <w:r>
        <w:rPr>
          <w:sz w:val="22"/>
          <w:szCs w:val="22"/>
        </w:rPr>
        <w:t xml:space="preserve"> </w:t>
      </w:r>
      <w:r>
        <w:rPr>
          <w:spacing w:val="-1"/>
          <w:sz w:val="22"/>
          <w:szCs w:val="22"/>
        </w:rPr>
        <w:t>于</w:t>
      </w:r>
      <w:r>
        <w:rPr>
          <w:spacing w:val="-29"/>
          <w:sz w:val="22"/>
          <w:szCs w:val="22"/>
        </w:rPr>
        <w:t xml:space="preserve"> </w:t>
      </w:r>
      <w:r>
        <w:rPr>
          <w:spacing w:val="-1"/>
          <w:sz w:val="22"/>
          <w:szCs w:val="22"/>
        </w:rPr>
        <w:t>0</w:t>
      </w:r>
      <w:r>
        <w:rPr>
          <w:spacing w:val="-41"/>
          <w:sz w:val="22"/>
          <w:szCs w:val="22"/>
        </w:rPr>
        <w:t xml:space="preserve"> </w:t>
      </w:r>
      <w:r>
        <w:rPr>
          <w:spacing w:val="-1"/>
          <w:sz w:val="22"/>
          <w:szCs w:val="22"/>
        </w:rPr>
        <w:t>.</w:t>
      </w:r>
      <w:r>
        <w:rPr>
          <w:spacing w:val="-30"/>
          <w:sz w:val="22"/>
          <w:szCs w:val="22"/>
        </w:rPr>
        <w:t xml:space="preserve"> </w:t>
      </w:r>
      <w:r>
        <w:rPr>
          <w:spacing w:val="-1"/>
          <w:sz w:val="22"/>
          <w:szCs w:val="22"/>
        </w:rPr>
        <w:t>1</w:t>
      </w:r>
      <w:r>
        <w:rPr>
          <w:spacing w:val="-31"/>
          <w:sz w:val="22"/>
          <w:szCs w:val="22"/>
        </w:rPr>
        <w:t xml:space="preserve"> </w:t>
      </w:r>
      <w:r>
        <w:rPr>
          <w:spacing w:val="-1"/>
          <w:sz w:val="22"/>
          <w:szCs w:val="22"/>
        </w:rPr>
        <w:t>℃</w:t>
      </w:r>
      <w:r>
        <w:rPr>
          <w:spacing w:val="-46"/>
          <w:sz w:val="22"/>
          <w:szCs w:val="22"/>
        </w:rPr>
        <w:t xml:space="preserve"> </w:t>
      </w:r>
      <w:r>
        <w:rPr>
          <w:spacing w:val="-1"/>
          <w:sz w:val="22"/>
          <w:szCs w:val="22"/>
        </w:rPr>
        <w:t>和</w:t>
      </w:r>
      <w:r>
        <w:rPr>
          <w:spacing w:val="-45"/>
          <w:sz w:val="22"/>
          <w:szCs w:val="22"/>
        </w:rPr>
        <w:t xml:space="preserve"> </w:t>
      </w:r>
      <w:r>
        <w:rPr>
          <w:spacing w:val="-1"/>
          <w:sz w:val="22"/>
          <w:szCs w:val="22"/>
        </w:rPr>
        <w:t>0</w:t>
      </w:r>
      <w:r>
        <w:rPr>
          <w:spacing w:val="-41"/>
          <w:sz w:val="22"/>
          <w:szCs w:val="22"/>
        </w:rPr>
        <w:t xml:space="preserve"> </w:t>
      </w:r>
      <w:r>
        <w:rPr>
          <w:spacing w:val="-1"/>
          <w:sz w:val="22"/>
          <w:szCs w:val="22"/>
        </w:rPr>
        <w:t>.</w:t>
      </w:r>
      <w:r>
        <w:rPr>
          <w:spacing w:val="-31"/>
          <w:sz w:val="22"/>
          <w:szCs w:val="22"/>
        </w:rPr>
        <w:t xml:space="preserve"> </w:t>
      </w:r>
      <w:r>
        <w:rPr>
          <w:spacing w:val="-1"/>
          <w:sz w:val="22"/>
          <w:szCs w:val="22"/>
        </w:rPr>
        <w:t>1</w:t>
      </w:r>
      <w:r>
        <w:rPr>
          <w:spacing w:val="-52"/>
          <w:sz w:val="22"/>
          <w:szCs w:val="22"/>
        </w:rPr>
        <w:t xml:space="preserve"> </w:t>
      </w:r>
      <w:r>
        <w:rPr>
          <w:spacing w:val="-1"/>
          <w:sz w:val="22"/>
          <w:szCs w:val="22"/>
        </w:rPr>
        <w:t>% |</w:t>
      </w:r>
      <w:r>
        <w:rPr>
          <w:rFonts w:ascii="Times New Roman" w:eastAsia="Times New Roman" w:hAnsi="Times New Roman" w:cs="Times New Roman"/>
          <w:spacing w:val="-1"/>
          <w:sz w:val="22"/>
          <w:szCs w:val="22"/>
        </w:rPr>
        <w:t xml:space="preserve">t|     </w:t>
      </w:r>
      <w:r>
        <w:rPr>
          <w:spacing w:val="-1"/>
          <w:sz w:val="22"/>
          <w:szCs w:val="22"/>
        </w:rPr>
        <w:t>中的大者</w:t>
      </w:r>
      <w:r>
        <w:rPr>
          <w:rFonts w:ascii="Times New Roman" w:eastAsia="Times New Roman" w:hAnsi="Times New Roman" w:cs="Times New Roman"/>
          <w:spacing w:val="-1"/>
          <w:sz w:val="22"/>
          <w:szCs w:val="22"/>
        </w:rPr>
        <w:t>(t</w:t>
      </w:r>
      <w:r>
        <w:rPr>
          <w:rFonts w:ascii="Times New Roman" w:eastAsia="Times New Roman" w:hAnsi="Times New Roman" w:cs="Times New Roman"/>
          <w:spacing w:val="17"/>
          <w:sz w:val="22"/>
          <w:szCs w:val="22"/>
        </w:rPr>
        <w:t xml:space="preserve">  </w:t>
      </w:r>
      <w:r>
        <w:rPr>
          <w:spacing w:val="-1"/>
          <w:sz w:val="22"/>
          <w:szCs w:val="22"/>
        </w:rPr>
        <w:t>为校准点温度值)。</w:t>
      </w:r>
    </w:p>
    <w:p>
      <w:pPr>
        <w:pStyle w:val="BodyText"/>
        <w:spacing w:before="142" w:line="269" w:lineRule="auto"/>
        <w:ind w:right="9" w:firstLine="480"/>
        <w:rPr>
          <w:sz w:val="22"/>
          <w:szCs w:val="22"/>
        </w:rPr>
      </w:pPr>
      <w:r>
        <w:rPr>
          <w:spacing w:val="26"/>
          <w:sz w:val="22"/>
          <w:szCs w:val="22"/>
        </w:rPr>
        <w:t>4)将光阑分别放置在标准黑体辐射源和被校准黑体辐射源空</w:t>
      </w:r>
      <w:r>
        <w:rPr>
          <w:spacing w:val="25"/>
          <w:sz w:val="22"/>
          <w:szCs w:val="22"/>
        </w:rPr>
        <w:t>腔之前。光阑应保持</w:t>
      </w:r>
      <w:r>
        <w:rPr>
          <w:sz w:val="22"/>
          <w:szCs w:val="22"/>
        </w:rPr>
        <w:t xml:space="preserve"> </w:t>
      </w:r>
      <w:r>
        <w:rPr>
          <w:spacing w:val="21"/>
          <w:sz w:val="22"/>
          <w:szCs w:val="22"/>
        </w:rPr>
        <w:t>与辐射源同轴，在不被显著加热和不影响黑</w:t>
      </w:r>
      <w:r>
        <w:rPr>
          <w:spacing w:val="20"/>
          <w:sz w:val="22"/>
          <w:szCs w:val="22"/>
        </w:rPr>
        <w:t>体辐射源温度分布与有效发射率的前提下，</w:t>
      </w:r>
      <w:r>
        <w:rPr>
          <w:sz w:val="22"/>
          <w:szCs w:val="22"/>
        </w:rPr>
        <w:t xml:space="preserve"> </w:t>
      </w:r>
      <w:r>
        <w:rPr>
          <w:spacing w:val="10"/>
          <w:sz w:val="22"/>
          <w:szCs w:val="22"/>
        </w:rPr>
        <w:t>靠近黑体辐射源，</w:t>
      </w:r>
      <w:r>
        <w:rPr>
          <w:spacing w:val="94"/>
          <w:sz w:val="22"/>
          <w:szCs w:val="22"/>
        </w:rPr>
        <w:t xml:space="preserve"> </w:t>
      </w:r>
      <w:r>
        <w:rPr>
          <w:spacing w:val="10"/>
          <w:sz w:val="22"/>
          <w:szCs w:val="22"/>
        </w:rPr>
        <w:t>一般距黑体辐射源5</w:t>
      </w:r>
      <w:r>
        <w:rPr>
          <w:spacing w:val="-53"/>
          <w:sz w:val="22"/>
          <w:szCs w:val="22"/>
        </w:rPr>
        <w:t xml:space="preserve"> </w:t>
      </w:r>
      <w:r>
        <w:rPr>
          <w:rFonts w:ascii="Times New Roman" w:eastAsia="Times New Roman" w:hAnsi="Times New Roman" w:cs="Times New Roman"/>
          <w:sz w:val="22"/>
          <w:szCs w:val="22"/>
        </w:rPr>
        <w:t>cm</w:t>
      </w:r>
      <w:r>
        <w:rPr>
          <w:spacing w:val="10"/>
          <w:sz w:val="22"/>
          <w:szCs w:val="22"/>
        </w:rPr>
        <w:t>。</w:t>
      </w:r>
    </w:p>
    <w:p>
      <w:pPr>
        <w:pStyle w:val="BodyText"/>
        <w:spacing w:before="127" w:line="253" w:lineRule="auto"/>
        <w:ind w:left="20" w:right="94" w:firstLine="469"/>
        <w:rPr>
          <w:sz w:val="22"/>
          <w:szCs w:val="22"/>
        </w:rPr>
      </w:pPr>
      <w:r>
        <w:rPr>
          <w:spacing w:val="29"/>
          <w:sz w:val="22"/>
          <w:szCs w:val="22"/>
        </w:rPr>
        <w:t>5)光阑的温度设定在环境温度附近，温度稳定在0</w:t>
      </w:r>
      <w:r>
        <w:rPr>
          <w:spacing w:val="-60"/>
          <w:sz w:val="22"/>
          <w:szCs w:val="22"/>
        </w:rPr>
        <w:t xml:space="preserve"> </w:t>
      </w:r>
      <w:r>
        <w:rPr>
          <w:spacing w:val="29"/>
          <w:sz w:val="22"/>
          <w:szCs w:val="22"/>
        </w:rPr>
        <w:t>.</w:t>
      </w:r>
      <w:r>
        <w:rPr>
          <w:spacing w:val="-63"/>
          <w:sz w:val="22"/>
          <w:szCs w:val="22"/>
        </w:rPr>
        <w:t xml:space="preserve"> </w:t>
      </w:r>
      <w:r>
        <w:rPr>
          <w:spacing w:val="29"/>
          <w:sz w:val="22"/>
          <w:szCs w:val="22"/>
        </w:rPr>
        <w:t xml:space="preserve">2℃/10 </w:t>
      </w:r>
      <w:r>
        <w:rPr>
          <w:sz w:val="22"/>
          <w:szCs w:val="22"/>
        </w:rPr>
        <w:t>min</w:t>
      </w:r>
      <w:r>
        <w:rPr>
          <w:spacing w:val="53"/>
          <w:sz w:val="22"/>
          <w:szCs w:val="22"/>
        </w:rPr>
        <w:t xml:space="preserve"> </w:t>
      </w:r>
      <w:r>
        <w:rPr>
          <w:spacing w:val="29"/>
          <w:sz w:val="22"/>
          <w:szCs w:val="22"/>
        </w:rPr>
        <w:t>以内认为达到</w:t>
      </w:r>
      <w:r>
        <w:rPr>
          <w:sz w:val="22"/>
          <w:szCs w:val="22"/>
        </w:rPr>
        <w:t xml:space="preserve"> </w:t>
      </w:r>
      <w:r>
        <w:rPr>
          <w:spacing w:val="3"/>
          <w:sz w:val="22"/>
          <w:szCs w:val="22"/>
        </w:rPr>
        <w:t>稳定。</w:t>
      </w:r>
    </w:p>
    <w:p>
      <w:pPr>
        <w:pStyle w:val="BodyText"/>
        <w:spacing w:before="109" w:line="219" w:lineRule="auto"/>
        <w:ind w:left="509"/>
        <w:rPr>
          <w:sz w:val="22"/>
          <w:szCs w:val="22"/>
        </w:rPr>
      </w:pPr>
      <w:r>
        <w:rPr>
          <w:spacing w:val="19"/>
          <w:sz w:val="22"/>
          <w:szCs w:val="22"/>
        </w:rPr>
        <w:t>6)辐射温度计的瞄准。</w:t>
      </w:r>
    </w:p>
    <w:p>
      <w:pPr>
        <w:pStyle w:val="BodyText"/>
        <w:spacing w:before="98" w:line="380" w:lineRule="exact"/>
        <w:ind w:left="489"/>
        <w:rPr>
          <w:sz w:val="22"/>
          <w:szCs w:val="22"/>
        </w:rPr>
      </w:pPr>
      <w:r>
        <w:rPr>
          <w:spacing w:val="18"/>
          <w:position w:val="12"/>
          <w:sz w:val="22"/>
          <w:szCs w:val="22"/>
        </w:rPr>
        <w:t>首先调整光阑和黑体辐射源的相对位置，光阑与黑体辐射源同轴。调整辐射温度计</w:t>
      </w:r>
    </w:p>
    <w:p>
      <w:pPr>
        <w:pStyle w:val="BodyText"/>
        <w:spacing w:before="1" w:line="218" w:lineRule="auto"/>
        <w:ind w:left="10"/>
        <w:rPr>
          <w:sz w:val="22"/>
          <w:szCs w:val="22"/>
        </w:rPr>
      </w:pPr>
      <w:r>
        <w:rPr>
          <w:spacing w:val="17"/>
          <w:sz w:val="22"/>
          <w:szCs w:val="22"/>
        </w:rPr>
        <w:t>方位，使得辐射温度计与光阑同轴。标识或记录辐射温度计的两个位置。</w:t>
      </w:r>
    </w:p>
    <w:p>
      <w:pPr>
        <w:pStyle w:val="BodyText"/>
        <w:spacing w:before="81" w:line="219" w:lineRule="auto"/>
        <w:ind w:left="29"/>
        <w:rPr>
          <w:sz w:val="22"/>
          <w:szCs w:val="22"/>
        </w:rPr>
      </w:pPr>
      <w:hyperlink r:id="rId33" w:history="1">
        <w:r>
          <w:rPr>
            <w:spacing w:val="9"/>
            <w:sz w:val="22"/>
            <w:szCs w:val="22"/>
          </w:rPr>
          <w:t>7.2.5.2</w:t>
        </w:r>
      </w:hyperlink>
      <w:r>
        <w:rPr>
          <w:spacing w:val="31"/>
          <w:sz w:val="22"/>
          <w:szCs w:val="22"/>
        </w:rPr>
        <w:t xml:space="preserve">  </w:t>
      </w:r>
      <w:r>
        <w:rPr>
          <w:spacing w:val="9"/>
          <w:sz w:val="22"/>
          <w:szCs w:val="22"/>
        </w:rPr>
        <w:t>亮度温度比较测量</w:t>
      </w:r>
    </w:p>
    <w:p>
      <w:pPr>
        <w:pStyle w:val="BodyText"/>
        <w:spacing w:before="119" w:line="219" w:lineRule="auto"/>
        <w:ind w:left="470"/>
        <w:rPr>
          <w:sz w:val="22"/>
          <w:szCs w:val="22"/>
        </w:rPr>
      </w:pPr>
      <w:r>
        <w:rPr>
          <w:spacing w:val="18"/>
          <w:sz w:val="22"/>
          <w:szCs w:val="22"/>
        </w:rPr>
        <w:t>1)每组测量可按下列操作顺序进行：</w:t>
      </w:r>
    </w:p>
    <w:p>
      <w:pPr>
        <w:pStyle w:val="BodyText"/>
        <w:spacing w:before="98" w:line="261" w:lineRule="auto"/>
        <w:ind w:right="50" w:firstLine="489"/>
        <w:rPr>
          <w:sz w:val="22"/>
          <w:szCs w:val="22"/>
        </w:rPr>
      </w:pPr>
      <w:r>
        <w:rPr>
          <w:spacing w:val="22"/>
          <w:sz w:val="22"/>
          <w:szCs w:val="22"/>
        </w:rPr>
        <w:t>瞄准标准黑体辐射源，调整好位置后测量。记录</w:t>
      </w:r>
      <w:r>
        <w:rPr>
          <w:rFonts w:ascii="Times New Roman" w:eastAsia="Times New Roman" w:hAnsi="Times New Roman" w:cs="Times New Roman"/>
          <w:spacing w:val="22"/>
          <w:sz w:val="22"/>
          <w:szCs w:val="22"/>
        </w:rPr>
        <w:t>n</w:t>
      </w:r>
      <w:r>
        <w:rPr>
          <w:rFonts w:ascii="Times New Roman" w:eastAsia="Times New Roman" w:hAnsi="Times New Roman" w:cs="Times New Roman"/>
          <w:spacing w:val="39"/>
          <w:w w:val="101"/>
          <w:sz w:val="22"/>
          <w:szCs w:val="22"/>
        </w:rPr>
        <w:t xml:space="preserve"> </w:t>
      </w:r>
      <w:r>
        <w:rPr>
          <w:spacing w:val="22"/>
          <w:sz w:val="22"/>
          <w:szCs w:val="22"/>
        </w:rPr>
        <w:t>次(通常为3次)标准黑体辐射源</w:t>
      </w:r>
      <w:r>
        <w:rPr>
          <w:sz w:val="22"/>
          <w:szCs w:val="22"/>
        </w:rPr>
        <w:t xml:space="preserve"> </w:t>
      </w:r>
      <w:r>
        <w:rPr>
          <w:spacing w:val="17"/>
          <w:sz w:val="22"/>
          <w:szCs w:val="22"/>
        </w:rPr>
        <w:t>参考温度计测量值和辐射温度计测量值。</w:t>
      </w:r>
    </w:p>
    <w:p>
      <w:pPr>
        <w:pStyle w:val="BodyText"/>
        <w:spacing w:before="107" w:line="261" w:lineRule="auto"/>
        <w:ind w:left="480" w:right="790"/>
        <w:rPr>
          <w:sz w:val="22"/>
          <w:szCs w:val="22"/>
        </w:rPr>
      </w:pPr>
      <w:r>
        <w:rPr>
          <w:spacing w:val="19"/>
          <w:sz w:val="22"/>
          <w:szCs w:val="22"/>
        </w:rPr>
        <w:t>瞄准被校准黑体辐射源，调整好位置后测量。记录n</w:t>
      </w:r>
      <w:r>
        <w:rPr>
          <w:spacing w:val="-9"/>
          <w:sz w:val="22"/>
          <w:szCs w:val="22"/>
        </w:rPr>
        <w:t xml:space="preserve"> </w:t>
      </w:r>
      <w:r>
        <w:rPr>
          <w:spacing w:val="19"/>
          <w:sz w:val="22"/>
          <w:szCs w:val="22"/>
        </w:rPr>
        <w:t>次辐射温度计测量值。</w:t>
      </w:r>
      <w:r>
        <w:rPr>
          <w:sz w:val="22"/>
          <w:szCs w:val="22"/>
        </w:rPr>
        <w:t xml:space="preserve"> </w:t>
      </w:r>
      <w:r>
        <w:rPr>
          <w:spacing w:val="21"/>
          <w:sz w:val="22"/>
          <w:szCs w:val="22"/>
        </w:rPr>
        <w:t>2)每个校准温度点共进行</w:t>
      </w:r>
      <w:r>
        <w:rPr>
          <w:rFonts w:ascii="Times New Roman" w:eastAsia="Times New Roman" w:hAnsi="Times New Roman" w:cs="Times New Roman"/>
          <w:spacing w:val="21"/>
          <w:sz w:val="22"/>
          <w:szCs w:val="22"/>
        </w:rPr>
        <w:t>m</w:t>
      </w:r>
      <w:r>
        <w:rPr>
          <w:rFonts w:ascii="Times New Roman" w:eastAsia="Times New Roman" w:hAnsi="Times New Roman" w:cs="Times New Roman"/>
          <w:spacing w:val="10"/>
          <w:sz w:val="22"/>
          <w:szCs w:val="22"/>
        </w:rPr>
        <w:t xml:space="preserve">  </w:t>
      </w:r>
      <w:r>
        <w:rPr>
          <w:spacing w:val="21"/>
          <w:sz w:val="22"/>
          <w:szCs w:val="22"/>
        </w:rPr>
        <w:t>组(通常为3组)的比较测量。</w:t>
      </w:r>
    </w:p>
    <w:p>
      <w:pPr>
        <w:pStyle w:val="BodyText"/>
        <w:spacing w:before="79" w:line="380" w:lineRule="exact"/>
        <w:ind w:right="46"/>
        <w:jc w:val="right"/>
        <w:rPr>
          <w:sz w:val="22"/>
          <w:szCs w:val="22"/>
        </w:rPr>
      </w:pPr>
      <w:r>
        <w:rPr>
          <w:spacing w:val="26"/>
          <w:position w:val="11"/>
          <w:sz w:val="22"/>
          <w:szCs w:val="22"/>
        </w:rPr>
        <w:t>3)每组比较测量中，应交替、等时间间隔测量标准和被校准黑体辐射源，通常时</w:t>
      </w:r>
    </w:p>
    <w:p>
      <w:pPr>
        <w:pStyle w:val="BodyText"/>
        <w:spacing w:before="1" w:line="219" w:lineRule="auto"/>
        <w:ind w:left="29"/>
        <w:rPr>
          <w:sz w:val="22"/>
          <w:szCs w:val="22"/>
        </w:rPr>
      </w:pPr>
      <w:r>
        <w:rPr>
          <w:spacing w:val="11"/>
          <w:sz w:val="22"/>
          <w:szCs w:val="22"/>
        </w:rPr>
        <w:t xml:space="preserve">间间隔在1 </w:t>
      </w:r>
      <w:r>
        <w:rPr>
          <w:rFonts w:ascii="Times New Roman" w:eastAsia="Times New Roman" w:hAnsi="Times New Roman" w:cs="Times New Roman"/>
          <w:sz w:val="22"/>
          <w:szCs w:val="22"/>
        </w:rPr>
        <w:t>min</w:t>
      </w:r>
      <w:r>
        <w:rPr>
          <w:rFonts w:ascii="Times New Roman" w:eastAsia="Times New Roman" w:hAnsi="Times New Roman" w:cs="Times New Roman"/>
          <w:spacing w:val="52"/>
          <w:w w:val="101"/>
          <w:sz w:val="22"/>
          <w:szCs w:val="22"/>
        </w:rPr>
        <w:t xml:space="preserve"> </w:t>
      </w:r>
      <w:r>
        <w:rPr>
          <w:spacing w:val="11"/>
          <w:sz w:val="22"/>
          <w:szCs w:val="22"/>
        </w:rPr>
        <w:t>以内。</w:t>
      </w:r>
    </w:p>
    <w:sdt>
      <w:sdtPr>
        <w:rPr>
          <w:rFonts w:ascii="SimSun" w:eastAsia="SimSun" w:hAnsi="SimSun" w:cs="SimSun"/>
          <w:sz w:val="22"/>
          <w:szCs w:val="22"/>
        </w:rPr>
        <w:id w:val="2108965647"/>
        <w:docPartObj>
          <w:docPartGallery w:val="Table of Contents"/>
          <w:docPartUnique/>
        </w:docPartObj>
      </w:sdtPr>
      <w:sdtEndPr>
        <w:rPr>
          <w:rFonts w:ascii="SimSun" w:eastAsia="SimSun" w:hAnsi="SimSun" w:cs="SimSun"/>
          <w:sz w:val="22"/>
          <w:szCs w:val="22"/>
        </w:rPr>
      </w:sdtEndPr>
      <w:sdtContent>
        <w:p>
          <w:pPr>
            <w:pStyle w:val="BodyText"/>
            <w:spacing w:before="89" w:line="219" w:lineRule="auto"/>
            <w:ind w:left="10"/>
            <w:rPr>
              <w:sz w:val="22"/>
              <w:szCs w:val="22"/>
            </w:rPr>
          </w:pPr>
          <w:hyperlink r:id="rId34" w:history="1">
            <w:r>
              <w:rPr>
                <w:spacing w:val="7"/>
                <w:sz w:val="22"/>
                <w:szCs w:val="22"/>
              </w:rPr>
              <w:t>7.2.5.3</w:t>
            </w:r>
          </w:hyperlink>
          <w:r>
            <w:rPr>
              <w:spacing w:val="34"/>
              <w:sz w:val="22"/>
              <w:szCs w:val="22"/>
            </w:rPr>
            <w:t xml:space="preserve">  </w:t>
          </w:r>
          <w:r>
            <w:rPr>
              <w:spacing w:val="7"/>
              <w:sz w:val="22"/>
              <w:szCs w:val="22"/>
            </w:rPr>
            <w:t>数据处理</w:t>
          </w:r>
        </w:p>
        <w:p>
          <w:pPr>
            <w:pStyle w:val="BodyText"/>
            <w:spacing w:before="95" w:line="216" w:lineRule="auto"/>
            <w:ind w:right="31"/>
            <w:jc w:val="right"/>
            <w:rPr>
              <w:sz w:val="22"/>
              <w:szCs w:val="22"/>
            </w:rPr>
          </w:pPr>
          <w:r>
            <w:rPr>
              <w:spacing w:val="23"/>
              <w:sz w:val="22"/>
              <w:szCs w:val="22"/>
            </w:rPr>
            <w:t>1)计算每次比较测量的标准黑体辐射源亮度温度</w:t>
          </w:r>
          <w:r>
            <w:rPr>
              <w:spacing w:val="-44"/>
              <w:sz w:val="22"/>
              <w:szCs w:val="22"/>
            </w:rPr>
            <w:t xml:space="preserve"> </w:t>
          </w:r>
          <w:r>
            <w:rPr>
              <w:spacing w:val="23"/>
              <w:sz w:val="22"/>
              <w:szCs w:val="22"/>
            </w:rPr>
            <w:t>T, 和 △T,。T,</w:t>
          </w:r>
          <w:r>
            <w:rPr>
              <w:spacing w:val="8"/>
              <w:sz w:val="22"/>
              <w:szCs w:val="22"/>
            </w:rPr>
            <w:t xml:space="preserve">  </w:t>
          </w:r>
          <w:r>
            <w:rPr>
              <w:spacing w:val="23"/>
              <w:sz w:val="22"/>
              <w:szCs w:val="22"/>
            </w:rPr>
            <w:t>可由</w:t>
          </w:r>
          <w:r>
            <w:rPr>
              <w:spacing w:val="22"/>
              <w:sz w:val="22"/>
              <w:szCs w:val="22"/>
            </w:rPr>
            <w:t>公式(</w:t>
          </w:r>
          <w:r>
            <w:rPr>
              <w:spacing w:val="-60"/>
              <w:sz w:val="22"/>
              <w:szCs w:val="22"/>
            </w:rPr>
            <w:t xml:space="preserve"> </w:t>
          </w:r>
          <w:hyperlink w:anchor="bookmark2" w:history="1">
            <w:r>
              <w:rPr>
                <w:spacing w:val="22"/>
                <w:sz w:val="22"/>
                <w:szCs w:val="22"/>
              </w:rPr>
              <w:t>2)</w:t>
            </w:r>
          </w:hyperlink>
        </w:p>
      </w:sdtContent>
    </w:sdt>
    <w:p>
      <w:pPr>
        <w:pStyle w:val="BodyText"/>
        <w:spacing w:before="106" w:line="219" w:lineRule="auto"/>
        <w:rPr>
          <w:sz w:val="22"/>
          <w:szCs w:val="22"/>
        </w:rPr>
      </w:pPr>
      <w:r>
        <w:rPr>
          <w:spacing w:val="6"/>
          <w:sz w:val="22"/>
          <w:szCs w:val="22"/>
        </w:rPr>
        <w:t>计算。</w:t>
      </w:r>
    </w:p>
    <w:sdt>
      <w:sdtPr>
        <w:rPr>
          <w:rFonts w:ascii="SimSun" w:eastAsia="SimSun" w:hAnsi="SimSun" w:cs="SimSun"/>
          <w:sz w:val="22"/>
          <w:szCs w:val="22"/>
        </w:rPr>
        <w:id w:val="2073870771"/>
        <w:docPartObj>
          <w:docPartGallery w:val="Table of Contents"/>
          <w:docPartUnique/>
        </w:docPartObj>
      </w:sdtPr>
      <w:sdtEndPr>
        <w:rPr>
          <w:rFonts w:ascii="SimSun" w:eastAsia="SimSun" w:hAnsi="SimSun" w:cs="SimSun"/>
          <w:sz w:val="22"/>
          <w:szCs w:val="22"/>
        </w:rPr>
      </w:sdtEndPr>
      <w:sdtContent>
        <w:p>
          <w:pPr>
            <w:pStyle w:val="BodyText"/>
            <w:spacing w:before="85" w:line="212" w:lineRule="auto"/>
            <w:ind w:left="480"/>
            <w:rPr>
              <w:sz w:val="22"/>
              <w:szCs w:val="22"/>
            </w:rPr>
            <w:sectPr>
              <w:headerReference w:type="default" r:id="rId35"/>
              <w:footerReference w:type="default" r:id="rId36"/>
              <w:pgSz w:w="11920" w:h="16930"/>
              <w:pgMar w:top="1859" w:right="1350" w:bottom="1072" w:left="1420" w:header="1580" w:footer="913" w:gutter="0"/>
              <w:pgNumType w:start="11"/>
              <w:cols w:space="708"/>
            </w:sectPr>
          </w:pPr>
          <w:r>
            <w:rPr>
              <w:spacing w:val="13"/>
              <w:sz w:val="22"/>
              <w:szCs w:val="22"/>
            </w:rPr>
            <w:t>2)根据式(5)、式(6)计算多次比较测量的</w:t>
          </w:r>
          <w:r>
            <w:rPr>
              <w:rFonts w:ascii="Times New Roman" w:eastAsia="Times New Roman" w:hAnsi="Times New Roman" w:cs="Times New Roman"/>
              <w:spacing w:val="13"/>
              <w:sz w:val="22"/>
              <w:szCs w:val="22"/>
            </w:rPr>
            <w:t>T,</w:t>
          </w:r>
          <w:r>
            <w:rPr>
              <w:rFonts w:ascii="Times New Roman" w:eastAsia="Times New Roman" w:hAnsi="Times New Roman" w:cs="Times New Roman"/>
              <w:spacing w:val="2"/>
              <w:sz w:val="22"/>
              <w:szCs w:val="22"/>
            </w:rPr>
            <w:t xml:space="preserve">   </w:t>
          </w:r>
          <w:r>
            <w:rPr>
              <w:spacing w:val="13"/>
              <w:sz w:val="22"/>
              <w:szCs w:val="22"/>
            </w:rPr>
            <w:t>和</w:t>
          </w:r>
          <w:r>
            <w:rPr>
              <w:spacing w:val="-36"/>
              <w:sz w:val="22"/>
              <w:szCs w:val="22"/>
            </w:rPr>
            <w:t xml:space="preserve"> </w:t>
          </w:r>
          <w:r>
            <w:rPr>
              <w:spacing w:val="13"/>
              <w:sz w:val="22"/>
              <w:szCs w:val="22"/>
            </w:rPr>
            <w:t>△</w:t>
          </w:r>
          <w:r>
            <w:rPr>
              <w:rFonts w:ascii="Times New Roman" w:eastAsia="Times New Roman" w:hAnsi="Times New Roman" w:cs="Times New Roman"/>
              <w:spacing w:val="13"/>
              <w:sz w:val="22"/>
              <w:szCs w:val="22"/>
            </w:rPr>
            <w:t xml:space="preserve">T.  </w:t>
          </w:r>
          <w:r>
            <w:rPr>
              <w:spacing w:val="13"/>
              <w:sz w:val="22"/>
              <w:szCs w:val="22"/>
            </w:rPr>
            <w:t>的平均值。</w:t>
          </w:r>
        </w:p>
      </w:sdtContent>
    </w:sdt>
    <w:sdt>
      <w:sdtPr>
        <w:rPr>
          <w:rFonts w:ascii="SimSun" w:eastAsia="SimSun" w:hAnsi="SimSun" w:cs="SimSun"/>
          <w:sz w:val="22"/>
          <w:szCs w:val="22"/>
        </w:rPr>
        <w:id w:val="42347586"/>
        <w:docPartObj>
          <w:docPartGallery w:val="Table of Contents"/>
          <w:docPartUnique/>
        </w:docPartObj>
      </w:sdtPr>
      <w:sdtEndPr>
        <w:rPr>
          <w:rFonts w:ascii="SimSun" w:eastAsia="SimSun" w:hAnsi="SimSun" w:cs="SimSun"/>
          <w:sz w:val="22"/>
          <w:szCs w:val="22"/>
        </w:rPr>
      </w:sdtEndPr>
      <w:sdtContent>
        <w:p>
          <w:pPr>
            <w:pStyle w:val="BodyText"/>
            <w:spacing w:before="132"/>
            <w:ind w:left="3679"/>
            <w:rPr>
              <w:sz w:val="22"/>
              <w:szCs w:val="22"/>
            </w:rPr>
          </w:pPr>
          <w:r>
            <w:rPr>
              <w:position w:val="-18"/>
              <w:sz w:val="22"/>
              <w:szCs w:val="22"/>
            </w:rPr>
            <w:drawing>
              <wp:inline distT="0" distB="0" distL="0" distR="0">
                <wp:extent cx="1098593" cy="57149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7"/>
                        <a:stretch>
                          <a:fillRect/>
                        </a:stretch>
                      </pic:blipFill>
                      <pic:spPr>
                        <a:xfrm>
                          <a:off x="0" y="0"/>
                          <a:ext cx="1098593" cy="571499"/>
                        </a:xfrm>
                        <a:prstGeom prst="rect">
                          <a:avLst/>
                        </a:prstGeom>
                      </pic:spPr>
                    </pic:pic>
                  </a:graphicData>
                </a:graphic>
              </wp:inline>
            </w:drawing>
          </w:r>
          <w:r>
            <w:rPr>
              <w:spacing w:val="3"/>
              <w:sz w:val="22"/>
              <w:szCs w:val="22"/>
            </w:rPr>
            <w:t xml:space="preserve">                            </w:t>
          </w:r>
          <w:r>
            <w:rPr>
              <w:spacing w:val="-16"/>
              <w:sz w:val="22"/>
              <w:szCs w:val="22"/>
            </w:rPr>
            <w:t>(</w:t>
          </w:r>
          <w:hyperlink w:anchor="bookmark3" w:history="1">
            <w:r>
              <w:rPr>
                <w:spacing w:val="-16"/>
                <w:sz w:val="22"/>
                <w:szCs w:val="22"/>
              </w:rPr>
              <w:t>5)</w:t>
            </w:r>
          </w:hyperlink>
        </w:p>
      </w:sdtContent>
    </w:sdt>
    <w:p>
      <w:pPr>
        <w:pStyle w:val="BodyText"/>
        <w:spacing w:before="140" w:line="220" w:lineRule="auto"/>
        <w:ind w:left="489"/>
        <w:rPr>
          <w:sz w:val="22"/>
          <w:szCs w:val="22"/>
        </w:rPr>
      </w:pPr>
      <w:r>
        <w:rPr>
          <w:spacing w:val="3"/>
          <w:sz w:val="22"/>
          <w:szCs w:val="22"/>
        </w:rPr>
        <w:t>式中：</w:t>
      </w:r>
    </w:p>
    <w:p>
      <w:pPr>
        <w:pStyle w:val="BodyText"/>
        <w:spacing w:before="89" w:line="378" w:lineRule="exact"/>
        <w:ind w:left="489"/>
        <w:rPr>
          <w:rFonts w:ascii="Times New Roman" w:eastAsia="Times New Roman" w:hAnsi="Times New Roman" w:cs="Times New Roman"/>
          <w:sz w:val="25"/>
          <w:szCs w:val="25"/>
        </w:rPr>
      </w:pPr>
      <w:r>
        <w:rPr>
          <w:rFonts w:ascii="Times New Roman" w:eastAsia="Times New Roman" w:hAnsi="Times New Roman" w:cs="Times New Roman"/>
          <w:spacing w:val="-2"/>
          <w:position w:val="11"/>
        </w:rPr>
        <w:t>T,——T</w:t>
      </w:r>
      <w:r>
        <w:rPr>
          <w:rFonts w:ascii="Times New Roman" w:eastAsia="Times New Roman" w:hAnsi="Times New Roman" w:cs="Times New Roman"/>
          <w:spacing w:val="-15"/>
          <w:position w:val="11"/>
        </w:rPr>
        <w:t xml:space="preserve"> </w:t>
      </w:r>
      <w:r>
        <w:rPr>
          <w:spacing w:val="-2"/>
          <w:position w:val="11"/>
        </w:rPr>
        <w:t>。</w:t>
      </w:r>
      <w:r>
        <w:rPr>
          <w:spacing w:val="-46"/>
          <w:position w:val="11"/>
        </w:rPr>
        <w:t xml:space="preserve"> </w:t>
      </w:r>
      <w:r>
        <w:rPr>
          <w:spacing w:val="-2"/>
          <w:position w:val="11"/>
        </w:rPr>
        <w:t>的平均值，</w:t>
      </w:r>
      <w:r>
        <w:rPr>
          <w:rFonts w:ascii="Times New Roman" w:eastAsia="Times New Roman" w:hAnsi="Times New Roman" w:cs="Times New Roman"/>
          <w:spacing w:val="-2"/>
          <w:position w:val="11"/>
          <w:sz w:val="25"/>
          <w:szCs w:val="25"/>
        </w:rPr>
        <w:t>K;</w:t>
      </w:r>
    </w:p>
    <w:p>
      <w:pPr>
        <w:pStyle w:val="BodyText"/>
        <w:spacing w:before="1" w:line="219" w:lineRule="auto"/>
        <w:ind w:left="519"/>
      </w:pPr>
      <w:r>
        <w:rPr>
          <w:rFonts w:ascii="Times New Roman" w:eastAsia="Times New Roman" w:hAnsi="Times New Roman" w:cs="Times New Roman"/>
          <w:spacing w:val="-2"/>
          <w:position w:val="1"/>
          <w:sz w:val="16"/>
          <w:szCs w:val="16"/>
        </w:rPr>
        <w:t xml:space="preserve">n </w:t>
      </w:r>
      <w:r>
        <w:rPr>
          <w:rFonts w:ascii="Times New Roman" w:eastAsia="Times New Roman" w:hAnsi="Times New Roman" w:cs="Times New Roman"/>
          <w:strike/>
          <w:spacing w:val="2"/>
          <w:position w:val="1"/>
          <w:sz w:val="16"/>
          <w:szCs w:val="16"/>
        </w:rPr>
        <w:t xml:space="preserve">              </w:t>
      </w:r>
      <w:r>
        <w:rPr>
          <w:rFonts w:ascii="Times New Roman" w:eastAsia="Times New Roman" w:hAnsi="Times New Roman" w:cs="Times New Roman"/>
          <w:spacing w:val="-33"/>
          <w:position w:val="1"/>
          <w:sz w:val="16"/>
          <w:szCs w:val="16"/>
        </w:rPr>
        <w:t xml:space="preserve"> </w:t>
      </w:r>
      <w:r>
        <w:rPr>
          <w:spacing w:val="-2"/>
        </w:rPr>
        <w:t>比较测量的组数；</w:t>
      </w:r>
    </w:p>
    <w:p>
      <w:pPr>
        <w:pStyle w:val="BodyText"/>
        <w:spacing w:before="77" w:line="219" w:lineRule="auto"/>
        <w:ind w:left="599"/>
      </w:pPr>
      <w:r>
        <w:rPr>
          <w:rFonts w:ascii="Times New Roman" w:eastAsia="Times New Roman" w:hAnsi="Times New Roman" w:cs="Times New Roman"/>
          <w:spacing w:val="4"/>
          <w:sz w:val="22"/>
          <w:szCs w:val="22"/>
        </w:rPr>
        <w:t xml:space="preserve">n—— </w:t>
      </w:r>
      <w:r>
        <w:rPr>
          <w:spacing w:val="4"/>
        </w:rPr>
        <w:t>每组测量的次数；</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https://d.book118.com/787100105042006030</w:t>
        </w:r>
      </w:hyperlink>
    </w:p>
    <w:p>
      <w:pPr>
        <w:spacing w:line="219" w:lineRule="auto"/>
      </w:pPr>
    </w:p>
    <w:sectPr>
      <w:headerReference w:type="default" r:id="rId39"/>
      <w:footerReference w:type="default" r:id="rId40"/>
      <w:type w:val="nextPage"/>
      <w:pgSz w:w="11920" w:h="16930"/>
      <w:pgMar w:top="1859" w:right="1350" w:bottom="1072" w:left="1420" w:header="1580" w:footer="913"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30"/>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30"/>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26"/>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26"/>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16"/>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16"/>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70"/>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70"/>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20"/>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20"/>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39"/>
      <w:rPr>
        <w:sz w:val="16"/>
        <w:szCs w:val="16"/>
      </w:rPr>
    </w:pPr>
    <w:r>
      <w:rPr>
        <w:sz w:val="16"/>
        <w:szCs w:val="16"/>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19"/>
        <w:szCs w:val="19"/>
      </w:rPr>
    </w:pPr>
    <w:r>
      <w:rPr>
        <w:spacing w:val="-3"/>
        <w:sz w:val="19"/>
        <w:szCs w:val="19"/>
      </w:rPr>
      <w:t>JJF</w:t>
    </w:r>
    <w:r>
      <w:rPr>
        <w:spacing w:val="30"/>
        <w:sz w:val="19"/>
        <w:szCs w:val="19"/>
      </w:rPr>
      <w:t xml:space="preserve">  </w:t>
    </w:r>
    <w:r>
      <w:rPr>
        <w:spacing w:val="-3"/>
        <w:sz w:val="19"/>
        <w:szCs w:val="19"/>
      </w:rPr>
      <w:t>1552—2015</w:t>
    </w:r>
  </w:p>
  <w:p>
    <w:pPr>
      <w:spacing w:before="75" w:line="10" w:lineRule="exact"/>
      <w:ind w:firstLine="39"/>
    </w:pPr>
    <w:r>
      <w:drawing>
        <wp:inline distT="0" distB="0" distL="0" distR="0">
          <wp:extent cx="5803956" cy="636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03956" cy="636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19"/>
        <w:szCs w:val="19"/>
      </w:rPr>
    </w:pPr>
    <w:r>
      <w:rPr>
        <w:spacing w:val="-3"/>
        <w:sz w:val="19"/>
        <w:szCs w:val="19"/>
      </w:rPr>
      <w:t>JJF</w:t>
    </w:r>
    <w:r>
      <w:rPr>
        <w:spacing w:val="30"/>
        <w:sz w:val="19"/>
        <w:szCs w:val="19"/>
      </w:rPr>
      <w:t xml:space="preserve">  </w:t>
    </w:r>
    <w:r>
      <w:rPr>
        <w:spacing w:val="-3"/>
        <w:sz w:val="19"/>
        <w:szCs w:val="19"/>
      </w:rPr>
      <w:t>1552—2015</w:t>
    </w:r>
  </w:p>
  <w:p>
    <w:pPr>
      <w:spacing w:before="75" w:line="10" w:lineRule="exact"/>
      <w:ind w:firstLine="39"/>
    </w:pPr>
    <w:r>
      <w:drawing>
        <wp:inline distT="0" distB="0" distL="0" distR="0">
          <wp:extent cx="5803956" cy="6360"/>
          <wp:effectExtent l="0" t="0" r="0" b="0"/>
          <wp:docPr id="212788351" name="IM 2"/>
          <wp:cNvGraphicFramePr/>
          <a:graphic xmlns:a="http://schemas.openxmlformats.org/drawingml/2006/main">
            <a:graphicData uri="http://schemas.openxmlformats.org/drawingml/2006/picture">
              <pic:pic xmlns:pic="http://schemas.openxmlformats.org/drawingml/2006/picture">
                <pic:nvPicPr>
                  <pic:cNvPr id="212788351" name="IM 2"/>
                  <pic:cNvPicPr/>
                </pic:nvPicPr>
                <pic:blipFill>
                  <a:blip xmlns:r="http://schemas.openxmlformats.org/officeDocument/2006/relationships" r:embed="rId1"/>
                  <a:stretch>
                    <a:fillRect/>
                  </a:stretch>
                </pic:blipFill>
                <pic:spPr>
                  <a:xfrm>
                    <a:off x="0" y="0"/>
                    <a:ext cx="5803956" cy="63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20"/>
        <w:szCs w:val="20"/>
      </w:rPr>
    </w:pPr>
    <w:r>
      <w:rPr>
        <w:b/>
        <w:bCs/>
        <w:spacing w:val="-5"/>
        <w:sz w:val="20"/>
        <w:szCs w:val="20"/>
      </w:rPr>
      <w:t>JJF</w:t>
    </w:r>
    <w:r>
      <w:rPr>
        <w:spacing w:val="50"/>
        <w:sz w:val="20"/>
        <w:szCs w:val="20"/>
      </w:rPr>
      <w:t xml:space="preserve"> </w:t>
    </w:r>
    <w:r>
      <w:rPr>
        <w:b/>
        <w:bCs/>
        <w:spacing w:val="-5"/>
        <w:sz w:val="20"/>
        <w:szCs w:val="20"/>
      </w:rPr>
      <w:t>1552—2015</w:t>
    </w:r>
  </w:p>
  <w:p>
    <w:pPr>
      <w:spacing w:before="96" w:line="10" w:lineRule="exact"/>
      <w:ind w:firstLine="16"/>
    </w:pPr>
    <w:r>
      <w:drawing>
        <wp:inline distT="0" distB="0" distL="0" distR="0">
          <wp:extent cx="5797541" cy="63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797541" cy="6360"/>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rPr>
        <w:sz w:val="20"/>
        <w:szCs w:val="20"/>
      </w:rPr>
    </w:pPr>
    <w:r>
      <w:rPr>
        <w:b/>
        <w:bCs/>
        <w:spacing w:val="-5"/>
        <w:sz w:val="20"/>
        <w:szCs w:val="20"/>
      </w:rPr>
      <w:t>JJF</w:t>
    </w:r>
    <w:r>
      <w:rPr>
        <w:spacing w:val="50"/>
        <w:sz w:val="20"/>
        <w:szCs w:val="20"/>
      </w:rPr>
      <w:t xml:space="preserve"> </w:t>
    </w:r>
    <w:r>
      <w:rPr>
        <w:b/>
        <w:bCs/>
        <w:spacing w:val="-5"/>
        <w:sz w:val="20"/>
        <w:szCs w:val="20"/>
      </w:rPr>
      <w:t>1552—2015</w:t>
    </w:r>
  </w:p>
  <w:p>
    <w:pPr>
      <w:spacing w:before="96" w:line="10" w:lineRule="exact"/>
      <w:ind w:firstLine="16"/>
    </w:pPr>
    <w:r>
      <w:drawing>
        <wp:inline distT="0" distB="0" distL="0" distR="0">
          <wp:extent cx="5797541" cy="6360"/>
          <wp:effectExtent l="0" t="0" r="0" b="0"/>
          <wp:docPr id="402366547" name="IM 4"/>
          <wp:cNvGraphicFramePr/>
          <a:graphic xmlns:a="http://schemas.openxmlformats.org/drawingml/2006/main">
            <a:graphicData uri="http://schemas.openxmlformats.org/drawingml/2006/picture">
              <pic:pic xmlns:pic="http://schemas.openxmlformats.org/drawingml/2006/picture">
                <pic:nvPicPr>
                  <pic:cNvPr id="402366547" name="IM 4"/>
                  <pic:cNvPicPr/>
                </pic:nvPicPr>
                <pic:blipFill>
                  <a:blip xmlns:r="http://schemas.openxmlformats.org/officeDocument/2006/relationships" r:embed="rId1"/>
                  <a:stretch>
                    <a:fillRect/>
                  </a:stretch>
                </pic:blipFill>
                <pic:spPr>
                  <a:xfrm>
                    <a:off x="0" y="0"/>
                    <a:ext cx="5797541" cy="6360"/>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22"/>
        <w:szCs w:val="22"/>
      </w:rPr>
    </w:pPr>
    <w:r>
      <w:drawing>
        <wp:anchor distT="0" distB="0" distL="0" distR="0" simplePos="0" relativeHeight="251658240" behindDoc="0" locked="0" layoutInCell="0" allowOverlap="1">
          <wp:simplePos x="0" y="0"/>
          <wp:positionH relativeFrom="page">
            <wp:posOffset>831855</wp:posOffset>
          </wp:positionH>
          <wp:positionV relativeFrom="page">
            <wp:posOffset>1073196</wp:posOffset>
          </wp:positionV>
          <wp:extent cx="5810224" cy="1260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10224" cy="12603"/>
                  </a:xfrm>
                  <a:prstGeom prst="rect">
                    <a:avLst/>
                  </a:prstGeom>
                </pic:spPr>
              </pic:pic>
            </a:graphicData>
          </a:graphic>
        </wp:anchor>
      </w:drawing>
    </w:r>
    <w:r>
      <w:rPr>
        <w:b/>
        <w:bCs/>
        <w:spacing w:val="-12"/>
        <w:sz w:val="22"/>
        <w:szCs w:val="22"/>
      </w:rPr>
      <w:t>JJF</w:t>
    </w:r>
    <w:r>
      <w:rPr>
        <w:spacing w:val="18"/>
        <w:sz w:val="22"/>
        <w:szCs w:val="22"/>
      </w:rPr>
      <w:t xml:space="preserve"> </w:t>
    </w:r>
    <w:r>
      <w:rPr>
        <w:b/>
        <w:bCs/>
        <w:spacing w:val="-12"/>
        <w:sz w:val="22"/>
        <w:szCs w:val="22"/>
      </w:rPr>
      <w:t>1552—2015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9"/>
      <w:rPr>
        <w:sz w:val="22"/>
        <w:szCs w:val="22"/>
      </w:rPr>
    </w:pPr>
    <w:r>
      <w:drawing>
        <wp:anchor distT="0" distB="0" distL="0" distR="0" simplePos="0" relativeHeight="251659264" behindDoc="0" locked="0" layoutInCell="0" allowOverlap="1">
          <wp:simplePos x="0" y="0"/>
          <wp:positionH relativeFrom="page">
            <wp:posOffset>831855</wp:posOffset>
          </wp:positionH>
          <wp:positionV relativeFrom="page">
            <wp:posOffset>1073196</wp:posOffset>
          </wp:positionV>
          <wp:extent cx="5810224" cy="12603"/>
          <wp:effectExtent l="0" t="0" r="0" b="0"/>
          <wp:wrapNone/>
          <wp:docPr id="1008435474" name="IM 6"/>
          <wp:cNvGraphicFramePr/>
          <a:graphic xmlns:a="http://schemas.openxmlformats.org/drawingml/2006/main">
            <a:graphicData uri="http://schemas.openxmlformats.org/drawingml/2006/picture">
              <pic:pic xmlns:pic="http://schemas.openxmlformats.org/drawingml/2006/picture">
                <pic:nvPicPr>
                  <pic:cNvPr id="1008435474" name="IM 6"/>
                  <pic:cNvPicPr/>
                </pic:nvPicPr>
                <pic:blipFill>
                  <a:blip xmlns:r="http://schemas.openxmlformats.org/officeDocument/2006/relationships" r:embed="rId1"/>
                  <a:stretch>
                    <a:fillRect/>
                  </a:stretch>
                </pic:blipFill>
                <pic:spPr>
                  <a:xfrm>
                    <a:off x="0" y="0"/>
                    <a:ext cx="5810224" cy="12603"/>
                  </a:xfrm>
                  <a:prstGeom prst="rect">
                    <a:avLst/>
                  </a:prstGeom>
                </pic:spPr>
              </pic:pic>
            </a:graphicData>
          </a:graphic>
        </wp:anchor>
      </w:drawing>
    </w:r>
    <w:r>
      <w:rPr>
        <w:b/>
        <w:bCs/>
        <w:spacing w:val="-12"/>
        <w:sz w:val="22"/>
        <w:szCs w:val="22"/>
      </w:rPr>
      <w:t>JJF</w:t>
    </w:r>
    <w:r>
      <w:rPr>
        <w:spacing w:val="18"/>
        <w:sz w:val="22"/>
        <w:szCs w:val="22"/>
      </w:rPr>
      <w:t xml:space="preserve"> </w:t>
    </w:r>
    <w:r>
      <w:rPr>
        <w:b/>
        <w:bCs/>
        <w:spacing w:val="-12"/>
        <w:sz w:val="22"/>
        <w:szCs w:val="22"/>
      </w:rPr>
      <w:t>1552—2015</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5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JJF             1552—</w:t>
    </w:r>
    <w:r>
      <w:rPr>
        <w:rFonts w:ascii="Times New Roman" w:eastAsia="Times New Roman" w:hAnsi="Times New Roman" w:cs="Times New Roman"/>
        <w:spacing w:val="-2"/>
        <w:sz w:val="15"/>
        <w:szCs w:val="15"/>
      </w:rPr>
      <w:t>2015</w:t>
    </w:r>
  </w:p>
  <w:p>
    <w:pPr>
      <w:spacing w:before="109" w:line="10" w:lineRule="exact"/>
    </w:pPr>
    <w:r>
      <w:drawing>
        <wp:inline distT="0" distB="0" distL="0" distR="0">
          <wp:extent cx="5797539" cy="636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797539" cy="6360"/>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5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JJF             1552—</w:t>
    </w:r>
    <w:r>
      <w:rPr>
        <w:rFonts w:ascii="Times New Roman" w:eastAsia="Times New Roman" w:hAnsi="Times New Roman" w:cs="Times New Roman"/>
        <w:spacing w:val="-2"/>
        <w:sz w:val="15"/>
        <w:szCs w:val="15"/>
      </w:rPr>
      <w:t>2015</w:t>
    </w:r>
  </w:p>
  <w:p>
    <w:pPr>
      <w:spacing w:before="109" w:line="10" w:lineRule="exact"/>
    </w:pPr>
    <w:r>
      <w:drawing>
        <wp:inline distT="0" distB="0" distL="0" distR="0">
          <wp:extent cx="5797539" cy="6360"/>
          <wp:effectExtent l="0" t="0" r="0" b="0"/>
          <wp:docPr id="582304526" name="IM 8"/>
          <wp:cNvGraphicFramePr/>
          <a:graphic xmlns:a="http://schemas.openxmlformats.org/drawingml/2006/main">
            <a:graphicData uri="http://schemas.openxmlformats.org/drawingml/2006/picture">
              <pic:pic xmlns:pic="http://schemas.openxmlformats.org/drawingml/2006/picture">
                <pic:nvPicPr>
                  <pic:cNvPr id="582304526" name="IM 8"/>
                  <pic:cNvPicPr/>
                </pic:nvPicPr>
                <pic:blipFill>
                  <a:blip xmlns:r="http://schemas.openxmlformats.org/officeDocument/2006/relationships" r:embed="rId1"/>
                  <a:stretch>
                    <a:fillRect/>
                  </a:stretch>
                </pic:blipFill>
                <pic:spPr>
                  <a:xfrm>
                    <a:off x="0" y="0"/>
                    <a:ext cx="5797539" cy="6360"/>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0"/>
      <w:rPr>
        <w:sz w:val="24"/>
        <w:szCs w:val="24"/>
      </w:rPr>
    </w:pPr>
    <w:r>
      <w:rPr>
        <w:spacing w:val="-19"/>
        <w:sz w:val="24"/>
        <w:szCs w:val="24"/>
      </w:rPr>
      <w:t>JJF</w:t>
    </w:r>
    <w:r>
      <w:rPr>
        <w:spacing w:val="6"/>
        <w:sz w:val="24"/>
        <w:szCs w:val="24"/>
      </w:rPr>
      <w:t xml:space="preserve"> </w:t>
    </w:r>
    <w:r>
      <w:rPr>
        <w:spacing w:val="-19"/>
        <w:sz w:val="24"/>
        <w:szCs w:val="24"/>
      </w:rPr>
      <w:t>1552—2015</w:t>
    </w:r>
  </w:p>
  <w:p>
    <w:pPr>
      <w:spacing w:before="76" w:line="10" w:lineRule="exact"/>
      <w:ind w:firstLine="29"/>
    </w:pPr>
    <w:r>
      <w:drawing>
        <wp:inline distT="0" distB="0" distL="0" distR="0">
          <wp:extent cx="5803956" cy="636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03956" cy="6360"/>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0"/>
      <w:rPr>
        <w:sz w:val="24"/>
        <w:szCs w:val="24"/>
      </w:rPr>
    </w:pPr>
    <w:r>
      <w:rPr>
        <w:spacing w:val="-19"/>
        <w:sz w:val="24"/>
        <w:szCs w:val="24"/>
      </w:rPr>
      <w:t>JJF</w:t>
    </w:r>
    <w:r>
      <w:rPr>
        <w:spacing w:val="6"/>
        <w:sz w:val="24"/>
        <w:szCs w:val="24"/>
      </w:rPr>
      <w:t xml:space="preserve"> </w:t>
    </w:r>
    <w:r>
      <w:rPr>
        <w:spacing w:val="-19"/>
        <w:sz w:val="24"/>
        <w:szCs w:val="24"/>
      </w:rPr>
      <w:t>1552—2015</w:t>
    </w:r>
  </w:p>
  <w:p>
    <w:pPr>
      <w:spacing w:before="76" w:line="10" w:lineRule="exact"/>
      <w:ind w:firstLine="29"/>
    </w:pPr>
    <w:r>
      <w:drawing>
        <wp:inline distT="0" distB="0" distL="0" distR="0">
          <wp:extent cx="5803956" cy="6360"/>
          <wp:effectExtent l="0" t="0" r="0" b="0"/>
          <wp:docPr id="2099727725" name="IM 12"/>
          <wp:cNvGraphicFramePr/>
          <a:graphic xmlns:a="http://schemas.openxmlformats.org/drawingml/2006/main">
            <a:graphicData uri="http://schemas.openxmlformats.org/drawingml/2006/picture">
              <pic:pic xmlns:pic="http://schemas.openxmlformats.org/drawingml/2006/picture">
                <pic:nvPicPr>
                  <pic:cNvPr id="2099727725" name="IM 12"/>
                  <pic:cNvPicPr/>
                </pic:nvPicPr>
                <pic:blipFill>
                  <a:blip xmlns:r="http://schemas.openxmlformats.org/officeDocument/2006/relationships" r:embed="rId1"/>
                  <a:stretch>
                    <a:fillRect/>
                  </a:stretch>
                </pic:blipFill>
                <pic:spPr>
                  <a:xfrm>
                    <a:off x="0" y="0"/>
                    <a:ext cx="5803956" cy="6360"/>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49"/>
      <w:rPr>
        <w:rFonts w:ascii="Times New Roman" w:eastAsia="Times New Roman" w:hAnsi="Times New Roman" w:cs="Times New Roman"/>
        <w:sz w:val="17"/>
        <w:szCs w:val="17"/>
      </w:rPr>
    </w:pPr>
    <w:r>
      <w:drawing>
        <wp:anchor distT="0" distB="0" distL="0" distR="0" simplePos="0" relativeHeight="251660288" behindDoc="0" locked="0" layoutInCell="0" allowOverlap="1">
          <wp:simplePos x="0" y="0"/>
          <wp:positionH relativeFrom="page">
            <wp:posOffset>901719</wp:posOffset>
          </wp:positionH>
          <wp:positionV relativeFrom="page">
            <wp:posOffset>1168368</wp:posOffset>
          </wp:positionV>
          <wp:extent cx="5810194" cy="1268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10194" cy="1268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pacing w:val="-2"/>
        <w:sz w:val="17"/>
        <w:szCs w:val="17"/>
      </w:rPr>
      <w:t>1552—2015</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49"/>
      <w:rPr>
        <w:rFonts w:ascii="Times New Roman" w:eastAsia="Times New Roman" w:hAnsi="Times New Roman" w:cs="Times New Roman"/>
        <w:sz w:val="17"/>
        <w:szCs w:val="17"/>
      </w:rPr>
    </w:pPr>
    <w:r>
      <w:drawing>
        <wp:anchor distT="0" distB="0" distL="0" distR="0" simplePos="0" relativeHeight="251661312" behindDoc="0" locked="0" layoutInCell="0" allowOverlap="1">
          <wp:simplePos x="0" y="0"/>
          <wp:positionH relativeFrom="page">
            <wp:posOffset>901719</wp:posOffset>
          </wp:positionH>
          <wp:positionV relativeFrom="page">
            <wp:posOffset>1168368</wp:posOffset>
          </wp:positionV>
          <wp:extent cx="5810194" cy="12684"/>
          <wp:effectExtent l="0" t="0" r="0" b="0"/>
          <wp:wrapNone/>
          <wp:docPr id="135409697" name="IM 18"/>
          <wp:cNvGraphicFramePr/>
          <a:graphic xmlns:a="http://schemas.openxmlformats.org/drawingml/2006/main">
            <a:graphicData uri="http://schemas.openxmlformats.org/drawingml/2006/picture">
              <pic:pic xmlns:pic="http://schemas.openxmlformats.org/drawingml/2006/picture">
                <pic:nvPicPr>
                  <pic:cNvPr id="135409697" name="IM 18"/>
                  <pic:cNvPicPr/>
                </pic:nvPicPr>
                <pic:blipFill>
                  <a:blip xmlns:r="http://schemas.openxmlformats.org/officeDocument/2006/relationships" r:embed="rId1"/>
                  <a:stretch>
                    <a:fillRect/>
                  </a:stretch>
                </pic:blipFill>
                <pic:spPr>
                  <a:xfrm>
                    <a:off x="0" y="0"/>
                    <a:ext cx="5810194" cy="1268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pacing w:val="-2"/>
        <w:sz w:val="17"/>
        <w:szCs w:val="17"/>
      </w:rPr>
      <w:t>1552—2015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4.png" /><Relationship Id="rId17" Type="http://schemas.openxmlformats.org/officeDocument/2006/relationships/image" Target="media/image5.jpe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7.jpeg" /><Relationship Id="rId23" Type="http://schemas.openxmlformats.org/officeDocument/2006/relationships/hyperlink" Target="7.2.3.1" TargetMode="External" /><Relationship Id="rId24" Type="http://schemas.openxmlformats.org/officeDocument/2006/relationships/hyperlink" Target="7.2.3.2" TargetMode="External" /><Relationship Id="rId25" Type="http://schemas.openxmlformats.org/officeDocument/2006/relationships/hyperlink" Target="7.2.4.1" TargetMode="Externa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7.2.4.2" TargetMode="External"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hyperlink" Target="7.2.5.1" TargetMode="External" /><Relationship Id="rId33" Type="http://schemas.openxmlformats.org/officeDocument/2006/relationships/hyperlink" Target="7.2.5.2" TargetMode="External" /><Relationship Id="rId34" Type="http://schemas.openxmlformats.org/officeDocument/2006/relationships/hyperlink" Target="7.2.5.3" TargetMode="Externa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image" Target="media/image10.png" /><Relationship Id="rId38" Type="http://schemas.openxmlformats.org/officeDocument/2006/relationships/hyperlink" Target="https://d.book118.com/787100105042006030" TargetMode="External"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6.jpeg" /></Relationships>
</file>

<file path=word/_rels/header8.xml.rels><?xml version="1.0" encoding="utf-8" standalone="yes"?><Relationships xmlns="http://schemas.openxmlformats.org/package/2006/relationships"><Relationship Id="rId1" Type="http://schemas.openxmlformats.org/officeDocument/2006/relationships/image" Target="media/image6.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9.png" /></Relationships>
</file>

<file path=word/_rels/header12.xml.rels><?xml version="1.0" encoding="utf-8" standalone="yes"?><Relationships xmlns="http://schemas.openxmlformats.org/package/2006/relationships"><Relationship Id="rId1" Type="http://schemas.openxmlformats.org/officeDocument/2006/relationships/image" Target="media/image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2024-01-11T17:13:36Z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2024-01-11T17:13:38Z</vt:filetime>
  </property>
  <property fmtid="{D5CDD505-2E9C-101B-9397-08002B2CF9AE}" pid="3" name="CRO">
    <vt:lpwstr>wqlLaW5nc29mdCBQREYgdG8gV1BTIDkw</vt:lpwstr>
  </property>
  <property fmtid="{D5CDD505-2E9C-101B-9397-08002B2CF9AE}" pid="4" name="UsrData">
    <vt:lpwstr>659fb13c83b9c4001f60856cwl</vt:lpwstr>
  </property>
</Properties>
</file>