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化学气相沉积设备项目营销方案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69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_Toc5693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39" w:history="1">
        <w:r>
          <w:rPr>
            <w:rFonts w:ascii="仿宋" w:eastAsia="仿宋" w:hAnsi="仿宋" w:cs="仿宋" w:hint="eastAsia"/>
            <w:lang w:eastAsia="zh-CN"/>
          </w:rPr>
          <w:t>一、环境保护说明</w:t>
        </w:r>
        <w:r>
          <w:tab/>
        </w:r>
        <w:r>
          <w:fldChar w:fldCharType="begin"/>
        </w:r>
        <w:r>
          <w:instrText xml:space="preserve"> PAGEREF _Toc9039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3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_Toc4823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3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_Toc27383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8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_Toc28068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" w:history="1">
        <w:r>
          <w:rPr>
            <w:rFonts w:ascii="仿宋" w:eastAsia="仿宋" w:hAnsi="仿宋" w:cs="仿宋" w:hint="eastAsia"/>
            <w:lang w:eastAsia="zh-CN"/>
          </w:rPr>
          <w:t>(四)、废弃物处理</w:t>
        </w:r>
        <w:r>
          <w:tab/>
        </w:r>
        <w:r>
          <w:fldChar w:fldCharType="begin"/>
        </w:r>
        <w:r>
          <w:instrText xml:space="preserve"> PAGEREF _Toc1763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1" w:history="1">
        <w:r>
          <w:rPr>
            <w:rFonts w:ascii="仿宋" w:eastAsia="仿宋" w:hAnsi="仿宋" w:cs="仿宋" w:hint="eastAsia"/>
            <w:lang w:eastAsia="zh-CN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_Toc20481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" w:history="1">
        <w:r>
          <w:rPr>
            <w:rFonts w:ascii="仿宋" w:eastAsia="仿宋" w:hAnsi="仿宋" w:cs="仿宋" w:hint="eastAsia"/>
            <w:lang w:eastAsia="zh-CN"/>
          </w:rPr>
          <w:t>(六)、清洁生产</w:t>
        </w:r>
        <w:r>
          <w:tab/>
        </w:r>
        <w:r>
          <w:fldChar w:fldCharType="begin"/>
        </w:r>
        <w:r>
          <w:instrText xml:space="preserve"> PAGEREF _Toc3074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4" w:history="1">
        <w:r>
          <w:rPr>
            <w:rFonts w:ascii="仿宋" w:eastAsia="仿宋" w:hAnsi="仿宋" w:cs="仿宋" w:hint="eastAsia"/>
            <w:lang w:eastAsia="zh-CN"/>
          </w:rPr>
          <w:t>(七)、化学气相沉积设备项目建设对区域经济的影响</w:t>
        </w:r>
        <w:r>
          <w:tab/>
        </w:r>
        <w:r>
          <w:fldChar w:fldCharType="begin"/>
        </w:r>
        <w:r>
          <w:instrText xml:space="preserve"> PAGEREF _Toc20514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5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_Toc8395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3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_Toc1893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5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_Toc31425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_Toc22624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8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_Toc20698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70" w:history="1">
        <w:r>
          <w:rPr>
            <w:rFonts w:ascii="仿宋" w:eastAsia="仿宋" w:hAnsi="仿宋" w:cs="仿宋" w:hint="eastAsia"/>
            <w:lang w:eastAsia="zh-CN"/>
          </w:rPr>
          <w:t>三、化学气相沉积设备生产计划的含义与指标</w:t>
        </w:r>
        <w:r>
          <w:tab/>
        </w:r>
        <w:r>
          <w:fldChar w:fldCharType="begin"/>
        </w:r>
        <w:r>
          <w:instrText xml:space="preserve"> PAGEREF _Toc18970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3" w:history="1">
        <w:r>
          <w:rPr>
            <w:rFonts w:ascii="仿宋" w:eastAsia="仿宋" w:hAnsi="仿宋" w:cs="仿宋" w:hint="eastAsia"/>
            <w:lang w:eastAsia="zh-CN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_Toc12863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25" w:history="1">
        <w:r>
          <w:rPr>
            <w:rFonts w:ascii="仿宋" w:eastAsia="仿宋" w:hAnsi="仿宋" w:cs="仿宋" w:hint="eastAsia"/>
            <w:lang w:eastAsia="zh-CN"/>
          </w:rPr>
          <w:t>四、工艺分析</w:t>
        </w:r>
        <w:r>
          <w:tab/>
        </w:r>
        <w:r>
          <w:fldChar w:fldCharType="begin"/>
        </w:r>
        <w:r>
          <w:instrText xml:space="preserve"> PAGEREF _Toc19025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8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_Toc27658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2" w:history="1">
        <w:r>
          <w:rPr>
            <w:rFonts w:ascii="仿宋" w:eastAsia="仿宋" w:hAnsi="仿宋" w:cs="仿宋" w:hint="eastAsia"/>
            <w:lang w:eastAsia="zh-CN"/>
          </w:rPr>
          <w:t>(二)、化学气相沉积设备项目工艺技术设计方案</w:t>
        </w:r>
        <w:r>
          <w:tab/>
        </w:r>
        <w:r>
          <w:fldChar w:fldCharType="begin"/>
        </w:r>
        <w:r>
          <w:instrText xml:space="preserve"> PAGEREF _Toc30402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6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_Toc15846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08" w:history="1">
        <w:r>
          <w:rPr>
            <w:rFonts w:ascii="仿宋" w:eastAsia="仿宋" w:hAnsi="仿宋" w:cs="仿宋" w:hint="eastAsia"/>
            <w:lang w:eastAsia="zh-CN"/>
          </w:rPr>
          <w:t>五、组织架构与人力资源配置</w:t>
        </w:r>
        <w:r>
          <w:tab/>
        </w:r>
        <w:r>
          <w:fldChar w:fldCharType="begin"/>
        </w:r>
        <w:r>
          <w:instrText xml:space="preserve"> PAGEREF _Toc19908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3" w:history="1">
        <w:r>
          <w:rPr>
            <w:rFonts w:ascii="仿宋" w:eastAsia="仿宋" w:hAnsi="仿宋" w:cs="仿宋" w:hint="eastAsia"/>
            <w:lang w:eastAsia="zh-CN"/>
          </w:rPr>
          <w:t>(一)、人员资源需求</w:t>
        </w:r>
        <w:r>
          <w:tab/>
        </w:r>
        <w:r>
          <w:fldChar w:fldCharType="begin"/>
        </w:r>
        <w:r>
          <w:instrText xml:space="preserve"> PAGEREF _Toc23743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2" w:history="1">
        <w:r>
          <w:rPr>
            <w:rFonts w:ascii="仿宋" w:eastAsia="仿宋" w:hAnsi="仿宋" w:cs="仿宋" w:hint="eastAsia"/>
            <w:lang w:eastAsia="zh-CN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_Toc26812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18" w:history="1">
        <w:r>
          <w:rPr>
            <w:rFonts w:ascii="仿宋" w:eastAsia="仿宋" w:hAnsi="仿宋" w:cs="仿宋" w:hint="eastAsia"/>
            <w:lang w:eastAsia="zh-CN"/>
          </w:rPr>
          <w:t>六、企业管理方案</w:t>
        </w:r>
        <w:r>
          <w:tab/>
        </w:r>
        <w:r>
          <w:fldChar w:fldCharType="begin"/>
        </w:r>
        <w:r>
          <w:instrText xml:space="preserve"> PAGEREF _Toc31718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3" w:history="1">
        <w:r>
          <w:rPr>
            <w:rFonts w:ascii="仿宋" w:eastAsia="仿宋" w:hAnsi="仿宋" w:cs="仿宋" w:hint="eastAsia"/>
            <w:lang w:eastAsia="zh-CN"/>
          </w:rPr>
          <w:t>(一)、企业管理体系</w:t>
        </w:r>
        <w:r>
          <w:tab/>
        </w:r>
        <w:r>
          <w:fldChar w:fldCharType="begin"/>
        </w:r>
        <w:r>
          <w:instrText xml:space="preserve"> PAGEREF _Toc14133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4" w:history="1">
        <w:r>
          <w:rPr>
            <w:rFonts w:ascii="仿宋" w:eastAsia="仿宋" w:hAnsi="仿宋" w:cs="仿宋" w:hint="eastAsia"/>
            <w:lang w:eastAsia="zh-CN"/>
          </w:rPr>
          <w:t>(二)、信息管理与信息系统</w:t>
        </w:r>
        <w:r>
          <w:tab/>
        </w:r>
        <w:r>
          <w:fldChar w:fldCharType="begin"/>
        </w:r>
        <w:r>
          <w:instrText xml:space="preserve"> PAGEREF _Toc6224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39" w:history="1">
        <w:r>
          <w:rPr>
            <w:rFonts w:ascii="仿宋" w:eastAsia="仿宋" w:hAnsi="仿宋" w:cs="仿宋" w:hint="eastAsia"/>
            <w:lang w:eastAsia="zh-CN"/>
          </w:rPr>
          <w:t>七、行业、市场分析</w:t>
        </w:r>
        <w:r>
          <w:tab/>
        </w:r>
        <w:r>
          <w:fldChar w:fldCharType="begin"/>
        </w:r>
        <w:r>
          <w:instrText xml:space="preserve"> PAGEREF _Toc10139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_Toc24283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_Toc21225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_Toc3523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66" w:history="1">
        <w:r>
          <w:rPr>
            <w:rFonts w:ascii="仿宋" w:eastAsia="仿宋" w:hAnsi="仿宋" w:cs="仿宋" w:hint="eastAsia"/>
            <w:lang w:eastAsia="zh-CN"/>
          </w:rPr>
          <w:t>八、安全管理与风险预防</w:t>
        </w:r>
        <w:r>
          <w:tab/>
        </w:r>
        <w:r>
          <w:fldChar w:fldCharType="begin"/>
        </w:r>
        <w:r>
          <w:instrText xml:space="preserve"> PAGEREF _Toc10966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4" w:history="1">
        <w:r>
          <w:rPr>
            <w:rFonts w:ascii="仿宋" w:eastAsia="仿宋" w:hAnsi="仿宋" w:cs="仿宋" w:hint="eastAsia"/>
            <w:lang w:eastAsia="zh-CN"/>
          </w:rPr>
          <w:t>(一)、安全政策与风险管理</w:t>
        </w:r>
        <w:r>
          <w:tab/>
        </w:r>
        <w:r>
          <w:fldChar w:fldCharType="begin"/>
        </w:r>
        <w:r>
          <w:instrText xml:space="preserve"> PAGEREF _Toc29354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0" w:history="1">
        <w:r>
          <w:rPr>
            <w:rFonts w:ascii="仿宋" w:eastAsia="仿宋" w:hAnsi="仿宋" w:cs="仿宋" w:hint="eastAsia"/>
            <w:lang w:eastAsia="zh-CN"/>
          </w:rPr>
          <w:t>(二)、事故预防与紧急处理计划</w:t>
        </w:r>
        <w:r>
          <w:tab/>
        </w:r>
        <w:r>
          <w:fldChar w:fldCharType="begin"/>
        </w:r>
        <w:r>
          <w:instrText xml:space="preserve"> PAGEREF _Toc26170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4" w:history="1">
        <w:r>
          <w:rPr>
            <w:rFonts w:ascii="仿宋" w:eastAsia="仿宋" w:hAnsi="仿宋" w:cs="仿宋" w:hint="eastAsia"/>
            <w:lang w:eastAsia="zh-CN"/>
          </w:rPr>
          <w:t>(三)、安全培训与意识提升</w:t>
        </w:r>
        <w:r>
          <w:tab/>
        </w:r>
        <w:r>
          <w:fldChar w:fldCharType="begin"/>
        </w:r>
        <w:r>
          <w:instrText xml:space="preserve"> PAGEREF _Toc29144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2" w:history="1">
        <w:r>
          <w:rPr>
            <w:rFonts w:ascii="仿宋" w:eastAsia="仿宋" w:hAnsi="仿宋" w:cs="仿宋" w:hint="eastAsia"/>
            <w:lang w:eastAsia="zh-CN"/>
          </w:rPr>
          <w:t>九、化学气相沉积设备项目投资规划</w:t>
        </w:r>
        <w:r>
          <w:tab/>
        </w:r>
        <w:r>
          <w:fldChar w:fldCharType="begin"/>
        </w:r>
        <w:r>
          <w:instrText xml:space="preserve"> PAGEREF _Toc1472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1" w:history="1">
        <w:r>
          <w:rPr>
            <w:rFonts w:ascii="仿宋" w:eastAsia="仿宋" w:hAnsi="仿宋" w:cs="仿宋" w:hint="eastAsia"/>
            <w:lang w:eastAsia="zh-CN"/>
          </w:rPr>
          <w:t>(一)、化学气相沉积设备项目总投资估算</w:t>
        </w:r>
        <w:r>
          <w:tab/>
        </w:r>
        <w:r>
          <w:fldChar w:fldCharType="begin"/>
        </w:r>
        <w:r>
          <w:instrText xml:space="preserve"> PAGEREF _Toc10411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3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_Toc23343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6" w:history="1">
        <w:r>
          <w:rPr>
            <w:rFonts w:ascii="仿宋" w:eastAsia="仿宋" w:hAnsi="仿宋" w:cs="仿宋" w:hint="eastAsia"/>
            <w:lang w:eastAsia="zh-CN"/>
          </w:rPr>
          <w:t>十、化学气相沉积设备项目建设符合性</w:t>
        </w:r>
        <w:r>
          <w:tab/>
        </w:r>
        <w:r>
          <w:fldChar w:fldCharType="begin"/>
        </w:r>
        <w:r>
          <w:instrText xml:space="preserve"> PAGEREF _Toc3146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7" w:history="1">
        <w:r>
          <w:rPr>
            <w:rFonts w:ascii="仿宋" w:eastAsia="仿宋" w:hAnsi="仿宋" w:cs="仿宋" w:hint="eastAsia"/>
            <w:lang w:eastAsia="zh-CN"/>
          </w:rPr>
          <w:t>(一)、产业发展政策符合性</w:t>
        </w:r>
        <w:r>
          <w:tab/>
        </w:r>
        <w:r>
          <w:fldChar w:fldCharType="begin"/>
        </w:r>
        <w:r>
          <w:instrText xml:space="preserve"> PAGEREF _Toc4027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6" w:history="1">
        <w:r>
          <w:rPr>
            <w:rFonts w:ascii="仿宋" w:eastAsia="仿宋" w:hAnsi="仿宋" w:cs="仿宋" w:hint="eastAsia"/>
            <w:lang w:eastAsia="zh-CN"/>
          </w:rPr>
          <w:t>(二)、化学气相沉积设备项目选址与用地规划相容性</w:t>
        </w:r>
        <w:r>
          <w:tab/>
        </w:r>
        <w:r>
          <w:fldChar w:fldCharType="begin"/>
        </w:r>
        <w:r>
          <w:instrText xml:space="preserve"> PAGEREF _Toc12046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23" w:history="1">
        <w:r>
          <w:rPr>
            <w:rFonts w:ascii="仿宋" w:eastAsia="仿宋" w:hAnsi="仿宋" w:cs="仿宋" w:hint="eastAsia"/>
            <w:lang w:eastAsia="zh-CN"/>
          </w:rPr>
          <w:t>十一、建设期限和进度安排</w:t>
        </w:r>
        <w:r>
          <w:tab/>
        </w:r>
        <w:r>
          <w:fldChar w:fldCharType="begin"/>
        </w:r>
        <w:r>
          <w:instrText xml:space="preserve"> PAGEREF _Toc19023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217" w:history="1">
        <w:r>
          <w:rPr>
            <w:rFonts w:ascii="仿宋" w:eastAsia="仿宋" w:hAnsi="仿宋" w:cs="仿宋" w:hint="eastAsia"/>
            <w:lang w:eastAsia="zh-CN"/>
          </w:rPr>
          <w:t>(一)、化学气相沉积设备项目实施预备阶段</w:t>
        </w:r>
        <w:r>
          <w:tab/>
        </w:r>
        <w:r>
          <w:fldChar w:fldCharType="begin"/>
        </w:r>
        <w:r>
          <w:instrText xml:space="preserve"> PAGEREF _Toc27217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1" w:history="1">
        <w:r>
          <w:rPr>
            <w:rFonts w:ascii="仿宋" w:eastAsia="仿宋" w:hAnsi="仿宋" w:cs="仿宋" w:hint="eastAsia"/>
            <w:lang w:eastAsia="zh-CN"/>
          </w:rPr>
          <w:t>(二)、化学气相沉积设备项目实施进度安排</w:t>
        </w:r>
        <w:r>
          <w:tab/>
        </w:r>
        <w:r>
          <w:fldChar w:fldCharType="begin"/>
        </w:r>
        <w:r>
          <w:instrText xml:space="preserve"> PAGEREF _Toc23721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91" w:history="1">
        <w:r>
          <w:rPr>
            <w:rFonts w:ascii="仿宋" w:eastAsia="仿宋" w:hAnsi="仿宋" w:cs="仿宋" w:hint="eastAsia"/>
            <w:lang w:eastAsia="zh-CN"/>
          </w:rPr>
          <w:t>十二、员工社会责任履行及参与公益活动</w:t>
        </w:r>
        <w:r>
          <w:tab/>
        </w:r>
        <w:r>
          <w:fldChar w:fldCharType="begin"/>
        </w:r>
        <w:r>
          <w:instrText xml:space="preserve"> PAGEREF _Toc22391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9" w:history="1">
        <w:r>
          <w:rPr>
            <w:rFonts w:ascii="仿宋" w:eastAsia="仿宋" w:hAnsi="仿宋" w:cs="仿宋" w:hint="eastAsia"/>
            <w:lang w:eastAsia="zh-CN"/>
          </w:rPr>
          <w:t>(一)、员工社会责任的内涵及履行方式</w:t>
        </w:r>
        <w:r>
          <w:tab/>
        </w:r>
        <w:r>
          <w:fldChar w:fldCharType="begin"/>
        </w:r>
        <w:r>
          <w:instrText xml:space="preserve"> PAGEREF _Toc22199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3" w:history="1">
        <w:r>
          <w:rPr>
            <w:rFonts w:ascii="仿宋" w:eastAsia="仿宋" w:hAnsi="仿宋" w:cs="仿宋" w:hint="eastAsia"/>
            <w:lang w:eastAsia="zh-CN"/>
          </w:rPr>
          <w:t>(二)、参与公益活动的意义及实施策略</w:t>
        </w:r>
        <w:r>
          <w:tab/>
        </w:r>
        <w:r>
          <w:fldChar w:fldCharType="begin"/>
        </w:r>
        <w:r>
          <w:instrText xml:space="preserve"> PAGEREF _Toc6763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4" w:history="1">
        <w:r>
          <w:rPr>
            <w:rFonts w:ascii="仿宋" w:eastAsia="仿宋" w:hAnsi="仿宋" w:cs="仿宋" w:hint="eastAsia"/>
            <w:lang w:eastAsia="zh-CN"/>
          </w:rPr>
          <w:t>(三)、社会责任履行及公益活动参与的持续推进</w:t>
        </w:r>
        <w:r>
          <w:tab/>
        </w:r>
        <w:r>
          <w:fldChar w:fldCharType="begin"/>
        </w:r>
        <w:r>
          <w:instrText xml:space="preserve"> PAGEREF _Toc6564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16" w:history="1">
        <w:r>
          <w:rPr>
            <w:rFonts w:ascii="仿宋" w:eastAsia="仿宋" w:hAnsi="仿宋" w:cs="仿宋" w:hint="eastAsia"/>
            <w:lang w:eastAsia="zh-CN"/>
          </w:rPr>
          <w:t>十三、风险评估与应对策略</w:t>
        </w:r>
        <w:r>
          <w:tab/>
        </w:r>
        <w:r>
          <w:fldChar w:fldCharType="begin"/>
        </w:r>
        <w:r>
          <w:instrText xml:space="preserve"> PAGEREF _Toc20716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3" w:history="1">
        <w:r>
          <w:rPr>
            <w:rFonts w:ascii="仿宋" w:eastAsia="仿宋" w:hAnsi="仿宋" w:cs="仿宋" w:hint="eastAsia"/>
            <w:lang w:eastAsia="zh-CN"/>
          </w:rPr>
          <w:t>(一)、化学气相沉积设备项目风险分析</w:t>
        </w:r>
        <w:r>
          <w:tab/>
        </w:r>
        <w:r>
          <w:fldChar w:fldCharType="begin"/>
        </w:r>
        <w:r>
          <w:instrText xml:space="preserve"> PAGEREF _Toc4203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2" w:history="1">
        <w:r>
          <w:rPr>
            <w:rFonts w:ascii="仿宋" w:eastAsia="仿宋" w:hAnsi="仿宋" w:cs="仿宋" w:hint="eastAsia"/>
            <w:lang w:eastAsia="zh-CN"/>
          </w:rPr>
          <w:t>(二)、风险管理与应对方法</w:t>
        </w:r>
        <w:r>
          <w:tab/>
        </w:r>
        <w:r>
          <w:fldChar w:fldCharType="begin"/>
        </w:r>
        <w:r>
          <w:instrText xml:space="preserve"> PAGEREF _Toc21852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87" w:history="1">
        <w:r>
          <w:rPr>
            <w:rFonts w:ascii="仿宋" w:eastAsia="仿宋" w:hAnsi="仿宋" w:cs="仿宋" w:hint="eastAsia"/>
            <w:lang w:eastAsia="zh-CN"/>
          </w:rPr>
          <w:t>十四、化学气相沉积设备行业促销策略</w:t>
        </w:r>
        <w:r>
          <w:tab/>
        </w:r>
        <w:r>
          <w:fldChar w:fldCharType="begin"/>
        </w:r>
        <w:r>
          <w:instrText xml:space="preserve"> PAGEREF _Toc8687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7" w:history="1">
        <w:r>
          <w:rPr>
            <w:rFonts w:ascii="仿宋" w:eastAsia="仿宋" w:hAnsi="仿宋" w:cs="仿宋" w:hint="eastAsia"/>
            <w:lang w:eastAsia="zh-CN"/>
          </w:rPr>
          <w:t>(一)、多样化产品推广</w:t>
        </w:r>
        <w:r>
          <w:tab/>
        </w:r>
        <w:r>
          <w:fldChar w:fldCharType="begin"/>
        </w:r>
        <w:r>
          <w:instrText xml:space="preserve"> PAGEREF _Toc14577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4" w:history="1">
        <w:r>
          <w:rPr>
            <w:rFonts w:ascii="仿宋" w:eastAsia="仿宋" w:hAnsi="仿宋" w:cs="仿宋" w:hint="eastAsia"/>
            <w:lang w:eastAsia="zh-CN"/>
          </w:rPr>
          <w:t>(二)、价格优惠活动</w:t>
        </w:r>
        <w:r>
          <w:tab/>
        </w:r>
        <w:r>
          <w:fldChar w:fldCharType="begin"/>
        </w:r>
        <w:r>
          <w:instrText xml:space="preserve"> PAGEREF _Toc20714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1" w:history="1">
        <w:r>
          <w:rPr>
            <w:rFonts w:ascii="仿宋" w:eastAsia="仿宋" w:hAnsi="仿宋" w:cs="仿宋" w:hint="eastAsia"/>
            <w:lang w:eastAsia="zh-CN"/>
          </w:rPr>
          <w:t>(三)、增值服务</w:t>
        </w:r>
        <w:r>
          <w:tab/>
        </w:r>
        <w:r>
          <w:fldChar w:fldCharType="begin"/>
        </w:r>
        <w:r>
          <w:instrText xml:space="preserve"> PAGEREF _Toc14451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0" w:history="1">
        <w:r>
          <w:rPr>
            <w:rFonts w:ascii="仿宋" w:eastAsia="仿宋" w:hAnsi="仿宋" w:cs="仿宋" w:hint="eastAsia"/>
            <w:lang w:eastAsia="zh-CN"/>
          </w:rPr>
          <w:t>(四)、线上线下结合</w:t>
        </w:r>
        <w:r>
          <w:tab/>
        </w:r>
        <w:r>
          <w:fldChar w:fldCharType="begin"/>
        </w:r>
        <w:r>
          <w:instrText xml:space="preserve"> PAGEREF _Toc24620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7" w:history="1">
        <w:r>
          <w:rPr>
            <w:rFonts w:ascii="仿宋" w:eastAsia="仿宋" w:hAnsi="仿宋" w:cs="仿宋" w:hint="eastAsia"/>
            <w:lang w:eastAsia="zh-CN"/>
          </w:rPr>
          <w:t>(五)、售后服务</w:t>
        </w:r>
        <w:r>
          <w:tab/>
        </w:r>
        <w:r>
          <w:fldChar w:fldCharType="begin"/>
        </w:r>
        <w:r>
          <w:instrText xml:space="preserve"> PAGEREF _Toc18417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25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_Toc17925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_Toc29968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_Toc20431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92" w:history="1">
        <w:r>
          <w:rPr>
            <w:rFonts w:ascii="仿宋" w:eastAsia="仿宋" w:hAnsi="仿宋" w:cs="仿宋" w:hint="eastAsia"/>
            <w:lang w:eastAsia="zh-CN"/>
          </w:rPr>
          <w:t>十六、市场定位与目标市场</w:t>
        </w:r>
        <w:r>
          <w:tab/>
        </w:r>
        <w:r>
          <w:fldChar w:fldCharType="begin"/>
        </w:r>
        <w:r>
          <w:instrText xml:space="preserve"> PAGEREF _Toc7392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0" w:history="1">
        <w:r>
          <w:rPr>
            <w:rFonts w:ascii="仿宋" w:eastAsia="仿宋" w:hAnsi="仿宋" w:cs="仿宋" w:hint="eastAsia"/>
            <w:lang w:eastAsia="zh-CN"/>
          </w:rPr>
          <w:t>(一)、目标市场选择</w:t>
        </w:r>
        <w:r>
          <w:tab/>
        </w:r>
        <w:r>
          <w:fldChar w:fldCharType="begin"/>
        </w:r>
        <w:r>
          <w:instrText xml:space="preserve"> PAGEREF _Toc7920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9" w:history="1">
        <w:r>
          <w:rPr>
            <w:rFonts w:ascii="仿宋" w:eastAsia="仿宋" w:hAnsi="仿宋" w:cs="仿宋" w:hint="eastAsia"/>
            <w:lang w:eastAsia="zh-CN"/>
          </w:rPr>
          <w:t>(二)、定位策略</w:t>
        </w:r>
        <w:r>
          <w:tab/>
        </w:r>
        <w:r>
          <w:fldChar w:fldCharType="begin"/>
        </w:r>
        <w:r>
          <w:instrText xml:space="preserve"> PAGEREF _Toc6499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0" w:history="1">
        <w:r>
          <w:rPr>
            <w:rFonts w:ascii="仿宋" w:eastAsia="仿宋" w:hAnsi="仿宋" w:cs="仿宋" w:hint="eastAsia"/>
            <w:lang w:eastAsia="zh-CN"/>
          </w:rPr>
          <w:t>(三)、市场渗透计划</w:t>
        </w:r>
        <w:r>
          <w:tab/>
        </w:r>
        <w:r>
          <w:fldChar w:fldCharType="begin"/>
        </w:r>
        <w:r>
          <w:instrText xml:space="preserve"> PAGEREF _Toc13010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79" w:history="1">
        <w:r>
          <w:rPr>
            <w:rFonts w:ascii="仿宋" w:eastAsia="仿宋" w:hAnsi="仿宋" w:cs="仿宋" w:hint="eastAsia"/>
            <w:lang w:eastAsia="zh-CN"/>
          </w:rPr>
          <w:t>十七、第四十三章员工参与决策与公司治理</w:t>
        </w:r>
        <w:r>
          <w:tab/>
        </w:r>
        <w:r>
          <w:fldChar w:fldCharType="begin"/>
        </w:r>
        <w:r>
          <w:instrText xml:space="preserve"> PAGEREF _Toc27679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4" w:history="1">
        <w:r>
          <w:rPr>
            <w:rFonts w:ascii="仿宋" w:eastAsia="仿宋" w:hAnsi="仿宋" w:cs="仿宋" w:hint="eastAsia"/>
            <w:lang w:eastAsia="zh-CN"/>
          </w:rPr>
          <w:t>(一)、员工参与决策机制</w:t>
        </w:r>
        <w:r>
          <w:tab/>
        </w:r>
        <w:r>
          <w:fldChar w:fldCharType="begin"/>
        </w:r>
        <w:r>
          <w:instrText xml:space="preserve"> PAGEREF _Toc3994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4" w:history="1">
        <w:r>
          <w:rPr>
            <w:rFonts w:ascii="仿宋" w:eastAsia="仿宋" w:hAnsi="仿宋" w:cs="仿宋" w:hint="eastAsia"/>
            <w:lang w:eastAsia="zh-CN"/>
          </w:rPr>
          <w:t>(二)、参与决策的渠道与机会</w:t>
        </w:r>
        <w:r>
          <w:tab/>
        </w:r>
        <w:r>
          <w:fldChar w:fldCharType="begin"/>
        </w:r>
        <w:r>
          <w:instrText xml:space="preserve"> PAGEREF _Toc22134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5" w:history="1">
        <w:r>
          <w:rPr>
            <w:rFonts w:ascii="仿宋" w:eastAsia="仿宋" w:hAnsi="仿宋" w:cs="仿宋" w:hint="eastAsia"/>
            <w:lang w:eastAsia="zh-CN"/>
          </w:rPr>
          <w:t>(三)、代表员工意见的制度</w:t>
        </w:r>
        <w:r>
          <w:tab/>
        </w:r>
        <w:r>
          <w:fldChar w:fldCharType="begin"/>
        </w:r>
        <w:r>
          <w:instrText xml:space="preserve"> PAGEREF _Toc20395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6" w:history="1">
        <w:r>
          <w:rPr>
            <w:rFonts w:ascii="仿宋" w:eastAsia="仿宋" w:hAnsi="仿宋" w:cs="仿宋" w:hint="eastAsia"/>
            <w:lang w:eastAsia="zh-CN"/>
          </w:rPr>
          <w:t>(四)、公司治理与透明度</w:t>
        </w:r>
        <w:r>
          <w:tab/>
        </w:r>
        <w:r>
          <w:fldChar w:fldCharType="begin"/>
        </w:r>
        <w:r>
          <w:instrText xml:space="preserve"> PAGEREF _Toc5536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8" w:history="1">
        <w:r>
          <w:rPr>
            <w:rFonts w:ascii="仿宋" w:eastAsia="仿宋" w:hAnsi="仿宋" w:cs="仿宋" w:hint="eastAsia"/>
            <w:lang w:eastAsia="zh-CN"/>
          </w:rPr>
          <w:t>(五)、公司治理结构的建设</w:t>
        </w:r>
        <w:r>
          <w:tab/>
        </w:r>
        <w:r>
          <w:fldChar w:fldCharType="begin"/>
        </w:r>
        <w:r>
          <w:instrText xml:space="preserve"> PAGEREF _Toc7738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8" w:history="1">
        <w:r>
          <w:rPr>
            <w:rFonts w:ascii="仿宋" w:eastAsia="仿宋" w:hAnsi="仿宋" w:cs="仿宋" w:hint="eastAsia"/>
            <w:lang w:eastAsia="zh-CN"/>
          </w:rPr>
          <w:t>(六)、公司业绩与财务信息的公开</w:t>
        </w:r>
        <w:r>
          <w:tab/>
        </w:r>
        <w:r>
          <w:fldChar w:fldCharType="begin"/>
        </w:r>
        <w:r>
          <w:instrText xml:space="preserve"> PAGEREF _Toc26478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23" w:history="1">
        <w:r>
          <w:rPr>
            <w:rFonts w:ascii="仿宋" w:eastAsia="仿宋" w:hAnsi="仿宋" w:cs="仿宋" w:hint="eastAsia"/>
            <w:lang w:eastAsia="zh-CN"/>
          </w:rPr>
          <w:t>十八、化学气相沉积设备项目验收与运行</w:t>
        </w:r>
        <w:r>
          <w:tab/>
        </w:r>
        <w:r>
          <w:fldChar w:fldCharType="begin"/>
        </w:r>
        <w:r>
          <w:instrText xml:space="preserve"> PAGEREF _Toc19323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6" w:history="1">
        <w:r>
          <w:rPr>
            <w:rFonts w:ascii="仿宋" w:eastAsia="仿宋" w:hAnsi="仿宋" w:cs="仿宋" w:hint="eastAsia"/>
            <w:lang w:eastAsia="zh-CN"/>
          </w:rPr>
          <w:t>(一)、化学气相沉积设备项目验收的程序和步骤</w:t>
        </w:r>
        <w:r>
          <w:tab/>
        </w:r>
        <w:r>
          <w:fldChar w:fldCharType="begin"/>
        </w:r>
        <w:r>
          <w:instrText xml:space="preserve"> PAGEREF _Toc26186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8" w:history="1">
        <w:r>
          <w:rPr>
            <w:rFonts w:ascii="仿宋" w:eastAsia="仿宋" w:hAnsi="仿宋" w:cs="仿宋" w:hint="eastAsia"/>
            <w:lang w:eastAsia="zh-CN"/>
          </w:rPr>
          <w:t>(二)、化学气相沉积设备项目验收的相关标准和规范</w:t>
        </w:r>
        <w:r>
          <w:tab/>
        </w:r>
        <w:r>
          <w:fldChar w:fldCharType="begin"/>
        </w:r>
        <w:r>
          <w:instrText xml:space="preserve"> PAGEREF _Toc28458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0" w:history="1">
        <w:r>
          <w:rPr>
            <w:rFonts w:ascii="仿宋" w:eastAsia="仿宋" w:hAnsi="仿宋" w:cs="仿宋" w:hint="eastAsia"/>
            <w:lang w:eastAsia="zh-CN"/>
          </w:rPr>
          <w:t>(三)、化学气相沉积设备项目运行的监督与管理</w:t>
        </w:r>
        <w:r>
          <w:tab/>
        </w:r>
        <w:r>
          <w:fldChar w:fldCharType="begin"/>
        </w:r>
        <w:r>
          <w:instrText xml:space="preserve"> PAGEREF _Toc32270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2" w:history="1">
        <w:r>
          <w:rPr>
            <w:rFonts w:ascii="仿宋" w:eastAsia="仿宋" w:hAnsi="仿宋" w:cs="仿宋" w:hint="eastAsia"/>
            <w:lang w:eastAsia="zh-CN"/>
          </w:rPr>
          <w:t>(四)、化学气相沉积设备项目运行中的安全与质量保障</w:t>
        </w:r>
        <w:r>
          <w:tab/>
        </w:r>
        <w:r>
          <w:fldChar w:fldCharType="begin"/>
        </w:r>
        <w:r>
          <w:instrText xml:space="preserve"> PAGEREF _Toc29832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" w:history="1">
        <w:r>
          <w:rPr>
            <w:rFonts w:ascii="仿宋" w:eastAsia="仿宋" w:hAnsi="仿宋" w:cs="仿宋" w:hint="eastAsia"/>
            <w:lang w:eastAsia="zh-CN"/>
          </w:rPr>
          <w:t>(五)、化学气相沉积设备项目运行中的持续改进与优化</w:t>
        </w:r>
        <w:r>
          <w:tab/>
        </w:r>
        <w:r>
          <w:fldChar w:fldCharType="begin"/>
        </w:r>
        <w:r>
          <w:instrText xml:space="preserve"> PAGEREF _Toc2207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1" w:history="1">
        <w:r>
          <w:rPr>
            <w:rFonts w:ascii="仿宋" w:eastAsia="仿宋" w:hAnsi="仿宋" w:cs="仿宋" w:hint="eastAsia"/>
            <w:lang w:eastAsia="zh-CN"/>
          </w:rPr>
          <w:t>十九、营销与推广策略</w:t>
        </w:r>
        <w:r>
          <w:tab/>
        </w:r>
        <w:r>
          <w:fldChar w:fldCharType="begin"/>
        </w:r>
        <w:r>
          <w:instrText xml:space="preserve"> PAGEREF _Toc761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2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_Toc22652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3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_Toc4333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0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_Toc26780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4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_Toc6844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72" w:history="1">
        <w:r>
          <w:rPr>
            <w:rFonts w:ascii="仿宋" w:eastAsia="仿宋" w:hAnsi="仿宋" w:cs="仿宋" w:hint="eastAsia"/>
            <w:lang w:eastAsia="zh-CN"/>
          </w:rPr>
          <w:t>二十、设施与设备管理</w:t>
        </w:r>
        <w:r>
          <w:tab/>
        </w:r>
        <w:r>
          <w:fldChar w:fldCharType="begin"/>
        </w:r>
        <w:r>
          <w:instrText xml:space="preserve"> PAGEREF _Toc25672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_Toc1424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_Toc3808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_Toc13988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778" w:history="1">
        <w:r>
          <w:rPr>
            <w:rFonts w:ascii="仿宋" w:eastAsia="仿宋" w:hAnsi="仿宋" w:cs="仿宋" w:hint="eastAsia"/>
            <w:lang w:eastAsia="zh-CN"/>
          </w:rPr>
          <w:t>二十一、化学气相沉积设备项目人才培养与团队建设</w:t>
        </w:r>
        <w:r>
          <w:tab/>
        </w:r>
        <w:r>
          <w:fldChar w:fldCharType="begin"/>
        </w:r>
        <w:r>
          <w:instrText xml:space="preserve"> PAGEREF _Toc4778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5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_Toc26965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7" w:history="1">
        <w:r>
          <w:rPr>
            <w:rFonts w:ascii="仿宋" w:eastAsia="仿宋" w:hAnsi="仿宋" w:cs="仿宋" w:hint="eastAsia"/>
            <w:lang w:eastAsia="zh-CN"/>
          </w:rPr>
          <w:t>(二)、招聘与选拔计划</w:t>
        </w:r>
        <w:r>
          <w:tab/>
        </w:r>
        <w:r>
          <w:fldChar w:fldCharType="begin"/>
        </w:r>
        <w:r>
          <w:instrText xml:space="preserve"> PAGEREF _Toc14097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2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_Toc25302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7" w:history="1">
        <w:r>
          <w:rPr>
            <w:rFonts w:ascii="仿宋" w:eastAsia="仿宋" w:hAnsi="仿宋" w:cs="仿宋" w:hint="eastAsia"/>
            <w:lang w:eastAsia="zh-CN"/>
          </w:rPr>
          <w:t>(四)、团队建设活动规划</w:t>
        </w:r>
        <w:r>
          <w:tab/>
        </w:r>
        <w:r>
          <w:fldChar w:fldCharType="begin"/>
        </w:r>
        <w:r>
          <w:instrText xml:space="preserve"> PAGEREF _Toc16907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3" w:history="1">
        <w:r>
          <w:rPr>
            <w:rFonts w:ascii="仿宋" w:eastAsia="仿宋" w:hAnsi="仿宋" w:cs="仿宋" w:hint="eastAsia"/>
            <w:lang w:eastAsia="zh-CN"/>
          </w:rPr>
          <w:t>(五)、员工关怀与激励措施</w:t>
        </w:r>
        <w:r>
          <w:tab/>
        </w:r>
        <w:r>
          <w:fldChar w:fldCharType="begin"/>
        </w:r>
        <w:r>
          <w:instrText xml:space="preserve"> PAGEREF _Toc22673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96" w:history="1">
        <w:r>
          <w:rPr>
            <w:rFonts w:ascii="仿宋" w:eastAsia="仿宋" w:hAnsi="仿宋" w:cs="仿宋" w:hint="eastAsia"/>
            <w:lang w:eastAsia="zh-CN"/>
          </w:rPr>
          <w:t>二十二环境管理体系建设</w:t>
        </w:r>
        <w:r>
          <w:tab/>
        </w:r>
        <w:r>
          <w:fldChar w:fldCharType="begin"/>
        </w:r>
        <w:r>
          <w:instrText xml:space="preserve"> PAGEREF _Toc9596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8" w:history="1">
        <w:r>
          <w:rPr>
            <w:rFonts w:ascii="仿宋" w:eastAsia="仿宋" w:hAnsi="仿宋" w:cs="仿宋" w:hint="eastAsia"/>
            <w:lang w:eastAsia="zh-CN"/>
          </w:rPr>
          <w:t>(一)、环境管理体系建设的背景和必要性</w:t>
        </w:r>
        <w:r>
          <w:tab/>
        </w:r>
        <w:r>
          <w:fldChar w:fldCharType="begin"/>
        </w:r>
        <w:r>
          <w:instrText xml:space="preserve"> PAGEREF _Toc18038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5" w:history="1">
        <w:r>
          <w:rPr>
            <w:rFonts w:ascii="仿宋" w:eastAsia="仿宋" w:hAnsi="仿宋" w:cs="仿宋" w:hint="eastAsia"/>
            <w:lang w:eastAsia="zh-CN"/>
          </w:rPr>
          <w:t>(二)、环境管理体系建设的基本原则</w:t>
        </w:r>
        <w:r>
          <w:tab/>
        </w:r>
        <w:r>
          <w:fldChar w:fldCharType="begin"/>
        </w:r>
        <w:r>
          <w:instrText xml:space="preserve"> PAGEREF _Toc24775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2" w:history="1">
        <w:r>
          <w:rPr>
            <w:rFonts w:ascii="仿宋" w:eastAsia="仿宋" w:hAnsi="仿宋" w:cs="仿宋" w:hint="eastAsia"/>
            <w:lang w:eastAsia="zh-CN"/>
          </w:rPr>
          <w:t>(三)、环境管理体系建设的组织架构</w:t>
        </w:r>
        <w:r>
          <w:tab/>
        </w:r>
        <w:r>
          <w:fldChar w:fldCharType="begin"/>
        </w:r>
        <w:r>
          <w:instrText xml:space="preserve"> PAGEREF _Toc7362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3" w:history="1">
        <w:r>
          <w:rPr>
            <w:rFonts w:ascii="仿宋" w:eastAsia="仿宋" w:hAnsi="仿宋" w:cs="仿宋" w:hint="eastAsia"/>
            <w:lang w:eastAsia="zh-CN"/>
          </w:rPr>
          <w:t>(四)、环境管理体系建设的责任分工</w:t>
        </w:r>
        <w:r>
          <w:tab/>
        </w:r>
        <w:r>
          <w:fldChar w:fldCharType="begin"/>
        </w:r>
        <w:r>
          <w:instrText xml:space="preserve"> PAGEREF _Toc32763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1" w:history="1">
        <w:r>
          <w:rPr>
            <w:rFonts w:ascii="仿宋" w:eastAsia="仿宋" w:hAnsi="仿宋" w:cs="仿宋" w:hint="eastAsia"/>
            <w:lang w:eastAsia="zh-CN"/>
          </w:rPr>
          <w:t>(五)、环境管理体系建设的监督与评估</w:t>
        </w:r>
        <w:r>
          <w:tab/>
        </w:r>
        <w:r>
          <w:fldChar w:fldCharType="begin"/>
        </w:r>
        <w:r>
          <w:instrText xml:space="preserve"> PAGEREF _Toc10501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0" w:history="1">
        <w:r>
          <w:rPr>
            <w:rFonts w:ascii="仿宋" w:eastAsia="仿宋" w:hAnsi="仿宋" w:cs="仿宋" w:hint="eastAsia"/>
            <w:lang w:eastAsia="zh-CN"/>
          </w:rPr>
          <w:t>(六)、环境管理体系建设的持续改进与优化</w:t>
        </w:r>
        <w:r>
          <w:tab/>
        </w:r>
        <w:r>
          <w:fldChar w:fldCharType="begin"/>
        </w:r>
        <w:r>
          <w:instrText xml:space="preserve"> PAGEREF _Toc11570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69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039"/>
      <w:r>
        <w:rPr>
          <w:rFonts w:ascii="仿宋" w:eastAsia="仿宋" w:hAnsi="仿宋" w:cs="仿宋" w:hint="eastAsia"/>
          <w:sz w:val="28"/>
          <w:lang w:eastAsia="zh-CN"/>
        </w:rPr>
        <w:t>一、环境保护说明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823"/>
      <w:r>
        <w:rPr>
          <w:rFonts w:ascii="仿宋" w:eastAsia="仿宋" w:hAnsi="仿宋" w:cs="仿宋" w:hint="eastAsia"/>
          <w:lang w:eastAsia="zh-CN"/>
        </w:rPr>
        <w:t>(一)、建设区域环境质量现状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化学气相沉积设备项目所在地区域的地下水环境质量良好，各项指标均符合规定要求，确保水质达到较高标准。目前，该地下水质量状况良好。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对于化学气相沉积设备项目所在地的大气环境质量功能区，已经对其进行了划分，被归类为Ⅱ类区。目前，该大气环境质量较好，符合该功能区划的要求。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383"/>
      <w:r>
        <w:rPr>
          <w:rFonts w:ascii="仿宋" w:eastAsia="仿宋" w:hAnsi="仿宋" w:cs="仿宋" w:hint="eastAsia"/>
          <w:sz w:val="28"/>
          <w:lang w:eastAsia="zh-CN"/>
        </w:rPr>
        <w:t>(二)、建设期环境保护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https://d.book118.com/787114014111006050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化学气相沉积设备项目营销方案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化学气相沉积设备项目营销方案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化学气相沉积设备项目营销方案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化学气相沉积设备项目营销方案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化学气相沉积设备项目营销方案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28F282F"/>
    <w:rsid w:val="4593521B"/>
    <w:rsid w:val="628F282F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87114014111006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2024-02-19T14:07:00Z</dcterms:created>
  <dcterms:modified xsi:type="dcterms:W3CDTF">2024-02-19T14:07:46Z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F450F0700A624630936E8D7552E8C802_11</vt:lpwstr>
  </property>
  <property fmtid="{D5CDD505-2E9C-101B-9397-08002B2CF9AE}" pid="3" name="KSOProductBuildVer">
    <vt:lpwstr>2052-12.1.0.16250</vt:lpwstr>
  </property>
</Properties>
</file>