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99" w:lineRule="auto"/>
        <w:rPr>
          <w:rFonts w:ascii="Arial"/>
          <w:sz w:val="21"/>
        </w:rPr>
      </w:pPr>
    </w:p>
    <w:p>
      <w:pPr>
        <w:spacing w:before="65" w:line="222" w:lineRule="auto"/>
        <w:ind w:left="2402"/>
        <w:outlineLvl w:val="0"/>
        <w:rPr>
          <w:rFonts w:ascii="SimHei" w:eastAsia="SimHei" w:hAnsi="SimHei" w:cs="SimHei"/>
          <w:sz w:val="20"/>
          <w:szCs w:val="20"/>
        </w:rPr>
      </w:pPr>
      <w:r>
        <w:rPr>
          <w:rFonts w:ascii="SimHei" w:eastAsia="SimHei" w:hAnsi="SimHei" w:cs="SimHei"/>
          <w:b/>
          <w:bCs/>
          <w:spacing w:val="3"/>
          <w:sz w:val="20"/>
          <w:szCs w:val="20"/>
        </w:rPr>
        <w:t>仿真耳检定规程</w:t>
      </w:r>
    </w:p>
    <w:p>
      <w:pPr>
        <w:pStyle w:val="BodyText"/>
        <w:spacing w:before="260" w:line="219" w:lineRule="auto"/>
        <w:ind w:left="339"/>
      </w:pPr>
      <w:r>
        <w:rPr>
          <w:spacing w:val="1"/>
        </w:rPr>
        <w:t>本规程依据国际标准</w:t>
      </w:r>
      <w:r>
        <w:t>IEC</w:t>
      </w:r>
      <w:r>
        <w:rPr>
          <w:spacing w:val="1"/>
        </w:rPr>
        <w:t>60318—1998</w:t>
      </w:r>
      <w:r>
        <w:t>《电声-人头和人耳模拟器》。</w:t>
      </w:r>
    </w:p>
    <w:p>
      <w:pPr>
        <w:spacing w:before="169" w:line="223" w:lineRule="auto"/>
        <w:ind w:left="2"/>
        <w:rPr>
          <w:rFonts w:ascii="SimHei" w:eastAsia="SimHei" w:hAnsi="SimHei" w:cs="SimHei"/>
          <w:sz w:val="16"/>
          <w:szCs w:val="16"/>
        </w:rPr>
      </w:pPr>
      <w:r>
        <w:rPr>
          <w:rFonts w:ascii="SimHei" w:eastAsia="SimHei" w:hAnsi="SimHei" w:cs="SimHei"/>
          <w:b/>
          <w:bCs/>
          <w:spacing w:val="-6"/>
          <w:sz w:val="16"/>
          <w:szCs w:val="16"/>
        </w:rPr>
        <w:t>1</w:t>
      </w:r>
      <w:r>
        <w:rPr>
          <w:rFonts w:ascii="SimHei" w:eastAsia="SimHei" w:hAnsi="SimHei" w:cs="SimHei"/>
          <w:spacing w:val="-6"/>
          <w:sz w:val="16"/>
          <w:szCs w:val="16"/>
        </w:rPr>
        <w:t xml:space="preserve">  </w:t>
      </w:r>
      <w:r>
        <w:rPr>
          <w:rFonts w:ascii="SimHei" w:eastAsia="SimHei" w:hAnsi="SimHei" w:cs="SimHei"/>
          <w:b/>
          <w:bCs/>
          <w:spacing w:val="-6"/>
          <w:sz w:val="16"/>
          <w:szCs w:val="16"/>
        </w:rPr>
        <w:t>范围</w:t>
      </w:r>
    </w:p>
    <w:p>
      <w:pPr>
        <w:pStyle w:val="BodyText"/>
        <w:spacing w:before="167" w:line="219" w:lineRule="auto"/>
        <w:ind w:left="339"/>
      </w:pPr>
      <w:r>
        <w:rPr>
          <w:spacing w:val="1"/>
        </w:rPr>
        <w:t>本规程适用于仿真耳的首次检定、后续检定和使用中检验。</w:t>
      </w:r>
    </w:p>
    <w:p>
      <w:pPr>
        <w:spacing w:before="157" w:line="222" w:lineRule="auto"/>
        <w:ind w:left="2"/>
        <w:rPr>
          <w:rFonts w:ascii="SimHei" w:eastAsia="SimHei" w:hAnsi="SimHei" w:cs="SimHei"/>
          <w:sz w:val="16"/>
          <w:szCs w:val="16"/>
        </w:rPr>
      </w:pPr>
      <w:r>
        <w:rPr>
          <w:rFonts w:ascii="SimHei" w:eastAsia="SimHei" w:hAnsi="SimHei" w:cs="SimHei"/>
          <w:b/>
          <w:bCs/>
          <w:spacing w:val="-2"/>
          <w:sz w:val="16"/>
          <w:szCs w:val="16"/>
        </w:rPr>
        <w:t>2</w:t>
      </w:r>
      <w:r>
        <w:rPr>
          <w:rFonts w:ascii="SimHei" w:eastAsia="SimHei" w:hAnsi="SimHei" w:cs="SimHei"/>
          <w:spacing w:val="-2"/>
          <w:sz w:val="16"/>
          <w:szCs w:val="16"/>
        </w:rPr>
        <w:t xml:space="preserve">  </w:t>
      </w:r>
      <w:r>
        <w:rPr>
          <w:rFonts w:ascii="SimHei" w:eastAsia="SimHei" w:hAnsi="SimHei" w:cs="SimHei"/>
          <w:b/>
          <w:bCs/>
          <w:spacing w:val="-2"/>
          <w:sz w:val="16"/>
          <w:szCs w:val="16"/>
        </w:rPr>
        <w:t>引用文献</w:t>
      </w:r>
    </w:p>
    <w:p>
      <w:pPr>
        <w:pStyle w:val="BodyText"/>
        <w:spacing w:before="170" w:line="219" w:lineRule="auto"/>
        <w:ind w:left="339"/>
      </w:pPr>
      <w:r>
        <w:rPr>
          <w:spacing w:val="-4"/>
        </w:rPr>
        <w:t>本规程引用下列文献：</w:t>
      </w:r>
    </w:p>
    <w:p>
      <w:pPr>
        <w:pStyle w:val="BodyText"/>
        <w:spacing w:before="53" w:line="212" w:lineRule="auto"/>
        <w:ind w:left="339"/>
      </w:pPr>
      <w:r>
        <w:rPr>
          <w:rFonts w:ascii="Times New Roman" w:eastAsia="Times New Roman" w:hAnsi="Times New Roman" w:cs="Times New Roman"/>
          <w:spacing w:val="-1"/>
        </w:rPr>
        <w:t>IEC60318.1—1998</w:t>
      </w:r>
      <w:r>
        <w:rPr>
          <w:spacing w:val="-1"/>
        </w:rPr>
        <w:t>《</w:t>
      </w:r>
      <w:r>
        <w:rPr>
          <w:rFonts w:ascii="Times New Roman" w:eastAsia="Times New Roman" w:hAnsi="Times New Roman" w:cs="Times New Roman"/>
          <w:spacing w:val="-1"/>
        </w:rPr>
        <w:t>Part1:Ear simulator for the calibration of</w:t>
      </w:r>
      <w:r>
        <w:rPr>
          <w:rFonts w:ascii="Times New Roman" w:eastAsia="Times New Roman" w:hAnsi="Times New Roman" w:cs="Times New Roman"/>
          <w:spacing w:val="-8"/>
        </w:rPr>
        <w:t xml:space="preserve"> </w:t>
      </w:r>
      <w:r>
        <w:rPr>
          <w:rFonts w:ascii="Times New Roman" w:eastAsia="Times New Roman" w:hAnsi="Times New Roman" w:cs="Times New Roman"/>
          <w:spacing w:val="-1"/>
        </w:rPr>
        <w:t>supra-aural earphones</w:t>
      </w:r>
      <w:r>
        <w:rPr>
          <w:spacing w:val="-1"/>
        </w:rPr>
        <w:t>》</w:t>
      </w:r>
    </w:p>
    <w:p>
      <w:pPr>
        <w:pStyle w:val="BodyText"/>
        <w:spacing w:before="67" w:line="244" w:lineRule="auto"/>
        <w:ind w:right="14" w:firstLine="339"/>
      </w:pPr>
      <w:r>
        <w:rPr>
          <w:rFonts w:ascii="Times New Roman" w:eastAsia="Times New Roman" w:hAnsi="Times New Roman" w:cs="Times New Roman"/>
        </w:rPr>
        <w:t>IEC60318.2—1998</w:t>
      </w:r>
      <w:r>
        <w:t>《</w:t>
      </w:r>
      <w:r>
        <w:rPr>
          <w:rFonts w:ascii="Times New Roman" w:eastAsia="Times New Roman" w:hAnsi="Times New Roman" w:cs="Times New Roman"/>
        </w:rPr>
        <w:t>Part2:An</w:t>
      </w:r>
      <w:r>
        <w:rPr>
          <w:rFonts w:ascii="Times New Roman" w:eastAsia="Times New Roman" w:hAnsi="Times New Roman" w:cs="Times New Roman"/>
          <w:spacing w:val="16"/>
          <w:w w:val="101"/>
        </w:rPr>
        <w:t xml:space="preserve"> </w:t>
      </w:r>
      <w:r>
        <w:rPr>
          <w:rFonts w:ascii="Times New Roman" w:eastAsia="Times New Roman" w:hAnsi="Times New Roman" w:cs="Times New Roman"/>
        </w:rPr>
        <w:t>interim</w:t>
      </w:r>
      <w:r>
        <w:rPr>
          <w:rFonts w:ascii="Times New Roman" w:eastAsia="Times New Roman" w:hAnsi="Times New Roman" w:cs="Times New Roman"/>
          <w:spacing w:val="16"/>
          <w:w w:val="102"/>
        </w:rPr>
        <w:t xml:space="preserve"> </w:t>
      </w:r>
      <w:r>
        <w:rPr>
          <w:rFonts w:ascii="Times New Roman" w:eastAsia="Times New Roman" w:hAnsi="Times New Roman" w:cs="Times New Roman"/>
        </w:rPr>
        <w:t>acoustic</w:t>
      </w:r>
      <w:r>
        <w:rPr>
          <w:rFonts w:ascii="Times New Roman" w:eastAsia="Times New Roman" w:hAnsi="Times New Roman" w:cs="Times New Roman"/>
          <w:spacing w:val="16"/>
          <w:w w:val="101"/>
        </w:rPr>
        <w:t xml:space="preserve"> </w:t>
      </w:r>
      <w:r>
        <w:rPr>
          <w:rFonts w:ascii="Times New Roman" w:eastAsia="Times New Roman" w:hAnsi="Times New Roman" w:cs="Times New Roman"/>
        </w:rPr>
        <w:t>couple</w:t>
      </w:r>
      <w:r>
        <w:rPr>
          <w:rFonts w:ascii="Times New Roman" w:eastAsia="Times New Roman" w:hAnsi="Times New Roman" w:cs="Times New Roman"/>
          <w:spacing w:val="-1"/>
        </w:rPr>
        <w:t>r</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1"/>
        </w:rPr>
        <w:t>for</w:t>
      </w:r>
      <w:r>
        <w:rPr>
          <w:rFonts w:ascii="Times New Roman" w:eastAsia="Times New Roman" w:hAnsi="Times New Roman" w:cs="Times New Roman"/>
          <w:spacing w:val="11"/>
          <w:w w:val="102"/>
        </w:rPr>
        <w:t xml:space="preserve"> </w:t>
      </w:r>
      <w:r>
        <w:rPr>
          <w:rFonts w:ascii="Times New Roman" w:eastAsia="Times New Roman" w:hAnsi="Times New Roman" w:cs="Times New Roman"/>
          <w:spacing w:val="-1"/>
        </w:rPr>
        <w:t>the</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1"/>
        </w:rPr>
        <w:t>calibration</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1"/>
        </w:rPr>
        <w:t>of audiometric</w:t>
      </w:r>
      <w:r>
        <w:rPr>
          <w:rFonts w:ascii="Times New Roman" w:eastAsia="Times New Roman" w:hAnsi="Times New Roman" w:cs="Times New Roman"/>
        </w:rPr>
        <w:t xml:space="preserve"> </w:t>
      </w:r>
      <w:r>
        <w:rPr>
          <w:rFonts w:ascii="Times New Roman" w:eastAsia="Times New Roman" w:hAnsi="Times New Roman" w:cs="Times New Roman"/>
          <w:spacing w:val="-1"/>
        </w:rPr>
        <w:t>earphones in the extend</w:t>
      </w:r>
      <w:r>
        <w:rPr>
          <w:rFonts w:ascii="Times New Roman" w:eastAsia="Times New Roman" w:hAnsi="Times New Roman" w:cs="Times New Roman"/>
          <w:spacing w:val="-2"/>
        </w:rPr>
        <w:t>ed high-fequency range</w:t>
      </w:r>
      <w:r>
        <w:rPr>
          <w:spacing w:val="-2"/>
        </w:rPr>
        <w:t>》</w:t>
      </w:r>
    </w:p>
    <w:p>
      <w:pPr>
        <w:pStyle w:val="BodyText"/>
        <w:spacing w:before="36" w:line="275" w:lineRule="auto"/>
        <w:ind w:right="14" w:firstLine="339"/>
        <w:rPr>
          <w:sz w:val="13"/>
          <w:szCs w:val="13"/>
        </w:rPr>
      </w:pPr>
      <w:r>
        <w:rPr>
          <w:rFonts w:ascii="Times New Roman" w:eastAsia="Times New Roman" w:hAnsi="Times New Roman" w:cs="Times New Roman"/>
        </w:rPr>
        <w:t>IEC60318.3-1998</w:t>
      </w:r>
      <w:r>
        <w:t>《</w:t>
      </w:r>
      <w:r>
        <w:rPr>
          <w:rFonts w:ascii="Times New Roman" w:eastAsia="Times New Roman" w:hAnsi="Times New Roman" w:cs="Times New Roman"/>
        </w:rPr>
        <w:t>Pan3:Acoustic</w:t>
      </w:r>
      <w:r>
        <w:rPr>
          <w:rFonts w:ascii="Times New Roman" w:eastAsia="Times New Roman" w:hAnsi="Times New Roman" w:cs="Times New Roman"/>
          <w:spacing w:val="28"/>
          <w:w w:val="101"/>
        </w:rPr>
        <w:t xml:space="preserve"> </w:t>
      </w:r>
      <w:r>
        <w:rPr>
          <w:rFonts w:ascii="Times New Roman" w:eastAsia="Times New Roman" w:hAnsi="Times New Roman" w:cs="Times New Roman"/>
        </w:rPr>
        <w:t>coupler</w:t>
      </w:r>
      <w:r>
        <w:rPr>
          <w:rFonts w:ascii="Times New Roman" w:eastAsia="Times New Roman" w:hAnsi="Times New Roman" w:cs="Times New Roman"/>
          <w:spacing w:val="27"/>
          <w:w w:val="101"/>
        </w:rPr>
        <w:t xml:space="preserve"> </w:t>
      </w:r>
      <w:r>
        <w:rPr>
          <w:rFonts w:ascii="Times New Roman" w:eastAsia="Times New Roman" w:hAnsi="Times New Roman" w:cs="Times New Roman"/>
        </w:rPr>
        <w:t>for</w:t>
      </w:r>
      <w:r>
        <w:rPr>
          <w:rFonts w:ascii="Times New Roman" w:eastAsia="Times New Roman" w:hAnsi="Times New Roman" w:cs="Times New Roman"/>
          <w:spacing w:val="22"/>
          <w:w w:val="102"/>
        </w:rPr>
        <w:t xml:space="preserve"> </w:t>
      </w:r>
      <w:r>
        <w:rPr>
          <w:rFonts w:ascii="Times New Roman" w:eastAsia="Times New Roman" w:hAnsi="Times New Roman" w:cs="Times New Roman"/>
        </w:rPr>
        <w:t>t</w:t>
      </w:r>
      <w:r>
        <w:rPr>
          <w:rFonts w:ascii="Times New Roman" w:eastAsia="Times New Roman" w:hAnsi="Times New Roman" w:cs="Times New Roman"/>
          <w:spacing w:val="-1"/>
        </w:rPr>
        <w:t>he</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1"/>
        </w:rPr>
        <w:t>calibration</w:t>
      </w:r>
      <w:r>
        <w:rPr>
          <w:rFonts w:ascii="Times New Roman" w:eastAsia="Times New Roman" w:hAnsi="Times New Roman" w:cs="Times New Roman"/>
          <w:spacing w:val="27"/>
          <w:w w:val="102"/>
        </w:rPr>
        <w:t xml:space="preserve"> </w:t>
      </w:r>
      <w:r>
        <w:rPr>
          <w:rFonts w:ascii="Times New Roman" w:eastAsia="Times New Roman" w:hAnsi="Times New Roman" w:cs="Times New Roman"/>
          <w:spacing w:val="-1"/>
        </w:rPr>
        <w:t>of</w:t>
      </w:r>
      <w:r>
        <w:rPr>
          <w:rFonts w:ascii="Times New Roman" w:eastAsia="Times New Roman" w:hAnsi="Times New Roman" w:cs="Times New Roman"/>
          <w:spacing w:val="13"/>
          <w:w w:val="102"/>
        </w:rPr>
        <w:t xml:space="preserve"> </w:t>
      </w:r>
      <w:r>
        <w:rPr>
          <w:rFonts w:ascii="Times New Roman" w:eastAsia="Times New Roman" w:hAnsi="Times New Roman" w:cs="Times New Roman"/>
          <w:spacing w:val="-1"/>
        </w:rPr>
        <w:t>supral</w:t>
      </w:r>
      <w:r>
        <w:rPr>
          <w:rFonts w:ascii="Times New Roman" w:eastAsia="Times New Roman" w:hAnsi="Times New Roman" w:cs="Times New Roman"/>
          <w:spacing w:val="28"/>
          <w:w w:val="102"/>
        </w:rPr>
        <w:t xml:space="preserve"> </w:t>
      </w:r>
      <w:r>
        <w:rPr>
          <w:rFonts w:ascii="Times New Roman" w:eastAsia="Times New Roman" w:hAnsi="Times New Roman" w:cs="Times New Roman"/>
          <w:spacing w:val="-1"/>
        </w:rPr>
        <w:t>-aural</w:t>
      </w:r>
      <w:r>
        <w:rPr>
          <w:rFonts w:ascii="Times New Roman" w:eastAsia="Times New Roman" w:hAnsi="Times New Roman" w:cs="Times New Roman"/>
          <w:spacing w:val="28"/>
        </w:rPr>
        <w:t xml:space="preserve"> </w:t>
      </w:r>
      <w:r>
        <w:rPr>
          <w:rFonts w:ascii="Times New Roman" w:eastAsia="Times New Roman" w:hAnsi="Times New Roman" w:cs="Times New Roman"/>
          <w:spacing w:val="-1"/>
        </w:rPr>
        <w:t>earphones</w:t>
      </w:r>
      <w:r>
        <w:rPr>
          <w:rFonts w:ascii="Times New Roman" w:eastAsia="Times New Roman" w:hAnsi="Times New Roman" w:cs="Times New Roman"/>
        </w:rPr>
        <w:t xml:space="preserve"> </w:t>
      </w:r>
      <w:r>
        <w:rPr>
          <w:rFonts w:ascii="Times New Roman" w:eastAsia="Times New Roman" w:hAnsi="Times New Roman" w:cs="Times New Roman"/>
          <w:spacing w:val="-1"/>
          <w:sz w:val="13"/>
          <w:szCs w:val="13"/>
        </w:rPr>
        <w:t>used</w:t>
      </w:r>
      <w:r>
        <w:rPr>
          <w:rFonts w:ascii="Times New Roman" w:eastAsia="Times New Roman" w:hAnsi="Times New Roman" w:cs="Times New Roman"/>
          <w:spacing w:val="9"/>
          <w:sz w:val="13"/>
          <w:szCs w:val="13"/>
        </w:rPr>
        <w:t xml:space="preserve">   </w:t>
      </w:r>
      <w:r>
        <w:rPr>
          <w:rFonts w:ascii="Times New Roman" w:eastAsia="Times New Roman" w:hAnsi="Times New Roman" w:cs="Times New Roman"/>
          <w:spacing w:val="-1"/>
          <w:sz w:val="13"/>
          <w:szCs w:val="13"/>
        </w:rPr>
        <w:t>in</w:t>
      </w:r>
      <w:r>
        <w:rPr>
          <w:rFonts w:ascii="Times New Roman" w:eastAsia="Times New Roman" w:hAnsi="Times New Roman" w:cs="Times New Roman"/>
          <w:spacing w:val="7"/>
          <w:sz w:val="13"/>
          <w:szCs w:val="13"/>
        </w:rPr>
        <w:t xml:space="preserve">   </w:t>
      </w:r>
      <w:r>
        <w:rPr>
          <w:rFonts w:ascii="Times New Roman" w:eastAsia="Times New Roman" w:hAnsi="Times New Roman" w:cs="Times New Roman"/>
          <w:spacing w:val="-1"/>
          <w:sz w:val="13"/>
          <w:szCs w:val="13"/>
        </w:rPr>
        <w:t>audiometry</w:t>
      </w:r>
      <w:r>
        <w:rPr>
          <w:spacing w:val="-1"/>
          <w:sz w:val="13"/>
          <w:szCs w:val="13"/>
        </w:rPr>
        <w:t>》</w:t>
      </w:r>
    </w:p>
    <w:p>
      <w:pPr>
        <w:pStyle w:val="BodyText"/>
        <w:spacing w:before="59" w:line="256" w:lineRule="auto"/>
        <w:ind w:left="339" w:right="770"/>
      </w:pPr>
      <w:r>
        <w:rPr>
          <w:rFonts w:ascii="Times New Roman" w:eastAsia="Times New Roman" w:hAnsi="Times New Roman" w:cs="Times New Roman"/>
          <w:spacing w:val="-1"/>
        </w:rPr>
        <w:t>IEC61094.1-1992</w:t>
      </w:r>
      <w:r>
        <w:rPr>
          <w:spacing w:val="-1"/>
        </w:rPr>
        <w:t>《</w:t>
      </w:r>
      <w:r>
        <w:rPr>
          <w:rFonts w:ascii="Times New Roman" w:eastAsia="Times New Roman" w:hAnsi="Times New Roman" w:cs="Times New Roman"/>
          <w:spacing w:val="-1"/>
        </w:rPr>
        <w:t>Part1:Specifications for laboratory standard microphones</w:t>
      </w:r>
      <w:r>
        <w:rPr>
          <w:spacing w:val="-1"/>
        </w:rPr>
        <w:t>》</w:t>
      </w:r>
      <w:r>
        <w:rPr>
          <w:spacing w:val="9"/>
        </w:rPr>
        <w:t xml:space="preserve"> </w:t>
      </w:r>
      <w:r>
        <w:rPr>
          <w:rFonts w:ascii="Times New Roman" w:eastAsia="Times New Roman" w:hAnsi="Times New Roman" w:cs="Times New Roman"/>
          <w:spacing w:val="-1"/>
        </w:rPr>
        <w:t>IEC61094.4-1995</w:t>
      </w:r>
      <w:r>
        <w:rPr>
          <w:spacing w:val="-1"/>
        </w:rPr>
        <w:t>《</w:t>
      </w:r>
      <w:r>
        <w:rPr>
          <w:rFonts w:ascii="Times New Roman" w:eastAsia="Times New Roman" w:hAnsi="Times New Roman" w:cs="Times New Roman"/>
          <w:spacing w:val="-1"/>
        </w:rPr>
        <w:t>Part4:Specifications for working standard microph</w:t>
      </w:r>
      <w:r>
        <w:rPr>
          <w:rFonts w:ascii="Times New Roman" w:eastAsia="Times New Roman" w:hAnsi="Times New Roman" w:cs="Times New Roman"/>
          <w:spacing w:val="-2"/>
        </w:rPr>
        <w:t>ones</w:t>
      </w:r>
      <w:r>
        <w:rPr>
          <w:spacing w:val="-2"/>
        </w:rPr>
        <w:t xml:space="preserve">》  </w:t>
      </w:r>
      <w:r>
        <w:rPr>
          <w:spacing w:val="-3"/>
        </w:rPr>
        <w:t>JJF1059—1999《测量不确定度评定与表示》</w:t>
      </w:r>
    </w:p>
    <w:p>
      <w:pPr>
        <w:pStyle w:val="BodyText"/>
        <w:spacing w:before="51" w:line="219" w:lineRule="auto"/>
        <w:ind w:left="339"/>
      </w:pPr>
      <w:r>
        <w:rPr>
          <w:spacing w:val="1"/>
        </w:rPr>
        <w:t>使用本规程时，应注意使用上述引用文献的现行有效版本。</w:t>
      </w:r>
    </w:p>
    <w:p>
      <w:pPr>
        <w:spacing w:before="168" w:line="221" w:lineRule="auto"/>
        <w:ind w:left="2"/>
        <w:rPr>
          <w:rFonts w:ascii="SimHei" w:eastAsia="SimHei" w:hAnsi="SimHei" w:cs="SimHei"/>
          <w:sz w:val="16"/>
          <w:szCs w:val="16"/>
        </w:rPr>
      </w:pPr>
      <w:r>
        <w:rPr>
          <w:rFonts w:ascii="SimHei" w:eastAsia="SimHei" w:hAnsi="SimHei" w:cs="SimHei"/>
          <w:b/>
          <w:bCs/>
          <w:spacing w:val="-5"/>
          <w:sz w:val="16"/>
          <w:szCs w:val="16"/>
        </w:rPr>
        <w:t>3</w:t>
      </w:r>
      <w:r>
        <w:rPr>
          <w:rFonts w:ascii="SimHei" w:eastAsia="SimHei" w:hAnsi="SimHei" w:cs="SimHei"/>
          <w:spacing w:val="76"/>
          <w:w w:val="101"/>
          <w:sz w:val="16"/>
          <w:szCs w:val="16"/>
        </w:rPr>
        <w:t xml:space="preserve"> </w:t>
      </w:r>
      <w:r>
        <w:rPr>
          <w:rFonts w:ascii="SimHei" w:eastAsia="SimHei" w:hAnsi="SimHei" w:cs="SimHei"/>
          <w:b/>
          <w:bCs/>
          <w:spacing w:val="-5"/>
          <w:sz w:val="16"/>
          <w:szCs w:val="16"/>
        </w:rPr>
        <w:t>概述</w:t>
      </w:r>
    </w:p>
    <w:p>
      <w:pPr>
        <w:pStyle w:val="BodyText"/>
        <w:spacing w:before="171" w:line="248" w:lineRule="auto"/>
        <w:ind w:right="9" w:firstLine="339"/>
      </w:pPr>
      <w:r>
        <w:rPr>
          <w:spacing w:val="2"/>
        </w:rPr>
        <w:t>仿真耳也称耳模拟器，它是由一个经校准过、并规定型号的声压型测量传声</w:t>
      </w:r>
      <w:r>
        <w:rPr>
          <w:spacing w:val="1"/>
        </w:rPr>
        <w:t>器和声</w:t>
      </w:r>
      <w:r>
        <w:t xml:space="preserve"> </w:t>
      </w:r>
      <w:r>
        <w:rPr>
          <w:spacing w:val="2"/>
        </w:rPr>
        <w:t>耦合腔或由模拟耳道口声阻抗的声学组件组成，用于对耳机</w:t>
      </w:r>
      <w:r>
        <w:rPr>
          <w:spacing w:val="1"/>
        </w:rPr>
        <w:t>的客观校准。</w:t>
      </w:r>
    </w:p>
    <w:p>
      <w:pPr>
        <w:spacing w:before="169" w:line="222" w:lineRule="auto"/>
        <w:ind w:left="2"/>
        <w:rPr>
          <w:rFonts w:ascii="SimHei" w:eastAsia="SimHei" w:hAnsi="SimHei" w:cs="SimHei"/>
          <w:sz w:val="16"/>
          <w:szCs w:val="16"/>
        </w:rPr>
      </w:pPr>
      <w:r>
        <w:rPr>
          <w:rFonts w:ascii="SimHei" w:eastAsia="SimHei" w:hAnsi="SimHei" w:cs="SimHei"/>
          <w:b/>
          <w:bCs/>
          <w:spacing w:val="-3"/>
          <w:sz w:val="16"/>
          <w:szCs w:val="16"/>
        </w:rPr>
        <w:t>4</w:t>
      </w:r>
      <w:r>
        <w:rPr>
          <w:rFonts w:ascii="SimHei" w:eastAsia="SimHei" w:hAnsi="SimHei" w:cs="SimHei"/>
          <w:spacing w:val="72"/>
          <w:sz w:val="16"/>
          <w:szCs w:val="16"/>
        </w:rPr>
        <w:t xml:space="preserve"> </w:t>
      </w:r>
      <w:r>
        <w:rPr>
          <w:rFonts w:ascii="SimHei" w:eastAsia="SimHei" w:hAnsi="SimHei" w:cs="SimHei"/>
          <w:b/>
          <w:bCs/>
          <w:spacing w:val="-3"/>
          <w:sz w:val="16"/>
          <w:szCs w:val="16"/>
        </w:rPr>
        <w:t>计量性能要求</w:t>
      </w:r>
    </w:p>
    <w:p>
      <w:pPr>
        <w:pStyle w:val="BodyText"/>
        <w:spacing w:before="180" w:line="219" w:lineRule="auto"/>
      </w:pPr>
      <w:r>
        <w:rPr>
          <w:spacing w:val="2"/>
        </w:rPr>
        <w:t>4.1</w:t>
      </w:r>
      <w:r>
        <w:rPr>
          <w:spacing w:val="60"/>
        </w:rPr>
        <w:t xml:space="preserve"> </w:t>
      </w:r>
      <w:r>
        <w:rPr>
          <w:spacing w:val="2"/>
        </w:rPr>
        <w:t>频率范围</w:t>
      </w:r>
    </w:p>
    <w:p>
      <w:pPr>
        <w:pStyle w:val="BodyText"/>
        <w:spacing w:before="39" w:line="258" w:lineRule="auto"/>
        <w:ind w:right="10" w:firstLine="339"/>
        <w:jc w:val="both"/>
      </w:pPr>
      <w:r>
        <w:rPr>
          <w:spacing w:val="4"/>
        </w:rPr>
        <w:t>仿真耳的频率范围一般为20</w:t>
      </w:r>
      <w:r>
        <w:t>Hz</w:t>
      </w:r>
      <w:r>
        <w:rPr>
          <w:spacing w:val="4"/>
        </w:rPr>
        <w:t>~10</w:t>
      </w:r>
      <w:r>
        <w:t>kHz</w:t>
      </w:r>
      <w:r>
        <w:rPr>
          <w:spacing w:val="4"/>
        </w:rPr>
        <w:t>;</w:t>
      </w:r>
      <w:r>
        <w:rPr>
          <w:spacing w:val="88"/>
        </w:rPr>
        <w:t xml:space="preserve"> </w:t>
      </w:r>
      <w:r>
        <w:rPr>
          <w:spacing w:val="4"/>
        </w:rPr>
        <w:t>对仅用于检定测听耳机的仿真耳，频率范</w:t>
      </w:r>
      <w:r>
        <w:t xml:space="preserve"> </w:t>
      </w:r>
      <w:r>
        <w:rPr>
          <w:spacing w:val="3"/>
        </w:rPr>
        <w:t>围可在125</w:t>
      </w:r>
      <w:r>
        <w:rPr>
          <w:rFonts w:ascii="Times New Roman" w:eastAsia="Times New Roman" w:hAnsi="Times New Roman" w:cs="Times New Roman"/>
        </w:rPr>
        <w:t>Hz</w:t>
      </w:r>
      <w:r>
        <w:rPr>
          <w:rFonts w:ascii="Times New Roman" w:eastAsia="Times New Roman" w:hAnsi="Times New Roman" w:cs="Times New Roman"/>
          <w:spacing w:val="3"/>
        </w:rPr>
        <w:t>~8</w:t>
      </w:r>
      <w:r>
        <w:rPr>
          <w:rFonts w:ascii="Times New Roman" w:eastAsia="Times New Roman" w:hAnsi="Times New Roman" w:cs="Times New Roman"/>
        </w:rPr>
        <w:t>kHz</w:t>
      </w:r>
      <w:r>
        <w:rPr>
          <w:rFonts w:ascii="Times New Roman" w:eastAsia="Times New Roman" w:hAnsi="Times New Roman" w:cs="Times New Roman"/>
          <w:spacing w:val="37"/>
        </w:rPr>
        <w:t xml:space="preserve"> </w:t>
      </w:r>
      <w:r>
        <w:rPr>
          <w:spacing w:val="3"/>
        </w:rPr>
        <w:t>之间；对用于扩展高频范围内检定测听耳机用的临时耦合腔，扩展</w:t>
      </w:r>
      <w:r>
        <w:t xml:space="preserve"> </w:t>
      </w:r>
      <w:r>
        <w:rPr>
          <w:spacing w:val="3"/>
        </w:rPr>
        <w:t>频率范围应为8</w:t>
      </w:r>
      <w:r>
        <w:rPr>
          <w:rFonts w:ascii="Times New Roman" w:eastAsia="Times New Roman" w:hAnsi="Times New Roman" w:cs="Times New Roman"/>
        </w:rPr>
        <w:t>kHz</w:t>
      </w:r>
      <w:r>
        <w:rPr>
          <w:rFonts w:ascii="Times New Roman" w:eastAsia="Times New Roman" w:hAnsi="Times New Roman" w:cs="Times New Roman"/>
          <w:spacing w:val="3"/>
        </w:rPr>
        <w:t>~16</w:t>
      </w:r>
      <w:r>
        <w:rPr>
          <w:rFonts w:ascii="Times New Roman" w:eastAsia="Times New Roman" w:hAnsi="Times New Roman" w:cs="Times New Roman"/>
        </w:rPr>
        <w:t>kHz</w:t>
      </w:r>
      <w:r>
        <w:rPr>
          <w:spacing w:val="3"/>
        </w:rPr>
        <w:t>。</w:t>
      </w:r>
    </w:p>
    <w:p>
      <w:pPr>
        <w:pStyle w:val="BodyText"/>
        <w:spacing w:before="60" w:line="219" w:lineRule="auto"/>
      </w:pPr>
      <w:r>
        <w:rPr>
          <w:spacing w:val="1"/>
        </w:rPr>
        <w:t>4.2</w:t>
      </w:r>
      <w:r>
        <w:rPr>
          <w:spacing w:val="60"/>
          <w:w w:val="101"/>
        </w:rPr>
        <w:t xml:space="preserve"> </w:t>
      </w:r>
      <w:r>
        <w:rPr>
          <w:spacing w:val="1"/>
        </w:rPr>
        <w:t>声耦合腔</w:t>
      </w:r>
    </w:p>
    <w:p>
      <w:pPr>
        <w:pStyle w:val="BodyText"/>
        <w:spacing w:before="40" w:line="219" w:lineRule="auto"/>
        <w:ind w:left="339"/>
      </w:pPr>
      <w:r>
        <w:rPr>
          <w:spacing w:val="2"/>
        </w:rPr>
        <w:t>声耦合腔的结构和有效体积应符合</w:t>
      </w:r>
      <w:r>
        <w:t>IEC</w:t>
      </w:r>
      <w:r>
        <w:rPr>
          <w:spacing w:val="2"/>
        </w:rPr>
        <w:t>60318:1998 的相</w:t>
      </w:r>
      <w:r>
        <w:rPr>
          <w:spacing w:val="1"/>
        </w:rPr>
        <w:t>关规定。</w:t>
      </w:r>
    </w:p>
    <w:p>
      <w:pPr>
        <w:pStyle w:val="BodyText"/>
        <w:spacing w:before="59" w:line="219" w:lineRule="auto"/>
        <w:sectPr>
          <w:headerReference w:type="default" r:id="rId4"/>
          <w:footerReference w:type="default" r:id="rId5"/>
          <w:pgSz w:w="7420" w:h="10340"/>
          <w:pgMar w:top="567" w:right="589" w:bottom="367" w:left="649" w:header="491" w:footer="258" w:gutter="0"/>
          <w:cols w:space="708"/>
        </w:sectPr>
      </w:pPr>
      <w:r>
        <w:rPr>
          <w:spacing w:val="-2"/>
        </w:rPr>
        <w:t>4.3</w:t>
      </w:r>
      <w:r>
        <w:rPr>
          <w:spacing w:val="69"/>
        </w:rPr>
        <w:t xml:space="preserve"> </w:t>
      </w:r>
      <w:r>
        <w:rPr>
          <w:spacing w:val="-2"/>
        </w:rPr>
        <w:t>静压力均衡</w:t>
      </w:r>
    </w:p>
    <w:p>
      <w:pPr>
        <w:pStyle w:val="BodyText"/>
        <w:spacing w:before="42" w:line="248" w:lineRule="auto"/>
        <w:ind w:right="13" w:firstLine="339"/>
      </w:pPr>
      <w:r>
        <w:rPr>
          <w:spacing w:val="5"/>
        </w:rPr>
        <w:t>当用一个孔塞塞住或打开静压力均压孔时，在100</w:t>
      </w:r>
      <w:r>
        <w:rPr>
          <w:rFonts w:ascii="Times New Roman" w:eastAsia="Times New Roman" w:hAnsi="Times New Roman" w:cs="Times New Roman"/>
        </w:rPr>
        <w:t>Hz</w:t>
      </w:r>
      <w:r>
        <w:rPr>
          <w:spacing w:val="5"/>
        </w:rPr>
        <w:t>～</w:t>
      </w:r>
      <w:r>
        <w:rPr>
          <w:rFonts w:ascii="Times New Roman" w:eastAsia="Times New Roman" w:hAnsi="Times New Roman" w:cs="Times New Roman"/>
          <w:spacing w:val="5"/>
        </w:rPr>
        <w:t>10</w:t>
      </w:r>
      <w:r>
        <w:rPr>
          <w:rFonts w:ascii="Times New Roman" w:eastAsia="Times New Roman" w:hAnsi="Times New Roman" w:cs="Times New Roman"/>
        </w:rPr>
        <w:t>kHz</w:t>
      </w:r>
      <w:r>
        <w:rPr>
          <w:spacing w:val="5"/>
        </w:rPr>
        <w:t>频率范围内，</w:t>
      </w:r>
      <w:r>
        <w:rPr>
          <w:spacing w:val="4"/>
        </w:rPr>
        <w:t>在耳机</w:t>
      </w:r>
      <w:r>
        <w:t xml:space="preserve"> </w:t>
      </w:r>
      <w:r>
        <w:rPr>
          <w:spacing w:val="1"/>
        </w:rPr>
        <w:t>端产生的声压差应不大于0.2</w:t>
      </w:r>
      <w:r>
        <w:rPr>
          <w:rFonts w:ascii="Times New Roman" w:eastAsia="Times New Roman" w:hAnsi="Times New Roman" w:cs="Times New Roman"/>
        </w:rPr>
        <w:t>dB</w:t>
      </w:r>
      <w:r>
        <w:rPr>
          <w:spacing w:val="1"/>
        </w:rPr>
        <w:t>。</w:t>
      </w:r>
    </w:p>
    <w:p>
      <w:pPr>
        <w:pStyle w:val="BodyText"/>
        <w:spacing w:before="59" w:line="219" w:lineRule="auto"/>
      </w:pPr>
      <w:r>
        <w:rPr>
          <w:spacing w:val="1"/>
        </w:rPr>
        <w:t>4.4</w:t>
      </w:r>
      <w:r>
        <w:rPr>
          <w:spacing w:val="59"/>
          <w:w w:val="101"/>
        </w:rPr>
        <w:t xml:space="preserve"> </w:t>
      </w:r>
      <w:r>
        <w:rPr>
          <w:spacing w:val="1"/>
        </w:rPr>
        <w:t>传声器</w:t>
      </w:r>
    </w:p>
    <w:p>
      <w:pPr>
        <w:pStyle w:val="BodyText"/>
        <w:spacing w:before="49" w:line="249" w:lineRule="auto"/>
        <w:ind w:right="11" w:firstLine="339"/>
        <w:jc w:val="both"/>
      </w:pPr>
      <w:r>
        <w:rPr>
          <w:spacing w:val="4"/>
        </w:rPr>
        <w:t>仿真耳的传声器应符合</w:t>
      </w:r>
      <w:r>
        <w:t>IEC</w:t>
      </w:r>
      <w:r>
        <w:rPr>
          <w:spacing w:val="4"/>
        </w:rPr>
        <w:t xml:space="preserve">61094-4:1995  </w:t>
      </w:r>
      <w:r>
        <w:rPr>
          <w:spacing w:val="3"/>
        </w:rPr>
        <w:t>的技术要求，其频率响应的允差规定见</w:t>
      </w:r>
      <w:r>
        <w:t xml:space="preserve"> </w:t>
      </w:r>
      <w:r>
        <w:rPr>
          <w:spacing w:val="11"/>
        </w:rPr>
        <w:t>表1,传声器的声压灵敏度级(包括测量系统)在规定频</w:t>
      </w:r>
      <w:r>
        <w:rPr>
          <w:spacing w:val="10"/>
        </w:rPr>
        <w:t>率范围内应是已知的，其测量</w:t>
      </w:r>
      <w:r>
        <w:t xml:space="preserve"> </w:t>
      </w:r>
      <w:r>
        <w:rPr>
          <w:spacing w:val="2"/>
        </w:rPr>
        <w:t>扩展不确定度应不大于0.2</w:t>
      </w:r>
      <w:r>
        <w:rPr>
          <w:rFonts w:ascii="Times New Roman" w:eastAsia="Times New Roman" w:hAnsi="Times New Roman" w:cs="Times New Roman"/>
        </w:rPr>
        <w:t>dB</w:t>
      </w:r>
      <w:r>
        <w:rPr>
          <w:rFonts w:ascii="Times New Roman" w:eastAsia="Times New Roman" w:hAnsi="Times New Roman" w:cs="Times New Roman"/>
          <w:spacing w:val="2"/>
        </w:rPr>
        <w:t>(k=2)</w:t>
      </w:r>
      <w:r>
        <w:rPr>
          <w:spacing w:val="2"/>
        </w:rPr>
        <w:t>。</w:t>
      </w:r>
    </w:p>
    <w:p>
      <w:pPr>
        <w:spacing w:line="249" w:lineRule="auto"/>
        <w:sectPr>
          <w:headerReference w:type="default" r:id="rId6"/>
          <w:footerReference w:type="default" r:id="rId7"/>
          <w:type w:val="nextPage"/>
          <w:pgSz w:w="7420" w:h="10340"/>
          <w:pgMar w:top="567" w:right="589" w:bottom="367" w:left="649" w:header="491" w:footer="258" w:gutter="0"/>
          <w:pgNumType w:start="2"/>
          <w:cols w:space="708"/>
          <w:titlePg w:val="0"/>
        </w:sectPr>
      </w:pPr>
    </w:p>
    <w:p>
      <w:pPr>
        <w:spacing w:before="274" w:line="222" w:lineRule="auto"/>
        <w:ind w:left="12"/>
        <w:rPr>
          <w:rFonts w:ascii="SimHei" w:eastAsia="SimHei" w:hAnsi="SimHei" w:cs="SimHei"/>
          <w:sz w:val="16"/>
          <w:szCs w:val="16"/>
        </w:rPr>
      </w:pPr>
      <w:r>
        <w:rPr>
          <w:rFonts w:ascii="SimHei" w:eastAsia="SimHei" w:hAnsi="SimHei" w:cs="SimHei"/>
          <w:b/>
          <w:bCs/>
          <w:spacing w:val="-3"/>
          <w:sz w:val="16"/>
          <w:szCs w:val="16"/>
        </w:rPr>
        <w:t>5</w:t>
      </w:r>
      <w:r>
        <w:rPr>
          <w:rFonts w:ascii="SimHei" w:eastAsia="SimHei" w:hAnsi="SimHei" w:cs="SimHei"/>
          <w:spacing w:val="64"/>
          <w:sz w:val="16"/>
          <w:szCs w:val="16"/>
        </w:rPr>
        <w:t xml:space="preserve"> </w:t>
      </w:r>
      <w:r>
        <w:rPr>
          <w:rFonts w:ascii="SimHei" w:eastAsia="SimHei" w:hAnsi="SimHei" w:cs="SimHei"/>
          <w:b/>
          <w:bCs/>
          <w:spacing w:val="-3"/>
          <w:sz w:val="16"/>
          <w:szCs w:val="16"/>
        </w:rPr>
        <w:t>通用技术要求</w:t>
      </w:r>
    </w:p>
    <w:p>
      <w:pPr>
        <w:pStyle w:val="BodyText"/>
        <w:spacing w:before="168" w:line="219" w:lineRule="auto"/>
        <w:ind w:left="9"/>
      </w:pPr>
      <w:r>
        <w:rPr>
          <w:spacing w:val="-3"/>
        </w:rPr>
        <w:t>5.1</w:t>
      </w:r>
      <w:r>
        <w:rPr>
          <w:spacing w:val="60"/>
          <w:w w:val="101"/>
        </w:rPr>
        <w:t xml:space="preserve"> </w:t>
      </w:r>
      <w:r>
        <w:rPr>
          <w:spacing w:val="-3"/>
        </w:rPr>
        <w:t>材料</w:t>
      </w:r>
    </w:p>
    <w:p>
      <w:pPr>
        <w:pStyle w:val="BodyText"/>
        <w:spacing w:before="50" w:line="219" w:lineRule="auto"/>
        <w:ind w:left="339"/>
      </w:pPr>
      <w:r>
        <w:rPr>
          <w:spacing w:val="7"/>
        </w:rPr>
        <w:t>仿真耳应使用坚硬的、稳定的非磁性材料(如黄铜)制成。</w:t>
      </w:r>
    </w:p>
    <w:p>
      <w:pPr>
        <w:pStyle w:val="BodyText"/>
        <w:spacing w:before="50" w:line="219" w:lineRule="auto"/>
        <w:ind w:left="9"/>
      </w:pPr>
      <w:r>
        <w:rPr>
          <w:spacing w:val="-2"/>
        </w:rPr>
        <w:t>5.2  铭牌</w:t>
      </w:r>
      <w:r>
        <w:rPr>
          <w:spacing w:val="14"/>
        </w:rPr>
        <w:t xml:space="preserve">  </w:t>
      </w:r>
      <w:r>
        <w:rPr>
          <w:spacing w:val="-2"/>
        </w:rPr>
        <w:t>标志和使用说明书</w:t>
      </w:r>
    </w:p>
    <w:p>
      <w:pPr>
        <w:pStyle w:val="BodyText"/>
        <w:spacing w:before="50" w:line="249" w:lineRule="auto"/>
        <w:ind w:left="339" w:right="2920" w:hanging="330"/>
      </w:pPr>
      <w:r>
        <w:rPr>
          <w:spacing w:val="1"/>
        </w:rPr>
        <w:t>5.2.1</w:t>
      </w:r>
      <w:r>
        <w:rPr>
          <w:spacing w:val="59"/>
          <w:w w:val="101"/>
        </w:rPr>
        <w:t xml:space="preserve"> </w:t>
      </w:r>
      <w:r>
        <w:rPr>
          <w:spacing w:val="1"/>
        </w:rPr>
        <w:t>仿真耳应具有以下清晰而耐久的</w:t>
      </w:r>
      <w:r>
        <w:t xml:space="preserve">标志： </w:t>
      </w:r>
      <w:r>
        <w:rPr>
          <w:spacing w:val="4"/>
        </w:rPr>
        <w:t>1)制造商的名称；</w:t>
      </w:r>
    </w:p>
    <w:p>
      <w:pPr>
        <w:pStyle w:val="BodyText"/>
        <w:spacing w:before="39" w:line="219" w:lineRule="auto"/>
        <w:ind w:left="339"/>
      </w:pPr>
      <w:r>
        <w:rPr>
          <w:spacing w:val="5"/>
        </w:rPr>
        <w:t>2)产品的型号和序列号。</w:t>
      </w:r>
    </w:p>
    <w:p>
      <w:pPr>
        <w:pStyle w:val="BodyText"/>
        <w:spacing w:before="49" w:line="255" w:lineRule="auto"/>
        <w:ind w:left="9" w:right="22"/>
      </w:pPr>
      <w:r>
        <w:rPr>
          <w:spacing w:val="5"/>
        </w:rPr>
        <w:t>5.2.2</w:t>
      </w:r>
      <w:r>
        <w:rPr>
          <w:spacing w:val="70"/>
        </w:rPr>
        <w:t xml:space="preserve"> </w:t>
      </w:r>
      <w:r>
        <w:rPr>
          <w:spacing w:val="5"/>
        </w:rPr>
        <w:t>非供操作者使用的部件，应采用密封或标记的方法加以保</w:t>
      </w:r>
      <w:r>
        <w:rPr>
          <w:spacing w:val="4"/>
        </w:rPr>
        <w:t>护，以免影响仿真耳</w:t>
      </w:r>
      <w:r>
        <w:t xml:space="preserve"> </w:t>
      </w:r>
      <w:r>
        <w:rPr>
          <w:spacing w:val="-7"/>
        </w:rPr>
        <w:t>的准确度。</w:t>
      </w:r>
    </w:p>
    <w:p>
      <w:pPr>
        <w:pStyle w:val="BodyText"/>
        <w:spacing w:before="48" w:line="219" w:lineRule="auto"/>
        <w:ind w:left="9"/>
      </w:pPr>
      <w:r>
        <w:rPr>
          <w:spacing w:val="1"/>
        </w:rPr>
        <w:t>5.2.3</w:t>
      </w:r>
      <w:r>
        <w:rPr>
          <w:spacing w:val="79"/>
          <w:w w:val="101"/>
        </w:rPr>
        <w:t xml:space="preserve"> </w:t>
      </w:r>
      <w:r>
        <w:rPr>
          <w:spacing w:val="1"/>
        </w:rPr>
        <w:t>每台仿真耳应附有使用说明书，包括所有附件的资料。</w:t>
      </w:r>
    </w:p>
    <w:p>
      <w:pPr>
        <w:spacing w:before="47" w:line="212" w:lineRule="auto"/>
        <w:ind w:left="2061"/>
        <w:rPr>
          <w:rFonts w:ascii="Times New Roman" w:eastAsia="Times New Roman" w:hAnsi="Times New Roman" w:cs="Times New Roman"/>
          <w:sz w:val="13"/>
          <w:szCs w:val="13"/>
        </w:rPr>
      </w:pPr>
      <w:r>
        <w:rPr>
          <w:rFonts w:ascii="SimHei" w:eastAsia="SimHei" w:hAnsi="SimHei" w:cs="SimHei"/>
          <w:b/>
          <w:bCs/>
          <w:spacing w:val="6"/>
          <w:sz w:val="13"/>
          <w:szCs w:val="13"/>
        </w:rPr>
        <w:t>表</w:t>
      </w:r>
      <w:r>
        <w:rPr>
          <w:rFonts w:ascii="SimHei" w:eastAsia="SimHei" w:hAnsi="SimHei" w:cs="SimHei"/>
          <w:spacing w:val="-6"/>
          <w:sz w:val="13"/>
          <w:szCs w:val="13"/>
        </w:rPr>
        <w:t xml:space="preserve"> </w:t>
      </w:r>
      <w:r>
        <w:rPr>
          <w:rFonts w:ascii="SimHei" w:eastAsia="SimHei" w:hAnsi="SimHei" w:cs="SimHei"/>
          <w:b/>
          <w:bCs/>
          <w:spacing w:val="6"/>
          <w:sz w:val="13"/>
          <w:szCs w:val="13"/>
        </w:rPr>
        <w:t>1</w:t>
      </w:r>
      <w:r>
        <w:rPr>
          <w:rFonts w:ascii="SimHei" w:eastAsia="SimHei" w:hAnsi="SimHei" w:cs="SimHei"/>
          <w:spacing w:val="52"/>
          <w:sz w:val="13"/>
          <w:szCs w:val="13"/>
        </w:rPr>
        <w:t xml:space="preserve"> </w:t>
      </w:r>
      <w:r>
        <w:rPr>
          <w:rFonts w:ascii="SimHei" w:eastAsia="SimHei" w:hAnsi="SimHei" w:cs="SimHei"/>
          <w:b/>
          <w:bCs/>
          <w:spacing w:val="6"/>
          <w:sz w:val="13"/>
          <w:szCs w:val="13"/>
        </w:rPr>
        <w:t>传声器频率响应的允差</w:t>
      </w:r>
      <w:r>
        <w:rPr>
          <w:rFonts w:ascii="SimHei" w:eastAsia="SimHei" w:hAnsi="SimHei" w:cs="SimHei"/>
          <w:spacing w:val="6"/>
          <w:sz w:val="13"/>
          <w:szCs w:val="13"/>
        </w:rPr>
        <w:t xml:space="preserve"> </w:t>
      </w:r>
      <w:r>
        <w:rPr>
          <w:rFonts w:ascii="Times New Roman" w:eastAsia="Times New Roman" w:hAnsi="Times New Roman" w:cs="Times New Roman"/>
          <w:b/>
          <w:bCs/>
          <w:spacing w:val="6"/>
          <w:sz w:val="13"/>
          <w:szCs w:val="13"/>
        </w:rPr>
        <w:t>(</w:t>
      </w:r>
      <w:r>
        <w:rPr>
          <w:rFonts w:ascii="Times New Roman" w:eastAsia="Times New Roman" w:hAnsi="Times New Roman" w:cs="Times New Roman"/>
          <w:b/>
          <w:bCs/>
          <w:sz w:val="13"/>
          <w:szCs w:val="13"/>
        </w:rPr>
        <w:t>dB</w:t>
      </w:r>
      <w:r>
        <w:rPr>
          <w:rFonts w:ascii="Times New Roman" w:eastAsia="Times New Roman" w:hAnsi="Times New Roman" w:cs="Times New Roman"/>
          <w:b/>
          <w:bCs/>
          <w:spacing w:val="6"/>
          <w:sz w:val="13"/>
          <w:szCs w:val="13"/>
        </w:rPr>
        <w:t>)</w:t>
      </w:r>
    </w:p>
    <w:tbl>
      <w:tblPr>
        <w:tblStyle w:val="TableNormal0"/>
        <w:tblW w:w="608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2"/>
        <w:gridCol w:w="2126"/>
        <w:gridCol w:w="2121"/>
      </w:tblGrid>
      <w:tr>
        <w:tblPrEx>
          <w:tblW w:w="608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5"/>
        </w:trPr>
        <w:tc>
          <w:tcPr>
            <w:tcW w:w="1842" w:type="dxa"/>
            <w:vAlign w:val="top"/>
          </w:tcPr>
          <w:p>
            <w:pPr>
              <w:pStyle w:val="TableText"/>
              <w:spacing w:before="70" w:line="219" w:lineRule="auto"/>
              <w:ind w:left="685"/>
            </w:pPr>
            <w:r>
              <w:rPr>
                <w:spacing w:val="-1"/>
              </w:rPr>
              <w:t>频率/Hz</w:t>
            </w:r>
          </w:p>
        </w:tc>
        <w:tc>
          <w:tcPr>
            <w:tcW w:w="2126" w:type="dxa"/>
            <w:vAlign w:val="top"/>
          </w:tcPr>
          <w:p>
            <w:pPr>
              <w:pStyle w:val="TableText"/>
              <w:spacing w:before="70" w:line="219" w:lineRule="auto"/>
              <w:ind w:left="772"/>
            </w:pPr>
            <w:r>
              <w:rPr>
                <w:spacing w:val="-5"/>
              </w:rPr>
              <w:t>类</w:t>
            </w:r>
            <w:r>
              <w:rPr>
                <w:spacing w:val="-22"/>
              </w:rPr>
              <w:t xml:space="preserve"> </w:t>
            </w:r>
            <w:r>
              <w:rPr>
                <w:spacing w:val="-5"/>
              </w:rPr>
              <w:t>型</w:t>
            </w:r>
            <w:r>
              <w:rPr>
                <w:spacing w:val="-33"/>
              </w:rPr>
              <w:t xml:space="preserve"> </w:t>
            </w:r>
            <w:r>
              <w:rPr>
                <w:spacing w:val="-5"/>
              </w:rPr>
              <w:t>W</w:t>
            </w:r>
            <w:r>
              <w:rPr>
                <w:spacing w:val="-29"/>
              </w:rPr>
              <w:t xml:space="preserve"> </w:t>
            </w:r>
            <w:r>
              <w:rPr>
                <w:spacing w:val="-5"/>
              </w:rPr>
              <w:t>S</w:t>
            </w:r>
            <w:r>
              <w:rPr>
                <w:spacing w:val="-20"/>
              </w:rPr>
              <w:t xml:space="preserve"> </w:t>
            </w:r>
            <w:r>
              <w:rPr>
                <w:spacing w:val="-5"/>
              </w:rPr>
              <w:t>1</w:t>
            </w:r>
          </w:p>
        </w:tc>
        <w:tc>
          <w:tcPr>
            <w:tcW w:w="2121" w:type="dxa"/>
            <w:vAlign w:val="top"/>
          </w:tcPr>
          <w:p>
            <w:pPr>
              <w:pStyle w:val="TableText"/>
              <w:spacing w:before="70" w:line="219" w:lineRule="auto"/>
              <w:ind w:left="776"/>
            </w:pPr>
            <w:r>
              <w:rPr>
                <w:spacing w:val="22"/>
              </w:rPr>
              <w:t>类型WS2</w:t>
            </w:r>
          </w:p>
        </w:tc>
      </w:tr>
      <w:tr>
        <w:tblPrEx>
          <w:tblW w:w="6089" w:type="dxa"/>
          <w:tblInd w:w="49" w:type="dxa"/>
          <w:tblLayout w:type="fixed"/>
        </w:tblPrEx>
        <w:trPr>
          <w:trHeight w:val="269"/>
        </w:trPr>
        <w:tc>
          <w:tcPr>
            <w:tcW w:w="1842" w:type="dxa"/>
            <w:vAlign w:val="top"/>
          </w:tcPr>
          <w:p>
            <w:pPr>
              <w:pStyle w:val="TableText"/>
              <w:spacing w:before="98" w:line="183" w:lineRule="auto"/>
              <w:ind w:left="845"/>
            </w:pPr>
            <w:r>
              <w:rPr>
                <w:spacing w:val="-2"/>
              </w:rPr>
              <w:t>20</w:t>
            </w:r>
          </w:p>
        </w:tc>
        <w:tc>
          <w:tcPr>
            <w:tcW w:w="2126" w:type="dxa"/>
            <w:vAlign w:val="top"/>
          </w:tcPr>
          <w:p>
            <w:pPr>
              <w:pStyle w:val="TableText"/>
              <w:spacing w:before="76" w:line="235" w:lineRule="auto"/>
              <w:ind w:left="892"/>
            </w:pPr>
            <w:r>
              <w:rPr>
                <w:spacing w:val="-5"/>
              </w:rPr>
              <w:t>±0.5</w:t>
            </w:r>
          </w:p>
        </w:tc>
        <w:tc>
          <w:tcPr>
            <w:tcW w:w="2121" w:type="dxa"/>
            <w:vAlign w:val="top"/>
          </w:tcPr>
          <w:p>
            <w:pPr>
              <w:pStyle w:val="TableText"/>
              <w:spacing w:before="76" w:line="235" w:lineRule="auto"/>
              <w:ind w:left="887"/>
            </w:pPr>
            <w:r>
              <w:rPr>
                <w:spacing w:val="-5"/>
              </w:rPr>
              <w:t>±0.5</w:t>
            </w:r>
          </w:p>
        </w:tc>
      </w:tr>
      <w:tr>
        <w:tblPrEx>
          <w:tblW w:w="6089" w:type="dxa"/>
          <w:tblInd w:w="49" w:type="dxa"/>
          <w:tblLayout w:type="fixed"/>
        </w:tblPrEx>
        <w:trPr>
          <w:trHeight w:val="260"/>
        </w:trPr>
        <w:tc>
          <w:tcPr>
            <w:tcW w:w="1842" w:type="dxa"/>
            <w:vAlign w:val="top"/>
          </w:tcPr>
          <w:p>
            <w:pPr>
              <w:pStyle w:val="TableText"/>
              <w:spacing w:before="99" w:line="183" w:lineRule="auto"/>
              <w:ind w:left="845"/>
            </w:pPr>
            <w:r>
              <w:rPr>
                <w:spacing w:val="-2"/>
              </w:rPr>
              <w:t>25</w:t>
            </w:r>
          </w:p>
        </w:tc>
        <w:tc>
          <w:tcPr>
            <w:tcW w:w="2126" w:type="dxa"/>
            <w:vAlign w:val="top"/>
          </w:tcPr>
          <w:p>
            <w:pPr>
              <w:pStyle w:val="TableText"/>
              <w:spacing w:before="77" w:line="235" w:lineRule="auto"/>
              <w:ind w:left="892"/>
            </w:pPr>
            <w:r>
              <w:rPr>
                <w:spacing w:val="-5"/>
              </w:rPr>
              <w:t>±0.5</w:t>
            </w:r>
          </w:p>
        </w:tc>
        <w:tc>
          <w:tcPr>
            <w:tcW w:w="2121" w:type="dxa"/>
            <w:vAlign w:val="top"/>
          </w:tcPr>
          <w:p>
            <w:pPr>
              <w:pStyle w:val="TableText"/>
              <w:spacing w:before="77" w:line="235" w:lineRule="auto"/>
              <w:ind w:left="887"/>
            </w:pPr>
            <w:r>
              <w:rPr>
                <w:spacing w:val="-5"/>
              </w:rPr>
              <w:t>±0.5</w:t>
            </w:r>
          </w:p>
        </w:tc>
      </w:tr>
      <w:tr>
        <w:tblPrEx>
          <w:tblW w:w="6089" w:type="dxa"/>
          <w:tblInd w:w="49" w:type="dxa"/>
          <w:tblLayout w:type="fixed"/>
        </w:tblPrEx>
        <w:trPr>
          <w:trHeight w:val="279"/>
        </w:trPr>
        <w:tc>
          <w:tcPr>
            <w:tcW w:w="1842" w:type="dxa"/>
            <w:vAlign w:val="top"/>
          </w:tcPr>
          <w:p>
            <w:pPr>
              <w:pStyle w:val="TableText"/>
              <w:spacing w:before="109" w:line="184" w:lineRule="auto"/>
              <w:ind w:left="785"/>
            </w:pPr>
            <w:r>
              <w:rPr>
                <w:spacing w:val="-2"/>
              </w:rPr>
              <w:t>31.5</w:t>
            </w:r>
          </w:p>
        </w:tc>
        <w:tc>
          <w:tcPr>
            <w:tcW w:w="2126" w:type="dxa"/>
            <w:vAlign w:val="top"/>
          </w:tcPr>
          <w:p>
            <w:pPr>
              <w:pStyle w:val="TableText"/>
              <w:spacing w:before="87" w:line="235" w:lineRule="auto"/>
              <w:ind w:left="892"/>
            </w:pPr>
            <w:r>
              <w:rPr>
                <w:spacing w:val="-5"/>
              </w:rPr>
              <w:t>±0.5</w:t>
            </w:r>
          </w:p>
        </w:tc>
        <w:tc>
          <w:tcPr>
            <w:tcW w:w="2121" w:type="dxa"/>
            <w:vAlign w:val="top"/>
          </w:tcPr>
          <w:p>
            <w:pPr>
              <w:pStyle w:val="TableText"/>
              <w:spacing w:before="87" w:line="235" w:lineRule="auto"/>
              <w:ind w:left="887"/>
            </w:pPr>
            <w:r>
              <w:rPr>
                <w:spacing w:val="-5"/>
              </w:rPr>
              <w:t>±0.5</w:t>
            </w:r>
          </w:p>
        </w:tc>
      </w:tr>
      <w:tr>
        <w:tblPrEx>
          <w:tblW w:w="6089" w:type="dxa"/>
          <w:tblInd w:w="49" w:type="dxa"/>
          <w:tblLayout w:type="fixed"/>
        </w:tblPrEx>
        <w:trPr>
          <w:trHeight w:val="260"/>
        </w:trPr>
        <w:tc>
          <w:tcPr>
            <w:tcW w:w="1842" w:type="dxa"/>
            <w:vAlign w:val="top"/>
          </w:tcPr>
          <w:p>
            <w:pPr>
              <w:pStyle w:val="TableText"/>
              <w:spacing w:before="100" w:line="183" w:lineRule="auto"/>
              <w:ind w:left="845"/>
            </w:pPr>
            <w:r>
              <w:rPr>
                <w:spacing w:val="-2"/>
              </w:rPr>
              <w:t>40</w:t>
            </w:r>
          </w:p>
        </w:tc>
        <w:tc>
          <w:tcPr>
            <w:tcW w:w="2126" w:type="dxa"/>
            <w:vAlign w:val="top"/>
          </w:tcPr>
          <w:p>
            <w:pPr>
              <w:pStyle w:val="TableText"/>
              <w:spacing w:before="78" w:line="235" w:lineRule="auto"/>
              <w:ind w:left="892"/>
            </w:pPr>
            <w:r>
              <w:rPr>
                <w:spacing w:val="-5"/>
              </w:rPr>
              <w:t>±0.5</w:t>
            </w:r>
          </w:p>
        </w:tc>
        <w:tc>
          <w:tcPr>
            <w:tcW w:w="2121" w:type="dxa"/>
            <w:vAlign w:val="top"/>
          </w:tcPr>
          <w:p>
            <w:pPr>
              <w:pStyle w:val="TableText"/>
              <w:spacing w:before="69" w:line="222" w:lineRule="auto"/>
              <w:ind w:left="927"/>
            </w:pPr>
            <w:r>
              <w:rPr>
                <w:spacing w:val="-6"/>
              </w:rPr>
              <w:t>±)5</w:t>
            </w:r>
          </w:p>
        </w:tc>
      </w:tr>
      <w:tr>
        <w:tblPrEx>
          <w:tblW w:w="6089" w:type="dxa"/>
          <w:tblInd w:w="49" w:type="dxa"/>
          <w:tblLayout w:type="fixed"/>
        </w:tblPrEx>
        <w:trPr>
          <w:trHeight w:val="269"/>
        </w:trPr>
        <w:tc>
          <w:tcPr>
            <w:tcW w:w="1842" w:type="dxa"/>
            <w:vAlign w:val="top"/>
          </w:tcPr>
          <w:p>
            <w:pPr>
              <w:pStyle w:val="TableText"/>
              <w:spacing w:before="100" w:line="183" w:lineRule="auto"/>
              <w:ind w:left="845"/>
            </w:pPr>
            <w:r>
              <w:rPr>
                <w:spacing w:val="-2"/>
              </w:rPr>
              <w:t>50</w:t>
            </w:r>
          </w:p>
        </w:tc>
        <w:tc>
          <w:tcPr>
            <w:tcW w:w="2126" w:type="dxa"/>
            <w:vAlign w:val="top"/>
          </w:tcPr>
          <w:p>
            <w:pPr>
              <w:pStyle w:val="TableText"/>
              <w:spacing w:before="78" w:line="235" w:lineRule="auto"/>
              <w:ind w:left="892"/>
            </w:pPr>
            <w:r>
              <w:rPr>
                <w:spacing w:val="-5"/>
              </w:rPr>
              <w:t>±0.5</w:t>
            </w:r>
          </w:p>
        </w:tc>
        <w:tc>
          <w:tcPr>
            <w:tcW w:w="2121" w:type="dxa"/>
            <w:vAlign w:val="top"/>
          </w:tcPr>
          <w:p>
            <w:pPr>
              <w:pStyle w:val="TableText"/>
              <w:spacing w:before="78" w:line="235" w:lineRule="auto"/>
              <w:ind w:left="887"/>
            </w:pPr>
            <w:r>
              <w:rPr>
                <w:spacing w:val="-5"/>
              </w:rPr>
              <w:t>±0.5</w:t>
            </w:r>
          </w:p>
        </w:tc>
      </w:tr>
      <w:tr>
        <w:tblPrEx>
          <w:tblW w:w="6089" w:type="dxa"/>
          <w:tblInd w:w="49" w:type="dxa"/>
          <w:tblLayout w:type="fixed"/>
        </w:tblPrEx>
        <w:trPr>
          <w:trHeight w:val="269"/>
        </w:trPr>
        <w:tc>
          <w:tcPr>
            <w:tcW w:w="1842" w:type="dxa"/>
            <w:vAlign w:val="top"/>
          </w:tcPr>
          <w:p>
            <w:pPr>
              <w:pStyle w:val="TableText"/>
              <w:spacing w:before="101" w:line="183" w:lineRule="auto"/>
              <w:ind w:left="845"/>
            </w:pPr>
            <w:r>
              <w:rPr>
                <w:spacing w:val="-2"/>
              </w:rPr>
              <w:t>63</w:t>
            </w:r>
          </w:p>
        </w:tc>
        <w:tc>
          <w:tcPr>
            <w:tcW w:w="2126" w:type="dxa"/>
            <w:vAlign w:val="top"/>
          </w:tcPr>
          <w:p>
            <w:pPr>
              <w:pStyle w:val="TableText"/>
              <w:spacing w:before="79" w:line="235" w:lineRule="auto"/>
              <w:ind w:left="892"/>
            </w:pPr>
            <w:r>
              <w:rPr>
                <w:spacing w:val="-5"/>
              </w:rPr>
              <w:t>±0.5</w:t>
            </w:r>
          </w:p>
        </w:tc>
        <w:tc>
          <w:tcPr>
            <w:tcW w:w="2121" w:type="dxa"/>
            <w:vAlign w:val="top"/>
          </w:tcPr>
          <w:p>
            <w:pPr>
              <w:pStyle w:val="TableText"/>
              <w:spacing w:before="79" w:line="235" w:lineRule="auto"/>
              <w:ind w:left="887"/>
            </w:pPr>
            <w:r>
              <w:rPr>
                <w:spacing w:val="-5"/>
              </w:rPr>
              <w:t>±0.5</w:t>
            </w:r>
          </w:p>
        </w:tc>
      </w:tr>
      <w:tr>
        <w:tblPrEx>
          <w:tblW w:w="6089" w:type="dxa"/>
          <w:tblInd w:w="49" w:type="dxa"/>
          <w:tblLayout w:type="fixed"/>
        </w:tblPrEx>
        <w:trPr>
          <w:trHeight w:val="270"/>
        </w:trPr>
        <w:tc>
          <w:tcPr>
            <w:tcW w:w="1842" w:type="dxa"/>
            <w:vAlign w:val="top"/>
          </w:tcPr>
          <w:p>
            <w:pPr>
              <w:pStyle w:val="TableText"/>
              <w:spacing w:before="102" w:line="183" w:lineRule="auto"/>
              <w:ind w:left="845"/>
            </w:pPr>
            <w:r>
              <w:rPr>
                <w:spacing w:val="-2"/>
              </w:rPr>
              <w:t>80</w:t>
            </w:r>
          </w:p>
        </w:tc>
        <w:tc>
          <w:tcPr>
            <w:tcW w:w="2126" w:type="dxa"/>
            <w:vAlign w:val="top"/>
          </w:tcPr>
          <w:p>
            <w:pPr>
              <w:pStyle w:val="TableText"/>
              <w:spacing w:before="80" w:line="235" w:lineRule="auto"/>
              <w:ind w:left="892"/>
            </w:pPr>
            <w:r>
              <w:rPr>
                <w:spacing w:val="-5"/>
              </w:rPr>
              <w:t>±0.5</w:t>
            </w:r>
          </w:p>
        </w:tc>
        <w:tc>
          <w:tcPr>
            <w:tcW w:w="2121" w:type="dxa"/>
            <w:vAlign w:val="top"/>
          </w:tcPr>
          <w:p>
            <w:pPr>
              <w:pStyle w:val="TableText"/>
              <w:spacing w:before="80" w:line="235" w:lineRule="auto"/>
              <w:ind w:left="887"/>
            </w:pPr>
            <w:r>
              <w:rPr>
                <w:spacing w:val="-5"/>
              </w:rPr>
              <w:t>±0.5</w:t>
            </w:r>
          </w:p>
        </w:tc>
      </w:tr>
      <w:tr>
        <w:tblPrEx>
          <w:tblW w:w="6089" w:type="dxa"/>
          <w:tblInd w:w="49" w:type="dxa"/>
          <w:tblLayout w:type="fixed"/>
        </w:tblPrEx>
        <w:trPr>
          <w:trHeight w:val="260"/>
        </w:trPr>
        <w:tc>
          <w:tcPr>
            <w:tcW w:w="1842" w:type="dxa"/>
            <w:vAlign w:val="top"/>
          </w:tcPr>
          <w:p>
            <w:pPr>
              <w:pStyle w:val="TableText"/>
              <w:spacing w:before="102" w:line="184" w:lineRule="auto"/>
              <w:ind w:left="814"/>
            </w:pPr>
            <w:r>
              <w:rPr>
                <w:spacing w:val="-4"/>
              </w:rPr>
              <w:t>100</w:t>
            </w:r>
          </w:p>
        </w:tc>
        <w:tc>
          <w:tcPr>
            <w:tcW w:w="2126" w:type="dxa"/>
            <w:vAlign w:val="top"/>
          </w:tcPr>
          <w:p>
            <w:pPr>
              <w:pStyle w:val="TableText"/>
              <w:spacing w:before="80" w:line="235" w:lineRule="auto"/>
              <w:ind w:left="892"/>
            </w:pPr>
            <w:r>
              <w:rPr>
                <w:spacing w:val="-5"/>
              </w:rPr>
              <w:t>±0.5</w:t>
            </w:r>
          </w:p>
        </w:tc>
        <w:tc>
          <w:tcPr>
            <w:tcW w:w="2121" w:type="dxa"/>
            <w:vAlign w:val="top"/>
          </w:tcPr>
          <w:p>
            <w:pPr>
              <w:pStyle w:val="TableText"/>
              <w:spacing w:before="80" w:line="235" w:lineRule="auto"/>
              <w:ind w:left="887"/>
            </w:pPr>
            <w:r>
              <w:rPr>
                <w:spacing w:val="-5"/>
              </w:rPr>
              <w:t>±0.5</w:t>
            </w:r>
          </w:p>
        </w:tc>
      </w:tr>
      <w:tr>
        <w:tblPrEx>
          <w:tblW w:w="6089" w:type="dxa"/>
          <w:tblInd w:w="49" w:type="dxa"/>
          <w:tblLayout w:type="fixed"/>
        </w:tblPrEx>
        <w:trPr>
          <w:trHeight w:val="270"/>
        </w:trPr>
        <w:tc>
          <w:tcPr>
            <w:tcW w:w="1842" w:type="dxa"/>
            <w:vAlign w:val="top"/>
          </w:tcPr>
          <w:p>
            <w:pPr>
              <w:pStyle w:val="TableText"/>
              <w:spacing w:before="102" w:line="184" w:lineRule="auto"/>
              <w:ind w:left="814"/>
            </w:pPr>
            <w:r>
              <w:rPr>
                <w:spacing w:val="-4"/>
              </w:rPr>
              <w:t>125</w:t>
            </w:r>
          </w:p>
        </w:tc>
        <w:tc>
          <w:tcPr>
            <w:tcW w:w="2126" w:type="dxa"/>
            <w:vAlign w:val="top"/>
          </w:tcPr>
          <w:p>
            <w:pPr>
              <w:pStyle w:val="TableText"/>
              <w:spacing w:before="80" w:line="235" w:lineRule="auto"/>
              <w:ind w:left="892"/>
            </w:pPr>
            <w:r>
              <w:rPr>
                <w:spacing w:val="-5"/>
              </w:rPr>
              <w:t>±0.5</w:t>
            </w:r>
          </w:p>
        </w:tc>
        <w:tc>
          <w:tcPr>
            <w:tcW w:w="2121" w:type="dxa"/>
            <w:vAlign w:val="top"/>
          </w:tcPr>
          <w:p>
            <w:pPr>
              <w:pStyle w:val="TableText"/>
              <w:spacing w:before="80" w:line="235" w:lineRule="auto"/>
              <w:ind w:left="887"/>
            </w:pPr>
            <w:r>
              <w:rPr>
                <w:spacing w:val="-5"/>
              </w:rPr>
              <w:t>±0.5</w:t>
            </w:r>
          </w:p>
        </w:tc>
      </w:tr>
      <w:tr>
        <w:tblPrEx>
          <w:tblW w:w="6089" w:type="dxa"/>
          <w:tblInd w:w="49" w:type="dxa"/>
          <w:tblLayout w:type="fixed"/>
        </w:tblPrEx>
        <w:trPr>
          <w:trHeight w:val="269"/>
        </w:trPr>
        <w:tc>
          <w:tcPr>
            <w:tcW w:w="1842" w:type="dxa"/>
            <w:vAlign w:val="top"/>
          </w:tcPr>
          <w:p>
            <w:pPr>
              <w:pStyle w:val="TableText"/>
              <w:spacing w:before="102" w:line="184" w:lineRule="auto"/>
              <w:ind w:left="814"/>
            </w:pPr>
            <w:r>
              <w:rPr>
                <w:spacing w:val="-4"/>
              </w:rPr>
              <w:t>160</w:t>
            </w:r>
          </w:p>
        </w:tc>
        <w:tc>
          <w:tcPr>
            <w:tcW w:w="2126" w:type="dxa"/>
            <w:vAlign w:val="top"/>
          </w:tcPr>
          <w:p>
            <w:pPr>
              <w:pStyle w:val="TableText"/>
              <w:spacing w:before="80" w:line="235" w:lineRule="auto"/>
              <w:ind w:left="892"/>
            </w:pPr>
            <w:r>
              <w:rPr>
                <w:spacing w:val="-5"/>
              </w:rPr>
              <w:t>±0.5</w:t>
            </w:r>
          </w:p>
        </w:tc>
        <w:tc>
          <w:tcPr>
            <w:tcW w:w="2121" w:type="dxa"/>
            <w:vAlign w:val="top"/>
          </w:tcPr>
          <w:p>
            <w:pPr>
              <w:pStyle w:val="TableText"/>
              <w:spacing w:before="80" w:line="235" w:lineRule="auto"/>
              <w:ind w:left="887"/>
            </w:pPr>
            <w:r>
              <w:rPr>
                <w:spacing w:val="-5"/>
              </w:rPr>
              <w:t>±0.5</w:t>
            </w:r>
          </w:p>
        </w:tc>
      </w:tr>
      <w:tr>
        <w:tblPrEx>
          <w:tblW w:w="6089" w:type="dxa"/>
          <w:tblInd w:w="49" w:type="dxa"/>
          <w:tblLayout w:type="fixed"/>
        </w:tblPrEx>
        <w:trPr>
          <w:trHeight w:val="270"/>
        </w:trPr>
        <w:tc>
          <w:tcPr>
            <w:tcW w:w="1842" w:type="dxa"/>
            <w:vAlign w:val="top"/>
          </w:tcPr>
          <w:p>
            <w:pPr>
              <w:pStyle w:val="TableText"/>
              <w:spacing w:before="103" w:line="183" w:lineRule="auto"/>
              <w:ind w:left="814"/>
            </w:pPr>
            <w:r>
              <w:rPr>
                <w:spacing w:val="-2"/>
              </w:rPr>
              <w:t>200</w:t>
            </w:r>
          </w:p>
        </w:tc>
        <w:tc>
          <w:tcPr>
            <w:tcW w:w="2126" w:type="dxa"/>
            <w:vAlign w:val="top"/>
          </w:tcPr>
          <w:p>
            <w:pPr>
              <w:pStyle w:val="TableText"/>
              <w:spacing w:before="81" w:line="235" w:lineRule="auto"/>
              <w:ind w:left="892"/>
            </w:pPr>
            <w:r>
              <w:rPr>
                <w:spacing w:val="-5"/>
              </w:rPr>
              <w:t>±0.5</w:t>
            </w:r>
          </w:p>
        </w:tc>
        <w:tc>
          <w:tcPr>
            <w:tcW w:w="2121" w:type="dxa"/>
            <w:vAlign w:val="top"/>
          </w:tcPr>
          <w:p>
            <w:pPr>
              <w:pStyle w:val="TableText"/>
              <w:spacing w:before="81" w:line="235" w:lineRule="auto"/>
              <w:ind w:left="887"/>
            </w:pPr>
            <w:r>
              <w:rPr>
                <w:spacing w:val="-5"/>
              </w:rPr>
              <w:t>±0.5</w:t>
            </w:r>
          </w:p>
        </w:tc>
      </w:tr>
    </w:tbl>
    <w:p>
      <w:pPr>
        <w:sectPr>
          <w:headerReference w:type="default" r:id="rId8"/>
          <w:footerReference w:type="default" r:id="rId9"/>
          <w:pgSz w:w="7380" w:h="10300"/>
          <w:pgMar w:top="589" w:right="599" w:bottom="397" w:left="570" w:header="382" w:footer="288" w:gutter="0"/>
          <w:pgNumType w:start="3"/>
          <w:cols w:space="708"/>
        </w:sectPr>
      </w:pPr>
    </w:p>
    <w:tbl>
      <w:tblPr>
        <w:tblStyle w:val="TableNormal1"/>
        <w:tblW w:w="608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2"/>
        <w:gridCol w:w="2126"/>
        <w:gridCol w:w="2121"/>
      </w:tblGrid>
      <w:tr>
        <w:tblPrEx>
          <w:tblW w:w="6089"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9"/>
        </w:trPr>
        <w:tc>
          <w:tcPr>
            <w:tcW w:w="1842" w:type="dxa"/>
            <w:vAlign w:val="top"/>
          </w:tcPr>
          <w:p>
            <w:pPr>
              <w:pStyle w:val="TableText"/>
              <w:spacing w:before="103" w:line="183" w:lineRule="auto"/>
              <w:ind w:left="814"/>
            </w:pPr>
            <w:r>
              <w:rPr>
                <w:spacing w:val="-2"/>
              </w:rPr>
              <w:t>250</w:t>
            </w:r>
          </w:p>
        </w:tc>
        <w:tc>
          <w:tcPr>
            <w:tcW w:w="2126" w:type="dxa"/>
            <w:vAlign w:val="top"/>
          </w:tcPr>
          <w:p>
            <w:pPr>
              <w:pStyle w:val="TableText"/>
              <w:spacing w:before="70" w:line="219" w:lineRule="auto"/>
              <w:ind w:left="923"/>
            </w:pPr>
            <w:r>
              <w:rPr>
                <w:spacing w:val="-2"/>
              </w:rPr>
              <w:t>参考</w:t>
            </w:r>
          </w:p>
        </w:tc>
        <w:tc>
          <w:tcPr>
            <w:tcW w:w="2121" w:type="dxa"/>
            <w:vAlign w:val="top"/>
          </w:tcPr>
          <w:p>
            <w:pPr>
              <w:pStyle w:val="TableText"/>
              <w:spacing w:before="70" w:line="219" w:lineRule="auto"/>
              <w:ind w:left="927"/>
            </w:pPr>
            <w:r>
              <w:rPr>
                <w:spacing w:val="-2"/>
              </w:rPr>
              <w:t>参考</w:t>
            </w:r>
          </w:p>
        </w:tc>
      </w:tr>
      <w:tr>
        <w:tblPrEx>
          <w:tblW w:w="6089" w:type="dxa"/>
          <w:tblInd w:w="49" w:type="dxa"/>
          <w:tblLayout w:type="fixed"/>
        </w:tblPrEx>
        <w:trPr>
          <w:trHeight w:val="270"/>
        </w:trPr>
        <w:tc>
          <w:tcPr>
            <w:tcW w:w="1842" w:type="dxa"/>
            <w:vAlign w:val="top"/>
          </w:tcPr>
          <w:p>
            <w:pPr>
              <w:pStyle w:val="TableText"/>
              <w:spacing w:before="104" w:line="184" w:lineRule="auto"/>
              <w:ind w:left="814"/>
            </w:pPr>
            <w:r>
              <w:rPr>
                <w:spacing w:val="-2"/>
              </w:rPr>
              <w:t>315</w:t>
            </w:r>
          </w:p>
        </w:tc>
        <w:tc>
          <w:tcPr>
            <w:tcW w:w="2126" w:type="dxa"/>
            <w:vAlign w:val="top"/>
          </w:tcPr>
          <w:p>
            <w:pPr>
              <w:pStyle w:val="TableText"/>
              <w:spacing w:before="82" w:line="235" w:lineRule="auto"/>
              <w:ind w:left="892"/>
            </w:pPr>
            <w:r>
              <w:rPr>
                <w:spacing w:val="-5"/>
              </w:rPr>
              <w:t>±0.5</w:t>
            </w:r>
          </w:p>
        </w:tc>
        <w:tc>
          <w:tcPr>
            <w:tcW w:w="2121" w:type="dxa"/>
            <w:vAlign w:val="top"/>
          </w:tcPr>
          <w:p>
            <w:pPr>
              <w:pStyle w:val="TableText"/>
              <w:spacing w:before="82" w:line="235" w:lineRule="auto"/>
              <w:ind w:left="887"/>
            </w:pPr>
            <w:r>
              <w:rPr>
                <w:spacing w:val="-5"/>
              </w:rPr>
              <w:t>±0.5</w:t>
            </w:r>
          </w:p>
        </w:tc>
      </w:tr>
      <w:tr>
        <w:tblPrEx>
          <w:tblW w:w="6089" w:type="dxa"/>
          <w:tblInd w:w="49" w:type="dxa"/>
          <w:tblLayout w:type="fixed"/>
        </w:tblPrEx>
        <w:trPr>
          <w:trHeight w:val="269"/>
        </w:trPr>
        <w:tc>
          <w:tcPr>
            <w:tcW w:w="1842" w:type="dxa"/>
            <w:vAlign w:val="top"/>
          </w:tcPr>
          <w:p>
            <w:pPr>
              <w:pStyle w:val="TableText"/>
              <w:spacing w:before="104" w:line="183" w:lineRule="auto"/>
              <w:ind w:left="814"/>
            </w:pPr>
            <w:r>
              <w:rPr>
                <w:spacing w:val="-2"/>
              </w:rPr>
              <w:t>400</w:t>
            </w:r>
          </w:p>
        </w:tc>
        <w:tc>
          <w:tcPr>
            <w:tcW w:w="2126" w:type="dxa"/>
            <w:vAlign w:val="top"/>
          </w:tcPr>
          <w:p>
            <w:pPr>
              <w:pStyle w:val="TableText"/>
              <w:spacing w:before="82" w:line="235" w:lineRule="auto"/>
              <w:ind w:left="892"/>
            </w:pPr>
            <w:r>
              <w:rPr>
                <w:spacing w:val="-5"/>
              </w:rPr>
              <w:t>±0.5</w:t>
            </w:r>
          </w:p>
        </w:tc>
        <w:tc>
          <w:tcPr>
            <w:tcW w:w="2121" w:type="dxa"/>
            <w:vAlign w:val="top"/>
          </w:tcPr>
          <w:p>
            <w:pPr>
              <w:pStyle w:val="TableText"/>
              <w:spacing w:before="82" w:line="235" w:lineRule="auto"/>
              <w:ind w:left="887"/>
            </w:pPr>
            <w:r>
              <w:rPr>
                <w:spacing w:val="-5"/>
              </w:rPr>
              <w:t>±0.5</w:t>
            </w:r>
          </w:p>
        </w:tc>
      </w:tr>
      <w:tr>
        <w:tblPrEx>
          <w:tblW w:w="6089" w:type="dxa"/>
          <w:tblInd w:w="49" w:type="dxa"/>
          <w:tblLayout w:type="fixed"/>
        </w:tblPrEx>
        <w:trPr>
          <w:trHeight w:val="269"/>
        </w:trPr>
        <w:tc>
          <w:tcPr>
            <w:tcW w:w="1842" w:type="dxa"/>
            <w:vAlign w:val="top"/>
          </w:tcPr>
          <w:p>
            <w:pPr>
              <w:pStyle w:val="TableText"/>
              <w:spacing w:before="105" w:line="183" w:lineRule="auto"/>
              <w:ind w:left="814"/>
            </w:pPr>
            <w:r>
              <w:rPr>
                <w:spacing w:val="-2"/>
              </w:rPr>
              <w:t>500</w:t>
            </w:r>
          </w:p>
        </w:tc>
        <w:tc>
          <w:tcPr>
            <w:tcW w:w="2126" w:type="dxa"/>
            <w:vAlign w:val="top"/>
          </w:tcPr>
          <w:p>
            <w:pPr>
              <w:pStyle w:val="TableText"/>
              <w:spacing w:before="83" w:line="235" w:lineRule="auto"/>
              <w:ind w:left="892"/>
            </w:pPr>
            <w:r>
              <w:rPr>
                <w:spacing w:val="-5"/>
              </w:rPr>
              <w:t>±0.5</w:t>
            </w:r>
          </w:p>
        </w:tc>
        <w:tc>
          <w:tcPr>
            <w:tcW w:w="2121" w:type="dxa"/>
            <w:vAlign w:val="top"/>
          </w:tcPr>
          <w:p>
            <w:pPr>
              <w:pStyle w:val="TableText"/>
              <w:spacing w:before="83" w:line="235" w:lineRule="auto"/>
              <w:ind w:left="887"/>
            </w:pPr>
            <w:r>
              <w:rPr>
                <w:spacing w:val="-5"/>
              </w:rPr>
              <w:t>±0.5</w:t>
            </w:r>
          </w:p>
        </w:tc>
      </w:tr>
      <w:tr>
        <w:tblPrEx>
          <w:tblW w:w="6089" w:type="dxa"/>
          <w:tblInd w:w="49" w:type="dxa"/>
          <w:tblLayout w:type="fixed"/>
        </w:tblPrEx>
        <w:trPr>
          <w:trHeight w:val="260"/>
        </w:trPr>
        <w:tc>
          <w:tcPr>
            <w:tcW w:w="1842" w:type="dxa"/>
            <w:vAlign w:val="top"/>
          </w:tcPr>
          <w:p>
            <w:pPr>
              <w:pStyle w:val="TableText"/>
              <w:spacing w:before="106" w:line="183" w:lineRule="auto"/>
              <w:ind w:left="814"/>
            </w:pPr>
            <w:r>
              <w:rPr>
                <w:spacing w:val="-2"/>
              </w:rPr>
              <w:t>630</w:t>
            </w:r>
          </w:p>
        </w:tc>
        <w:tc>
          <w:tcPr>
            <w:tcW w:w="2126" w:type="dxa"/>
            <w:vAlign w:val="top"/>
          </w:tcPr>
          <w:p>
            <w:pPr>
              <w:pStyle w:val="TableText"/>
              <w:spacing w:before="84" w:line="235" w:lineRule="auto"/>
              <w:ind w:left="892"/>
            </w:pPr>
            <w:r>
              <w:rPr>
                <w:spacing w:val="-5"/>
              </w:rPr>
              <w:t>±0.5</w:t>
            </w:r>
          </w:p>
        </w:tc>
        <w:tc>
          <w:tcPr>
            <w:tcW w:w="2121" w:type="dxa"/>
            <w:vAlign w:val="top"/>
          </w:tcPr>
          <w:p>
            <w:pPr>
              <w:pStyle w:val="TableText"/>
              <w:spacing w:before="84" w:line="235" w:lineRule="auto"/>
              <w:ind w:left="887"/>
            </w:pPr>
            <w:r>
              <w:rPr>
                <w:spacing w:val="-5"/>
              </w:rPr>
              <w:t>±0.5</w:t>
            </w:r>
          </w:p>
        </w:tc>
      </w:tr>
      <w:tr>
        <w:tblPrEx>
          <w:tblW w:w="6089" w:type="dxa"/>
          <w:tblInd w:w="49" w:type="dxa"/>
          <w:tblLayout w:type="fixed"/>
        </w:tblPrEx>
        <w:trPr>
          <w:trHeight w:val="279"/>
        </w:trPr>
        <w:tc>
          <w:tcPr>
            <w:tcW w:w="1842" w:type="dxa"/>
            <w:vAlign w:val="top"/>
          </w:tcPr>
          <w:p>
            <w:pPr>
              <w:pStyle w:val="TableText"/>
              <w:spacing w:before="116" w:line="183" w:lineRule="auto"/>
              <w:ind w:left="814"/>
            </w:pPr>
            <w:r>
              <w:rPr>
                <w:spacing w:val="-2"/>
              </w:rPr>
              <w:t>800</w:t>
            </w:r>
          </w:p>
        </w:tc>
        <w:tc>
          <w:tcPr>
            <w:tcW w:w="2126" w:type="dxa"/>
            <w:vAlign w:val="top"/>
          </w:tcPr>
          <w:p>
            <w:pPr>
              <w:pStyle w:val="TableText"/>
              <w:spacing w:before="94" w:line="235" w:lineRule="auto"/>
              <w:ind w:left="892"/>
            </w:pPr>
            <w:r>
              <w:rPr>
                <w:spacing w:val="-5"/>
              </w:rPr>
              <w:t>±0.5</w:t>
            </w:r>
          </w:p>
        </w:tc>
        <w:tc>
          <w:tcPr>
            <w:tcW w:w="2121" w:type="dxa"/>
            <w:vAlign w:val="top"/>
          </w:tcPr>
          <w:p>
            <w:pPr>
              <w:pStyle w:val="TableText"/>
              <w:spacing w:before="94" w:line="235" w:lineRule="auto"/>
              <w:ind w:left="887"/>
            </w:pPr>
            <w:r>
              <w:rPr>
                <w:spacing w:val="-5"/>
              </w:rPr>
              <w:t>±0.5</w:t>
            </w:r>
          </w:p>
        </w:tc>
      </w:tr>
      <w:tr>
        <w:tblPrEx>
          <w:tblW w:w="6089" w:type="dxa"/>
          <w:tblInd w:w="49" w:type="dxa"/>
          <w:tblLayout w:type="fixed"/>
        </w:tblPrEx>
        <w:trPr>
          <w:trHeight w:val="260"/>
        </w:trPr>
        <w:tc>
          <w:tcPr>
            <w:tcW w:w="1842" w:type="dxa"/>
            <w:vAlign w:val="top"/>
          </w:tcPr>
          <w:p>
            <w:pPr>
              <w:pStyle w:val="TableText"/>
              <w:spacing w:before="107" w:line="184" w:lineRule="auto"/>
              <w:ind w:left="785"/>
            </w:pPr>
            <w:r>
              <w:rPr>
                <w:spacing w:val="-3"/>
              </w:rPr>
              <w:t>1000</w:t>
            </w:r>
          </w:p>
        </w:tc>
        <w:tc>
          <w:tcPr>
            <w:tcW w:w="2126" w:type="dxa"/>
            <w:vAlign w:val="top"/>
          </w:tcPr>
          <w:p>
            <w:pPr>
              <w:pStyle w:val="TableText"/>
              <w:spacing w:before="85" w:line="234" w:lineRule="auto"/>
              <w:ind w:left="892"/>
            </w:pPr>
            <w:r>
              <w:rPr>
                <w:spacing w:val="-5"/>
              </w:rPr>
              <w:t>±0.5</w:t>
            </w:r>
          </w:p>
        </w:tc>
        <w:tc>
          <w:tcPr>
            <w:tcW w:w="2121" w:type="dxa"/>
            <w:vAlign w:val="top"/>
          </w:tcPr>
          <w:p>
            <w:pPr>
              <w:pStyle w:val="TableText"/>
              <w:spacing w:before="85" w:line="234" w:lineRule="auto"/>
              <w:ind w:left="887"/>
            </w:pPr>
            <w:r>
              <w:rPr>
                <w:spacing w:val="-5"/>
              </w:rPr>
              <w:t>±0.5</w:t>
            </w:r>
          </w:p>
        </w:tc>
      </w:tr>
      <w:tr>
        <w:tblPrEx>
          <w:tblW w:w="6089" w:type="dxa"/>
          <w:tblInd w:w="49" w:type="dxa"/>
          <w:tblLayout w:type="fixed"/>
        </w:tblPrEx>
        <w:trPr>
          <w:trHeight w:val="270"/>
        </w:trPr>
        <w:tc>
          <w:tcPr>
            <w:tcW w:w="1842" w:type="dxa"/>
            <w:vAlign w:val="top"/>
          </w:tcPr>
          <w:p>
            <w:pPr>
              <w:pStyle w:val="TableText"/>
              <w:spacing w:before="107" w:line="184" w:lineRule="auto"/>
              <w:ind w:left="785"/>
            </w:pPr>
            <w:r>
              <w:rPr>
                <w:spacing w:val="-3"/>
              </w:rPr>
              <w:t>1250</w:t>
            </w:r>
          </w:p>
        </w:tc>
        <w:tc>
          <w:tcPr>
            <w:tcW w:w="2126" w:type="dxa"/>
            <w:vAlign w:val="top"/>
          </w:tcPr>
          <w:p>
            <w:pPr>
              <w:pStyle w:val="TableText"/>
              <w:spacing w:before="85" w:line="235" w:lineRule="auto"/>
              <w:ind w:left="952"/>
            </w:pPr>
            <w:r>
              <w:rPr>
                <w:spacing w:val="-7"/>
              </w:rPr>
              <w:t>±0</w:t>
            </w:r>
          </w:p>
        </w:tc>
        <w:tc>
          <w:tcPr>
            <w:tcW w:w="2121" w:type="dxa"/>
            <w:vAlign w:val="top"/>
          </w:tcPr>
          <w:p>
            <w:pPr>
              <w:pStyle w:val="TableText"/>
              <w:spacing w:before="85" w:line="235" w:lineRule="auto"/>
              <w:ind w:left="887"/>
            </w:pPr>
            <w:r>
              <w:rPr>
                <w:spacing w:val="-5"/>
              </w:rPr>
              <w:t>±0.5</w:t>
            </w:r>
          </w:p>
        </w:tc>
      </w:tr>
      <w:tr>
        <w:tblPrEx>
          <w:tblW w:w="6089" w:type="dxa"/>
          <w:tblInd w:w="49" w:type="dxa"/>
          <w:tblLayout w:type="fixed"/>
        </w:tblPrEx>
        <w:trPr>
          <w:trHeight w:val="270"/>
        </w:trPr>
        <w:tc>
          <w:tcPr>
            <w:tcW w:w="1842" w:type="dxa"/>
            <w:vAlign w:val="top"/>
          </w:tcPr>
          <w:p>
            <w:pPr>
              <w:pStyle w:val="TableText"/>
              <w:spacing w:before="107" w:line="184" w:lineRule="auto"/>
              <w:ind w:left="785"/>
            </w:pPr>
            <w:r>
              <w:rPr>
                <w:spacing w:val="-3"/>
              </w:rPr>
              <w:t>1600</w:t>
            </w:r>
          </w:p>
        </w:tc>
        <w:tc>
          <w:tcPr>
            <w:tcW w:w="2126" w:type="dxa"/>
            <w:vAlign w:val="top"/>
          </w:tcPr>
          <w:p>
            <w:pPr>
              <w:pStyle w:val="TableText"/>
              <w:spacing w:before="85" w:line="235" w:lineRule="auto"/>
              <w:ind w:left="892"/>
            </w:pPr>
            <w:r>
              <w:rPr>
                <w:spacing w:val="-5"/>
              </w:rPr>
              <w:t>±0.5</w:t>
            </w:r>
          </w:p>
        </w:tc>
        <w:tc>
          <w:tcPr>
            <w:tcW w:w="2121" w:type="dxa"/>
            <w:vAlign w:val="top"/>
          </w:tcPr>
          <w:p>
            <w:pPr>
              <w:pStyle w:val="TableText"/>
              <w:spacing w:before="85" w:line="235" w:lineRule="auto"/>
              <w:ind w:left="887"/>
            </w:pPr>
            <w:r>
              <w:rPr>
                <w:spacing w:val="-5"/>
              </w:rPr>
              <w:t>±0.5</w:t>
            </w:r>
          </w:p>
        </w:tc>
      </w:tr>
      <w:tr>
        <w:tblPrEx>
          <w:tblW w:w="6089" w:type="dxa"/>
          <w:tblInd w:w="49" w:type="dxa"/>
          <w:tblLayout w:type="fixed"/>
        </w:tblPrEx>
        <w:trPr>
          <w:trHeight w:val="274"/>
        </w:trPr>
        <w:tc>
          <w:tcPr>
            <w:tcW w:w="1842" w:type="dxa"/>
            <w:vAlign w:val="top"/>
          </w:tcPr>
          <w:p>
            <w:pPr>
              <w:pStyle w:val="TableText"/>
              <w:spacing w:before="107" w:line="183" w:lineRule="auto"/>
              <w:ind w:left="785"/>
            </w:pPr>
            <w:r>
              <w:rPr>
                <w:spacing w:val="-2"/>
              </w:rPr>
              <w:t>2000</w:t>
            </w:r>
          </w:p>
        </w:tc>
        <w:tc>
          <w:tcPr>
            <w:tcW w:w="2126" w:type="dxa"/>
            <w:vAlign w:val="top"/>
          </w:tcPr>
          <w:p>
            <w:pPr>
              <w:pStyle w:val="TableText"/>
              <w:spacing w:before="85" w:line="235" w:lineRule="auto"/>
              <w:ind w:left="892"/>
            </w:pPr>
            <w:r>
              <w:rPr>
                <w:spacing w:val="-5"/>
              </w:rPr>
              <w:t>±0.5</w:t>
            </w:r>
          </w:p>
        </w:tc>
        <w:tc>
          <w:tcPr>
            <w:tcW w:w="2121" w:type="dxa"/>
            <w:vAlign w:val="top"/>
          </w:tcPr>
          <w:p>
            <w:pPr>
              <w:pStyle w:val="TableText"/>
              <w:spacing w:before="85" w:line="235" w:lineRule="auto"/>
              <w:ind w:left="887"/>
            </w:pPr>
            <w:r>
              <w:rPr>
                <w:spacing w:val="-5"/>
              </w:rPr>
              <w:t>±0.5</w:t>
            </w:r>
          </w:p>
        </w:tc>
      </w:tr>
    </w:tbl>
    <w:p>
      <w:pPr>
        <w:spacing w:line="158" w:lineRule="exact"/>
        <w:rPr>
          <w:rFonts w:ascii="Arial"/>
          <w:sz w:val="13"/>
        </w:rPr>
      </w:pPr>
    </w:p>
    <w:p>
      <w:pPr>
        <w:spacing w:line="158" w:lineRule="exact"/>
        <w:rPr>
          <w:rFonts w:ascii="Arial" w:eastAsia="Arial" w:hAnsi="Arial" w:cs="Arial"/>
          <w:sz w:val="13"/>
          <w:szCs w:val="13"/>
        </w:rPr>
        <w:sectPr>
          <w:headerReference w:type="default" r:id="rId10"/>
          <w:footerReference w:type="default" r:id="rId11"/>
          <w:type w:val="nextPage"/>
          <w:pgSz w:w="7380" w:h="10300"/>
          <w:pgMar w:top="589" w:right="599" w:bottom="397" w:left="570" w:header="382" w:footer="288" w:gutter="0"/>
          <w:pgNumType w:start="4"/>
          <w:cols w:space="708"/>
          <w:titlePg w:val="0"/>
        </w:sectPr>
      </w:pPr>
    </w:p>
    <w:p>
      <w:pPr>
        <w:pStyle w:val="BodyText"/>
        <w:spacing w:before="127" w:line="220" w:lineRule="auto"/>
        <w:ind w:left="2870"/>
      </w:pPr>
      <w:r>
        <w:drawing>
          <wp:anchor distT="0" distB="0" distL="0" distR="0" simplePos="0" relativeHeight="251658240" behindDoc="0" locked="0" layoutInCell="0" allowOverlap="1">
            <wp:simplePos x="0" y="0"/>
            <wp:positionH relativeFrom="page">
              <wp:posOffset>304797</wp:posOffset>
            </wp:positionH>
            <wp:positionV relativeFrom="page">
              <wp:posOffset>6134070</wp:posOffset>
            </wp:positionV>
            <wp:extent cx="996963" cy="634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996963" cy="6349"/>
                    </a:xfrm>
                    <a:prstGeom prst="rect">
                      <a:avLst/>
                    </a:prstGeom>
                  </pic:spPr>
                </pic:pic>
              </a:graphicData>
            </a:graphic>
          </wp:anchor>
        </w:drawing>
      </w:r>
      <w:r>
        <w:rPr>
          <w:spacing w:val="5"/>
        </w:rPr>
        <w:t>表1(续)</w:t>
      </w:r>
    </w:p>
    <w:p>
      <w:pPr>
        <w:spacing w:line="67" w:lineRule="exact"/>
      </w:pPr>
    </w:p>
    <w:tbl>
      <w:tblPr>
        <w:tblStyle w:val="TableNormal2"/>
        <w:tblW w:w="607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2"/>
        <w:gridCol w:w="2126"/>
        <w:gridCol w:w="2111"/>
      </w:tblGrid>
      <w:tr>
        <w:tblPrEx>
          <w:tblW w:w="6079"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4"/>
        </w:trPr>
        <w:tc>
          <w:tcPr>
            <w:tcW w:w="1842" w:type="dxa"/>
            <w:vAlign w:val="top"/>
          </w:tcPr>
          <w:p>
            <w:pPr>
              <w:pStyle w:val="TableText"/>
              <w:spacing w:before="61" w:line="219" w:lineRule="auto"/>
              <w:ind w:left="684"/>
              <w:rPr>
                <w:sz w:val="15"/>
                <w:szCs w:val="15"/>
              </w:rPr>
            </w:pPr>
            <w:r>
              <w:rPr>
                <w:spacing w:val="-2"/>
                <w:sz w:val="15"/>
                <w:szCs w:val="15"/>
              </w:rPr>
              <w:t>频率/H</w:t>
            </w:r>
          </w:p>
        </w:tc>
        <w:tc>
          <w:tcPr>
            <w:tcW w:w="2126" w:type="dxa"/>
            <w:vAlign w:val="top"/>
          </w:tcPr>
          <w:p>
            <w:pPr>
              <w:pStyle w:val="TableText"/>
              <w:spacing w:before="61" w:line="219" w:lineRule="auto"/>
              <w:ind w:left="792"/>
              <w:rPr>
                <w:sz w:val="15"/>
                <w:szCs w:val="15"/>
              </w:rPr>
            </w:pPr>
            <w:r>
              <w:rPr>
                <w:spacing w:val="-2"/>
                <w:sz w:val="15"/>
                <w:szCs w:val="15"/>
              </w:rPr>
              <w:t>类型WS1</w:t>
            </w:r>
          </w:p>
        </w:tc>
        <w:tc>
          <w:tcPr>
            <w:tcW w:w="2111" w:type="dxa"/>
            <w:vAlign w:val="top"/>
          </w:tcPr>
          <w:p>
            <w:pPr>
              <w:pStyle w:val="TableText"/>
              <w:spacing w:before="61" w:line="219" w:lineRule="auto"/>
              <w:ind w:left="786"/>
              <w:rPr>
                <w:sz w:val="15"/>
                <w:szCs w:val="15"/>
              </w:rPr>
            </w:pPr>
            <w:r>
              <w:rPr>
                <w:spacing w:val="-2"/>
                <w:sz w:val="15"/>
                <w:szCs w:val="15"/>
              </w:rPr>
              <w:t>类型WS2</w:t>
            </w:r>
          </w:p>
        </w:tc>
      </w:tr>
      <w:tr>
        <w:tblPrEx>
          <w:tblW w:w="6079" w:type="dxa"/>
          <w:tblInd w:w="110" w:type="dxa"/>
          <w:tblLayout w:type="fixed"/>
        </w:tblPrEx>
        <w:trPr>
          <w:trHeight w:val="269"/>
        </w:trPr>
        <w:tc>
          <w:tcPr>
            <w:tcW w:w="1842" w:type="dxa"/>
            <w:vAlign w:val="top"/>
          </w:tcPr>
          <w:p>
            <w:pPr>
              <w:pStyle w:val="TableText"/>
              <w:spacing w:before="95" w:line="183" w:lineRule="auto"/>
              <w:ind w:left="764"/>
              <w:rPr>
                <w:sz w:val="15"/>
                <w:szCs w:val="15"/>
              </w:rPr>
            </w:pPr>
            <w:r>
              <w:rPr>
                <w:spacing w:val="-2"/>
                <w:sz w:val="15"/>
                <w:szCs w:val="15"/>
              </w:rPr>
              <w:t>2500</w:t>
            </w:r>
          </w:p>
        </w:tc>
        <w:tc>
          <w:tcPr>
            <w:tcW w:w="2126" w:type="dxa"/>
            <w:vAlign w:val="top"/>
          </w:tcPr>
          <w:p>
            <w:pPr>
              <w:pStyle w:val="TableText"/>
              <w:spacing w:before="84" w:line="235" w:lineRule="auto"/>
              <w:ind w:left="892"/>
              <w:rPr>
                <w:sz w:val="11"/>
                <w:szCs w:val="11"/>
              </w:rPr>
            </w:pPr>
            <w:r>
              <w:rPr>
                <w:spacing w:val="-3"/>
                <w:sz w:val="11"/>
                <w:szCs w:val="11"/>
              </w:rPr>
              <w:t>±0.75</w:t>
            </w:r>
          </w:p>
        </w:tc>
        <w:tc>
          <w:tcPr>
            <w:tcW w:w="2111" w:type="dxa"/>
            <w:vAlign w:val="top"/>
          </w:tcPr>
          <w:p>
            <w:pPr>
              <w:pStyle w:val="TableText"/>
              <w:spacing w:before="84" w:line="235" w:lineRule="auto"/>
              <w:ind w:left="906"/>
              <w:rPr>
                <w:sz w:val="11"/>
                <w:szCs w:val="11"/>
              </w:rPr>
            </w:pPr>
            <w:r>
              <w:rPr>
                <w:spacing w:val="-4"/>
                <w:sz w:val="11"/>
                <w:szCs w:val="11"/>
              </w:rPr>
              <w:t>±0.5</w:t>
            </w:r>
          </w:p>
        </w:tc>
      </w:tr>
      <w:tr>
        <w:tblPrEx>
          <w:tblW w:w="6079" w:type="dxa"/>
          <w:tblInd w:w="110" w:type="dxa"/>
          <w:tblLayout w:type="fixed"/>
        </w:tblPrEx>
        <w:trPr>
          <w:trHeight w:val="269"/>
        </w:trPr>
        <w:tc>
          <w:tcPr>
            <w:tcW w:w="1842" w:type="dxa"/>
            <w:vAlign w:val="top"/>
          </w:tcPr>
          <w:p>
            <w:pPr>
              <w:pStyle w:val="TableText"/>
              <w:spacing w:before="96" w:line="184" w:lineRule="auto"/>
              <w:ind w:left="764"/>
              <w:rPr>
                <w:sz w:val="15"/>
                <w:szCs w:val="15"/>
              </w:rPr>
            </w:pPr>
            <w:r>
              <w:rPr>
                <w:spacing w:val="-2"/>
                <w:sz w:val="15"/>
                <w:szCs w:val="15"/>
              </w:rPr>
              <w:t>3150</w:t>
            </w:r>
          </w:p>
        </w:tc>
        <w:tc>
          <w:tcPr>
            <w:tcW w:w="2126" w:type="dxa"/>
            <w:vAlign w:val="top"/>
          </w:tcPr>
          <w:p>
            <w:pPr>
              <w:pStyle w:val="TableText"/>
              <w:spacing w:before="86" w:line="235" w:lineRule="auto"/>
              <w:ind w:left="912"/>
              <w:rPr>
                <w:sz w:val="11"/>
                <w:szCs w:val="11"/>
              </w:rPr>
            </w:pPr>
            <w:r>
              <w:rPr>
                <w:spacing w:val="-4"/>
                <w:sz w:val="11"/>
                <w:szCs w:val="11"/>
              </w:rPr>
              <w:t>±1.0</w:t>
            </w:r>
          </w:p>
        </w:tc>
        <w:tc>
          <w:tcPr>
            <w:tcW w:w="2111" w:type="dxa"/>
            <w:vAlign w:val="top"/>
          </w:tcPr>
          <w:p>
            <w:pPr>
              <w:pStyle w:val="TableText"/>
              <w:spacing w:before="86" w:line="235" w:lineRule="auto"/>
              <w:ind w:left="906"/>
              <w:rPr>
                <w:sz w:val="11"/>
                <w:szCs w:val="11"/>
              </w:rPr>
            </w:pPr>
            <w:r>
              <w:rPr>
                <w:spacing w:val="-4"/>
                <w:sz w:val="11"/>
                <w:szCs w:val="11"/>
              </w:rPr>
              <w:t>±0.5</w:t>
            </w:r>
          </w:p>
        </w:tc>
      </w:tr>
      <w:tr>
        <w:tblPrEx>
          <w:tblW w:w="6079" w:type="dxa"/>
          <w:tblInd w:w="110" w:type="dxa"/>
          <w:tblLayout w:type="fixed"/>
        </w:tblPrEx>
        <w:trPr>
          <w:trHeight w:val="269"/>
        </w:trPr>
        <w:tc>
          <w:tcPr>
            <w:tcW w:w="1842" w:type="dxa"/>
            <w:vAlign w:val="top"/>
          </w:tcPr>
          <w:p>
            <w:pPr>
              <w:pStyle w:val="TableText"/>
              <w:spacing w:before="97" w:line="183" w:lineRule="auto"/>
              <w:ind w:left="764"/>
              <w:rPr>
                <w:sz w:val="15"/>
                <w:szCs w:val="15"/>
              </w:rPr>
            </w:pPr>
            <w:r>
              <w:rPr>
                <w:spacing w:val="-1"/>
                <w:sz w:val="15"/>
                <w:szCs w:val="15"/>
              </w:rPr>
              <w:t>4000</w:t>
            </w:r>
          </w:p>
        </w:tc>
        <w:tc>
          <w:tcPr>
            <w:tcW w:w="2126" w:type="dxa"/>
            <w:vAlign w:val="top"/>
          </w:tcPr>
          <w:p>
            <w:pPr>
              <w:pStyle w:val="TableText"/>
              <w:spacing w:before="86" w:line="235" w:lineRule="auto"/>
              <w:ind w:left="892"/>
              <w:rPr>
                <w:sz w:val="11"/>
                <w:szCs w:val="11"/>
              </w:rPr>
            </w:pPr>
            <w:r>
              <w:rPr>
                <w:spacing w:val="-3"/>
                <w:sz w:val="11"/>
                <w:szCs w:val="11"/>
              </w:rPr>
              <w:t>±1.25</w:t>
            </w:r>
          </w:p>
        </w:tc>
        <w:tc>
          <w:tcPr>
            <w:tcW w:w="2111" w:type="dxa"/>
            <w:vAlign w:val="top"/>
          </w:tcPr>
          <w:p>
            <w:pPr>
              <w:pStyle w:val="TableText"/>
              <w:spacing w:before="86" w:line="235" w:lineRule="auto"/>
              <w:ind w:left="906"/>
              <w:rPr>
                <w:sz w:val="11"/>
                <w:szCs w:val="11"/>
              </w:rPr>
            </w:pPr>
            <w:r>
              <w:rPr>
                <w:spacing w:val="-4"/>
                <w:sz w:val="11"/>
                <w:szCs w:val="11"/>
              </w:rPr>
              <w:t>±0.5</w:t>
            </w:r>
          </w:p>
        </w:tc>
      </w:tr>
      <w:tr>
        <w:tblPrEx>
          <w:tblW w:w="6079" w:type="dxa"/>
          <w:tblInd w:w="110" w:type="dxa"/>
          <w:tblLayout w:type="fixed"/>
        </w:tblPrEx>
        <w:trPr>
          <w:trHeight w:val="269"/>
        </w:trPr>
        <w:tc>
          <w:tcPr>
            <w:tcW w:w="1842" w:type="dxa"/>
            <w:vAlign w:val="top"/>
          </w:tcPr>
          <w:p>
            <w:pPr>
              <w:pStyle w:val="TableText"/>
              <w:spacing w:before="98" w:line="183" w:lineRule="auto"/>
              <w:ind w:left="764"/>
              <w:rPr>
                <w:sz w:val="15"/>
                <w:szCs w:val="15"/>
              </w:rPr>
            </w:pPr>
            <w:r>
              <w:rPr>
                <w:spacing w:val="-2"/>
                <w:sz w:val="15"/>
                <w:szCs w:val="15"/>
              </w:rPr>
              <w:t>5000</w:t>
            </w:r>
          </w:p>
        </w:tc>
        <w:tc>
          <w:tcPr>
            <w:tcW w:w="2126" w:type="dxa"/>
            <w:vAlign w:val="top"/>
          </w:tcPr>
          <w:p>
            <w:pPr>
              <w:pStyle w:val="TableText"/>
              <w:spacing w:before="88" w:line="235" w:lineRule="auto"/>
              <w:ind w:left="912"/>
              <w:rPr>
                <w:sz w:val="11"/>
                <w:szCs w:val="11"/>
              </w:rPr>
            </w:pPr>
            <w:r>
              <w:rPr>
                <w:spacing w:val="-4"/>
                <w:sz w:val="11"/>
                <w:szCs w:val="11"/>
              </w:rPr>
              <w:t>±1.5</w:t>
            </w:r>
          </w:p>
        </w:tc>
        <w:tc>
          <w:tcPr>
            <w:tcW w:w="2111" w:type="dxa"/>
            <w:vAlign w:val="top"/>
          </w:tcPr>
          <w:p>
            <w:pPr>
              <w:pStyle w:val="TableText"/>
              <w:spacing w:before="88" w:line="235" w:lineRule="auto"/>
              <w:ind w:left="886"/>
              <w:rPr>
                <w:sz w:val="11"/>
                <w:szCs w:val="11"/>
              </w:rPr>
            </w:pPr>
            <w:r>
              <w:rPr>
                <w:spacing w:val="-3"/>
                <w:sz w:val="11"/>
                <w:szCs w:val="11"/>
              </w:rPr>
              <w:t>±0.75</w:t>
            </w:r>
          </w:p>
        </w:tc>
      </w:tr>
      <w:tr>
        <w:tblPrEx>
          <w:tblW w:w="6079" w:type="dxa"/>
          <w:tblInd w:w="110" w:type="dxa"/>
          <w:tblLayout w:type="fixed"/>
        </w:tblPrEx>
        <w:trPr>
          <w:trHeight w:val="259"/>
        </w:trPr>
        <w:tc>
          <w:tcPr>
            <w:tcW w:w="1842" w:type="dxa"/>
            <w:vAlign w:val="top"/>
          </w:tcPr>
          <w:p>
            <w:pPr>
              <w:pStyle w:val="TableText"/>
              <w:spacing w:before="99" w:line="183" w:lineRule="auto"/>
              <w:ind w:left="764"/>
              <w:rPr>
                <w:sz w:val="15"/>
                <w:szCs w:val="15"/>
              </w:rPr>
            </w:pPr>
            <w:r>
              <w:rPr>
                <w:spacing w:val="-2"/>
                <w:sz w:val="15"/>
                <w:szCs w:val="15"/>
              </w:rPr>
              <w:t>6300</w:t>
            </w:r>
          </w:p>
        </w:tc>
        <w:tc>
          <w:tcPr>
            <w:tcW w:w="2126" w:type="dxa"/>
            <w:vAlign w:val="top"/>
          </w:tcPr>
          <w:p>
            <w:pPr>
              <w:pStyle w:val="TableText"/>
              <w:spacing w:before="88" w:line="235" w:lineRule="auto"/>
              <w:ind w:left="892"/>
              <w:rPr>
                <w:sz w:val="11"/>
                <w:szCs w:val="11"/>
              </w:rPr>
            </w:pPr>
            <w:r>
              <w:rPr>
                <w:spacing w:val="-3"/>
                <w:sz w:val="11"/>
                <w:szCs w:val="11"/>
              </w:rPr>
              <w:t>±1.75</w:t>
            </w:r>
          </w:p>
        </w:tc>
        <w:tc>
          <w:tcPr>
            <w:tcW w:w="2111" w:type="dxa"/>
            <w:vAlign w:val="top"/>
          </w:tcPr>
          <w:p>
            <w:pPr>
              <w:pStyle w:val="TableText"/>
              <w:spacing w:before="88" w:line="235" w:lineRule="auto"/>
              <w:ind w:left="906"/>
              <w:rPr>
                <w:sz w:val="11"/>
                <w:szCs w:val="11"/>
              </w:rPr>
            </w:pPr>
            <w:r>
              <w:rPr>
                <w:spacing w:val="-4"/>
                <w:sz w:val="11"/>
                <w:szCs w:val="11"/>
              </w:rPr>
              <w:t>±1.0</w:t>
            </w:r>
          </w:p>
        </w:tc>
      </w:tr>
      <w:tr>
        <w:tblPrEx>
          <w:tblW w:w="6079" w:type="dxa"/>
          <w:tblInd w:w="110" w:type="dxa"/>
          <w:tblLayout w:type="fixed"/>
        </w:tblPrEx>
        <w:trPr>
          <w:trHeight w:val="269"/>
        </w:trPr>
        <w:tc>
          <w:tcPr>
            <w:tcW w:w="1842" w:type="dxa"/>
            <w:vAlign w:val="top"/>
          </w:tcPr>
          <w:p>
            <w:pPr>
              <w:pStyle w:val="TableText"/>
              <w:spacing w:before="100" w:line="183" w:lineRule="auto"/>
              <w:ind w:left="764"/>
              <w:rPr>
                <w:sz w:val="15"/>
                <w:szCs w:val="15"/>
              </w:rPr>
            </w:pPr>
            <w:r>
              <w:rPr>
                <w:spacing w:val="-2"/>
                <w:sz w:val="15"/>
                <w:szCs w:val="15"/>
              </w:rPr>
              <w:t>8000</w:t>
            </w:r>
          </w:p>
        </w:tc>
        <w:tc>
          <w:tcPr>
            <w:tcW w:w="2126" w:type="dxa"/>
            <w:vAlign w:val="top"/>
          </w:tcPr>
          <w:p>
            <w:pPr>
              <w:pStyle w:val="TableText"/>
              <w:spacing w:before="90" w:line="235" w:lineRule="auto"/>
              <w:ind w:left="912"/>
              <w:rPr>
                <w:sz w:val="11"/>
                <w:szCs w:val="11"/>
              </w:rPr>
            </w:pPr>
            <w:r>
              <w:rPr>
                <w:spacing w:val="-4"/>
                <w:sz w:val="11"/>
                <w:szCs w:val="11"/>
              </w:rPr>
              <w:t>±2.0</w:t>
            </w:r>
          </w:p>
        </w:tc>
        <w:tc>
          <w:tcPr>
            <w:tcW w:w="2111" w:type="dxa"/>
            <w:vAlign w:val="top"/>
          </w:tcPr>
          <w:p>
            <w:pPr>
              <w:pStyle w:val="TableText"/>
              <w:spacing w:before="90" w:line="235" w:lineRule="auto"/>
              <w:ind w:left="886"/>
              <w:rPr>
                <w:sz w:val="11"/>
                <w:szCs w:val="11"/>
              </w:rPr>
            </w:pPr>
            <w:r>
              <w:rPr>
                <w:spacing w:val="-3"/>
                <w:sz w:val="11"/>
                <w:szCs w:val="11"/>
              </w:rPr>
              <w:t>±1.25</w:t>
            </w:r>
          </w:p>
        </w:tc>
      </w:tr>
      <w:tr>
        <w:tblPrEx>
          <w:tblW w:w="6079" w:type="dxa"/>
          <w:tblInd w:w="110" w:type="dxa"/>
          <w:tblLayout w:type="fixed"/>
        </w:tblPrEx>
        <w:trPr>
          <w:trHeight w:val="269"/>
        </w:trPr>
        <w:tc>
          <w:tcPr>
            <w:tcW w:w="1842" w:type="dxa"/>
            <w:vAlign w:val="top"/>
          </w:tcPr>
          <w:p>
            <w:pPr>
              <w:pStyle w:val="TableText"/>
              <w:spacing w:before="101" w:line="184" w:lineRule="auto"/>
              <w:ind w:left="724"/>
              <w:rPr>
                <w:sz w:val="15"/>
                <w:szCs w:val="15"/>
              </w:rPr>
            </w:pPr>
            <w:r>
              <w:rPr>
                <w:spacing w:val="-3"/>
                <w:sz w:val="15"/>
                <w:szCs w:val="15"/>
              </w:rPr>
              <w:t>10000</w:t>
            </w:r>
          </w:p>
        </w:tc>
        <w:tc>
          <w:tcPr>
            <w:tcW w:w="2126" w:type="dxa"/>
            <w:vAlign w:val="top"/>
          </w:tcPr>
          <w:p>
            <w:pPr>
              <w:pStyle w:val="TableText"/>
              <w:spacing w:before="88" w:line="183" w:lineRule="auto"/>
              <w:ind w:left="712"/>
              <w:rPr>
                <w:sz w:val="15"/>
                <w:szCs w:val="15"/>
              </w:rPr>
            </w:pPr>
            <w:r>
              <w:rPr>
                <w:spacing w:val="-1"/>
                <w:sz w:val="15"/>
                <w:szCs w:val="15"/>
              </w:rPr>
              <w:t>+2.0;-6.0</w:t>
            </w:r>
          </w:p>
        </w:tc>
        <w:tc>
          <w:tcPr>
            <w:tcW w:w="2111" w:type="dxa"/>
            <w:vAlign w:val="top"/>
          </w:tcPr>
          <w:p>
            <w:pPr>
              <w:pStyle w:val="TableText"/>
              <w:spacing w:before="91" w:line="235" w:lineRule="auto"/>
              <w:ind w:left="906"/>
              <w:rPr>
                <w:sz w:val="11"/>
                <w:szCs w:val="11"/>
              </w:rPr>
            </w:pPr>
            <w:r>
              <w:rPr>
                <w:spacing w:val="-4"/>
                <w:sz w:val="11"/>
                <w:szCs w:val="11"/>
              </w:rPr>
              <w:t>±1.5</w:t>
            </w:r>
          </w:p>
        </w:tc>
      </w:tr>
      <w:tr>
        <w:tblPrEx>
          <w:tblW w:w="6079" w:type="dxa"/>
          <w:tblInd w:w="110" w:type="dxa"/>
          <w:tblLayout w:type="fixed"/>
        </w:tblPrEx>
        <w:trPr>
          <w:trHeight w:val="269"/>
        </w:trPr>
        <w:tc>
          <w:tcPr>
            <w:tcW w:w="1842" w:type="dxa"/>
            <w:vAlign w:val="top"/>
          </w:tcPr>
          <w:p>
            <w:pPr>
              <w:pStyle w:val="TableText"/>
              <w:spacing w:before="102" w:line="184" w:lineRule="auto"/>
              <w:ind w:left="724"/>
              <w:rPr>
                <w:sz w:val="15"/>
                <w:szCs w:val="15"/>
              </w:rPr>
            </w:pPr>
            <w:r>
              <w:rPr>
                <w:spacing w:val="-3"/>
                <w:sz w:val="15"/>
                <w:szCs w:val="15"/>
              </w:rPr>
              <w:t>12500</w:t>
            </w:r>
          </w:p>
        </w:tc>
        <w:tc>
          <w:tcPr>
            <w:tcW w:w="2126" w:type="dxa"/>
            <w:vAlign w:val="top"/>
          </w:tcPr>
          <w:p>
            <w:pPr>
              <w:pStyle w:val="TableText"/>
              <w:spacing w:before="88" w:line="184" w:lineRule="auto"/>
              <w:ind w:left="682"/>
              <w:rPr>
                <w:sz w:val="15"/>
                <w:szCs w:val="15"/>
              </w:rPr>
            </w:pPr>
            <w:r>
              <w:rPr>
                <w:spacing w:val="-1"/>
                <w:sz w:val="15"/>
                <w:szCs w:val="15"/>
              </w:rPr>
              <w:t>+2.0;-10.0</w:t>
            </w:r>
          </w:p>
        </w:tc>
        <w:tc>
          <w:tcPr>
            <w:tcW w:w="2111" w:type="dxa"/>
            <w:vAlign w:val="top"/>
          </w:tcPr>
          <w:p>
            <w:pPr>
              <w:pStyle w:val="TableText"/>
              <w:spacing w:before="91" w:line="235" w:lineRule="auto"/>
              <w:ind w:left="906"/>
              <w:rPr>
                <w:sz w:val="11"/>
                <w:szCs w:val="11"/>
              </w:rPr>
            </w:pPr>
            <w:r>
              <w:rPr>
                <w:spacing w:val="-4"/>
                <w:sz w:val="11"/>
                <w:szCs w:val="11"/>
              </w:rPr>
              <w:t>±1.7</w:t>
            </w:r>
          </w:p>
        </w:tc>
      </w:tr>
      <w:tr>
        <w:tblPrEx>
          <w:tblW w:w="6079" w:type="dxa"/>
          <w:tblInd w:w="110" w:type="dxa"/>
          <w:tblLayout w:type="fixed"/>
        </w:tblPrEx>
        <w:trPr>
          <w:trHeight w:val="274"/>
        </w:trPr>
        <w:tc>
          <w:tcPr>
            <w:tcW w:w="1842" w:type="dxa"/>
            <w:vAlign w:val="top"/>
          </w:tcPr>
          <w:p>
            <w:pPr>
              <w:pStyle w:val="TableText"/>
              <w:spacing w:before="103" w:line="184" w:lineRule="auto"/>
              <w:ind w:left="724"/>
              <w:rPr>
                <w:sz w:val="15"/>
                <w:szCs w:val="15"/>
              </w:rPr>
            </w:pPr>
            <w:r>
              <w:rPr>
                <w:spacing w:val="-3"/>
                <w:sz w:val="15"/>
                <w:szCs w:val="15"/>
              </w:rPr>
              <w:t>16000</w:t>
            </w:r>
          </w:p>
        </w:tc>
        <w:tc>
          <w:tcPr>
            <w:tcW w:w="2126" w:type="dxa"/>
            <w:vAlign w:val="top"/>
          </w:tcPr>
          <w:p>
            <w:pPr>
              <w:pStyle w:val="TableText"/>
              <w:spacing w:before="67" w:line="221" w:lineRule="auto"/>
              <w:ind w:left="792"/>
              <w:rPr>
                <w:sz w:val="15"/>
                <w:szCs w:val="15"/>
              </w:rPr>
            </w:pPr>
            <w:r>
              <w:rPr>
                <w:spacing w:val="-1"/>
                <w:sz w:val="15"/>
                <w:szCs w:val="15"/>
              </w:rPr>
              <w:t>+2.0;-x</w:t>
            </w:r>
          </w:p>
        </w:tc>
        <w:tc>
          <w:tcPr>
            <w:tcW w:w="2111" w:type="dxa"/>
            <w:vAlign w:val="top"/>
          </w:tcPr>
          <w:p>
            <w:pPr>
              <w:pStyle w:val="TableText"/>
              <w:spacing w:before="93" w:line="235" w:lineRule="auto"/>
              <w:ind w:left="906"/>
              <w:rPr>
                <w:sz w:val="11"/>
                <w:szCs w:val="11"/>
              </w:rPr>
            </w:pPr>
            <w:r>
              <w:rPr>
                <w:spacing w:val="-4"/>
                <w:sz w:val="11"/>
                <w:szCs w:val="11"/>
              </w:rPr>
              <w:t>±2.0</w:t>
            </w:r>
          </w:p>
        </w:tc>
      </w:tr>
    </w:tbl>
    <w:p>
      <w:pPr>
        <w:spacing w:before="55" w:line="220" w:lineRule="auto"/>
        <w:ind w:left="350"/>
        <w:rPr>
          <w:rFonts w:ascii="KaiTi" w:eastAsia="KaiTi" w:hAnsi="KaiTi" w:cs="KaiTi"/>
          <w:sz w:val="16"/>
          <w:szCs w:val="16"/>
        </w:rPr>
      </w:pPr>
      <w:r>
        <w:rPr>
          <w:rFonts w:ascii="KaiTi" w:eastAsia="KaiTi" w:hAnsi="KaiTi" w:cs="KaiTi"/>
          <w:spacing w:val="-12"/>
          <w:sz w:val="16"/>
          <w:szCs w:val="16"/>
        </w:rPr>
        <w:t>注：</w:t>
      </w:r>
      <w:r>
        <w:rPr>
          <w:rFonts w:ascii="Times New Roman" w:eastAsia="Times New Roman" w:hAnsi="Times New Roman" w:cs="Times New Roman"/>
          <w:spacing w:val="-12"/>
          <w:sz w:val="16"/>
          <w:szCs w:val="16"/>
        </w:rPr>
        <w:t xml:space="preserve">“WS1”  </w:t>
      </w:r>
      <w:r>
        <w:rPr>
          <w:rFonts w:ascii="KaiTi" w:eastAsia="KaiTi" w:hAnsi="KaiTi" w:cs="KaiTi"/>
          <w:spacing w:val="-12"/>
          <w:sz w:val="16"/>
          <w:szCs w:val="16"/>
        </w:rPr>
        <w:t>表示1英寸*传声器，</w:t>
      </w:r>
      <w:r>
        <w:rPr>
          <w:rFonts w:ascii="KaiTi" w:eastAsia="KaiTi" w:hAnsi="KaiTi" w:cs="KaiTi"/>
          <w:spacing w:val="-12"/>
          <w:sz w:val="16"/>
          <w:szCs w:val="16"/>
        </w:rPr>
        <w:t xml:space="preserve"> </w:t>
      </w:r>
      <w:r>
        <w:rPr>
          <w:rFonts w:ascii="Times New Roman" w:eastAsia="Times New Roman" w:hAnsi="Times New Roman" w:cs="Times New Roman"/>
          <w:spacing w:val="-12"/>
          <w:sz w:val="16"/>
          <w:szCs w:val="16"/>
        </w:rPr>
        <w:t xml:space="preserve">“WS2”  </w:t>
      </w:r>
      <w:r>
        <w:rPr>
          <w:rFonts w:ascii="KaiTi" w:eastAsia="KaiTi" w:hAnsi="KaiTi" w:cs="KaiTi"/>
          <w:spacing w:val="-12"/>
          <w:sz w:val="16"/>
          <w:szCs w:val="16"/>
        </w:rPr>
        <w:t>表示1/2英寸传声器。</w:t>
      </w:r>
    </w:p>
    <w:p>
      <w:pPr>
        <w:spacing w:before="193" w:line="223" w:lineRule="auto"/>
        <w:ind w:left="2"/>
        <w:rPr>
          <w:rFonts w:ascii="SimHei" w:eastAsia="SimHei" w:hAnsi="SimHei" w:cs="SimHei"/>
          <w:sz w:val="16"/>
          <w:szCs w:val="16"/>
        </w:rPr>
      </w:pPr>
      <w:r>
        <w:rPr>
          <w:rFonts w:ascii="SimHei" w:eastAsia="SimHei" w:hAnsi="SimHei" w:cs="SimHei"/>
          <w:b/>
          <w:bCs/>
          <w:sz w:val="16"/>
          <w:szCs w:val="16"/>
        </w:rPr>
        <w:t>6</w:t>
      </w:r>
      <w:r>
        <w:rPr>
          <w:rFonts w:ascii="SimHei" w:eastAsia="SimHei" w:hAnsi="SimHei" w:cs="SimHei"/>
          <w:spacing w:val="65"/>
          <w:w w:val="101"/>
          <w:sz w:val="16"/>
          <w:szCs w:val="16"/>
        </w:rPr>
        <w:t xml:space="preserve"> </w:t>
      </w:r>
      <w:r>
        <w:rPr>
          <w:rFonts w:ascii="SimHei" w:eastAsia="SimHei" w:hAnsi="SimHei" w:cs="SimHei"/>
          <w:b/>
          <w:bCs/>
          <w:sz w:val="16"/>
          <w:szCs w:val="16"/>
        </w:rPr>
        <w:t>计量器具控制</w:t>
      </w:r>
    </w:p>
    <w:p>
      <w:pPr>
        <w:pStyle w:val="BodyText"/>
        <w:spacing w:before="168" w:line="219" w:lineRule="auto"/>
        <w:ind w:left="350"/>
      </w:pPr>
      <w:r>
        <w:rPr>
          <w:spacing w:val="2"/>
        </w:rPr>
        <w:t>计量器具控制包括首次检定、后续检定以及使用中的</w:t>
      </w:r>
      <w:r>
        <w:rPr>
          <w:spacing w:val="1"/>
        </w:rPr>
        <w:t>检验。</w:t>
      </w:r>
    </w:p>
    <w:p>
      <w:pPr>
        <w:pStyle w:val="BodyText"/>
        <w:spacing w:before="60" w:line="219" w:lineRule="auto"/>
      </w:pPr>
      <w:r>
        <w:rPr>
          <w:spacing w:val="-2"/>
        </w:rPr>
        <w:t>6.1</w:t>
      </w:r>
      <w:r>
        <w:rPr>
          <w:spacing w:val="11"/>
        </w:rPr>
        <w:t xml:space="preserve">  </w:t>
      </w:r>
      <w:r>
        <w:rPr>
          <w:spacing w:val="-2"/>
        </w:rPr>
        <w:t>首次检定和后续检定</w:t>
      </w:r>
    </w:p>
    <w:p>
      <w:pPr>
        <w:pStyle w:val="BodyText"/>
        <w:spacing w:before="40" w:line="219" w:lineRule="auto"/>
        <w:ind w:left="2"/>
      </w:pPr>
      <w:r>
        <w:rPr>
          <w:b/>
          <w:bCs/>
          <w:spacing w:val="-6"/>
        </w:rPr>
        <w:t>6.1.1</w:t>
      </w:r>
      <w:r>
        <w:rPr>
          <w:spacing w:val="8"/>
        </w:rPr>
        <w:t xml:space="preserve">  </w:t>
      </w:r>
      <w:r>
        <w:rPr>
          <w:spacing w:val="-6"/>
        </w:rPr>
        <w:t>检定条件</w:t>
      </w:r>
    </w:p>
    <w:p>
      <w:pPr>
        <w:pStyle w:val="BodyText"/>
        <w:spacing w:before="71" w:line="254" w:lineRule="auto"/>
        <w:ind w:left="349" w:right="3802" w:hanging="347"/>
      </w:pPr>
      <w:hyperlink r:id="rId13" w:history="1">
        <w:r>
          <w:rPr>
            <w:b/>
            <w:bCs/>
            <w:spacing w:val="-2"/>
          </w:rPr>
          <w:t>6.1.1.1</w:t>
        </w:r>
      </w:hyperlink>
      <w:r>
        <w:rPr>
          <w:spacing w:val="-2"/>
        </w:rPr>
        <w:t xml:space="preserve">  计量标准和主要配套设备</w:t>
      </w:r>
      <w:r>
        <w:rPr>
          <w:spacing w:val="2"/>
        </w:rPr>
        <w:t xml:space="preserve"> </w:t>
      </w:r>
      <w:r>
        <w:rPr>
          <w:spacing w:val="7"/>
        </w:rPr>
        <w:t>1)声校准器</w:t>
      </w:r>
    </w:p>
    <w:p>
      <w:pPr>
        <w:pStyle w:val="BodyText"/>
        <w:spacing w:before="48" w:line="250" w:lineRule="auto"/>
        <w:ind w:right="82" w:firstLine="350"/>
      </w:pPr>
      <w:r>
        <w:rPr>
          <w:spacing w:val="3"/>
        </w:rPr>
        <w:t>声校准器的准确度等级应符合</w:t>
      </w:r>
      <w:r>
        <w:t>JG</w:t>
      </w:r>
      <w:r>
        <w:rPr>
          <w:spacing w:val="49"/>
        </w:rPr>
        <w:t xml:space="preserve"> </w:t>
      </w:r>
      <w:r>
        <w:rPr>
          <w:spacing w:val="3"/>
        </w:rPr>
        <w:t>176—1995</w:t>
      </w:r>
      <w:r>
        <w:rPr>
          <w:spacing w:val="2"/>
        </w:rPr>
        <w:t>《声校准器检定规程》中规定的0级或</w:t>
      </w:r>
      <w:r>
        <w:t xml:space="preserve"> </w:t>
      </w:r>
      <w:r>
        <w:rPr>
          <w:spacing w:val="3"/>
        </w:rPr>
        <w:t>1级的要求。</w:t>
      </w:r>
    </w:p>
    <w:p>
      <w:pPr>
        <w:pStyle w:val="BodyText"/>
        <w:spacing w:before="56" w:line="219" w:lineRule="auto"/>
        <w:ind w:left="350"/>
      </w:pPr>
      <w:r>
        <w:rPr>
          <w:spacing w:val="7"/>
        </w:rPr>
        <w:t>2)实验室标准传声器</w:t>
      </w:r>
    </w:p>
    <w:p>
      <w:pPr>
        <w:pStyle w:val="BodyText"/>
        <w:spacing w:before="60" w:line="229" w:lineRule="auto"/>
        <w:ind w:right="80" w:firstLine="350"/>
      </w:pPr>
      <w:r>
        <w:rPr>
          <w:spacing w:val="2"/>
        </w:rPr>
        <w:t>在检定频率上，实验室标准传声器的声压灵敏度级校准的测量扩展不确定</w:t>
      </w:r>
      <w:r>
        <w:rPr>
          <w:spacing w:val="1"/>
        </w:rPr>
        <w:t>度应优于</w:t>
      </w:r>
      <w:r>
        <w:t xml:space="preserve"> </w:t>
      </w:r>
      <w:r>
        <w:rPr>
          <w:rFonts w:ascii="Times New Roman" w:eastAsia="Times New Roman" w:hAnsi="Times New Roman" w:cs="Times New Roman"/>
          <w:spacing w:val="-1"/>
        </w:rPr>
        <w:t>(0.05~0.1)dB(k=2)</w:t>
      </w:r>
      <w:r>
        <w:rPr>
          <w:spacing w:val="-1"/>
        </w:rPr>
        <w:t>。</w:t>
      </w:r>
    </w:p>
    <w:p>
      <w:pPr>
        <w:pStyle w:val="BodyText"/>
        <w:spacing w:before="75" w:line="219" w:lineRule="auto"/>
        <w:ind w:left="350"/>
        <w:sectPr>
          <w:headerReference w:type="default" r:id="rId14"/>
          <w:footerReference w:type="default" r:id="rId15"/>
          <w:pgSz w:w="7380" w:h="10300"/>
          <w:pgMar w:top="680" w:right="639" w:bottom="280" w:left="479" w:header="448" w:footer="180" w:gutter="0"/>
          <w:pgNumType w:start="5"/>
          <w:cols w:space="708"/>
        </w:sectPr>
      </w:pPr>
      <w:r>
        <w:rPr>
          <w:spacing w:val="9"/>
        </w:rPr>
        <w:t>3)正弦信号发生器</w:t>
      </w:r>
    </w:p>
    <w:p>
      <w:pPr>
        <w:pStyle w:val="BodyText"/>
        <w:spacing w:before="60" w:line="251" w:lineRule="auto"/>
        <w:ind w:right="85" w:firstLine="350"/>
      </w:pPr>
      <w:r>
        <w:rPr>
          <w:spacing w:val="2"/>
        </w:rPr>
        <w:t>正弦信号发生器的频率范围为20</w:t>
      </w:r>
      <w:r>
        <w:rPr>
          <w:rFonts w:ascii="Times New Roman" w:eastAsia="Times New Roman" w:hAnsi="Times New Roman" w:cs="Times New Roman"/>
        </w:rPr>
        <w:t>Hz</w:t>
      </w:r>
      <w:r>
        <w:rPr>
          <w:rFonts w:ascii="Times New Roman" w:eastAsia="Times New Roman" w:hAnsi="Times New Roman" w:cs="Times New Roman"/>
          <w:spacing w:val="2"/>
        </w:rPr>
        <w:t>~16</w:t>
      </w:r>
      <w:r>
        <w:rPr>
          <w:rFonts w:ascii="Times New Roman" w:eastAsia="Times New Roman" w:hAnsi="Times New Roman" w:cs="Times New Roman"/>
        </w:rPr>
        <w:t>kHz</w:t>
      </w:r>
      <w:r>
        <w:rPr>
          <w:rFonts w:ascii="Times New Roman" w:eastAsia="Times New Roman" w:hAnsi="Times New Roman" w:cs="Times New Roman"/>
          <w:spacing w:val="2"/>
        </w:rPr>
        <w:t xml:space="preserve">,   </w:t>
      </w:r>
      <w:r>
        <w:rPr>
          <w:spacing w:val="2"/>
        </w:rPr>
        <w:t>幅频特性优于±0.1</w:t>
      </w:r>
      <w:r>
        <w:rPr>
          <w:rFonts w:ascii="Times New Roman" w:eastAsia="Times New Roman" w:hAnsi="Times New Roman" w:cs="Times New Roman"/>
        </w:rPr>
        <w:t>dB</w:t>
      </w:r>
      <w:r>
        <w:rPr>
          <w:rFonts w:ascii="Times New Roman" w:eastAsia="Times New Roman" w:hAnsi="Times New Roman" w:cs="Times New Roman"/>
          <w:spacing w:val="2"/>
        </w:rPr>
        <w:t xml:space="preserve">,  </w:t>
      </w:r>
      <w:r>
        <w:rPr>
          <w:spacing w:val="2"/>
        </w:rPr>
        <w:t>输出信号的谐</w:t>
      </w:r>
      <w:r>
        <w:rPr>
          <w:spacing w:val="14"/>
        </w:rPr>
        <w:t xml:space="preserve"> </w:t>
      </w:r>
      <w:r>
        <w:rPr>
          <w:spacing w:val="6"/>
        </w:rPr>
        <w:t>波失真不大于0.1%,在检定期间的幅值稳定度优于±0.02</w:t>
      </w:r>
      <w:r>
        <w:rPr>
          <w:rFonts w:ascii="Times New Roman" w:eastAsia="Times New Roman" w:hAnsi="Times New Roman" w:cs="Times New Roman"/>
        </w:rPr>
        <w:t>dB</w:t>
      </w:r>
      <w:r>
        <w:rPr>
          <w:spacing w:val="6"/>
        </w:rPr>
        <w:t>。</w:t>
      </w:r>
    </w:p>
    <w:p>
      <w:pPr>
        <w:pStyle w:val="BodyText"/>
        <w:spacing w:before="55" w:line="220" w:lineRule="auto"/>
        <w:ind w:left="350"/>
      </w:pPr>
      <w:r>
        <w:rPr>
          <w:spacing w:val="9"/>
        </w:rPr>
        <w:t>4)测量放大器</w:t>
      </w:r>
    </w:p>
    <w:p>
      <w:pPr>
        <w:pStyle w:val="BodyText"/>
        <w:spacing w:before="49" w:line="251" w:lineRule="auto"/>
        <w:ind w:right="80" w:firstLine="350"/>
      </w:pPr>
      <w:r>
        <w:rPr>
          <w:spacing w:val="6"/>
        </w:rPr>
        <w:t>测量放大器的频率范围为20</w:t>
      </w:r>
      <w:r>
        <w:rPr>
          <w:rFonts w:ascii="Times New Roman" w:eastAsia="Times New Roman" w:hAnsi="Times New Roman" w:cs="Times New Roman"/>
        </w:rPr>
        <w:t>Hz</w:t>
      </w:r>
      <w:r>
        <w:rPr>
          <w:spacing w:val="6"/>
        </w:rPr>
        <w:t>～</w:t>
      </w:r>
      <w:r>
        <w:rPr>
          <w:rFonts w:ascii="Times New Roman" w:eastAsia="Times New Roman" w:hAnsi="Times New Roman" w:cs="Times New Roman"/>
          <w:spacing w:val="6"/>
        </w:rPr>
        <w:t>16</w:t>
      </w:r>
      <w:r>
        <w:rPr>
          <w:rFonts w:ascii="Times New Roman" w:eastAsia="Times New Roman" w:hAnsi="Times New Roman" w:cs="Times New Roman"/>
        </w:rPr>
        <w:t>kHz</w:t>
      </w:r>
      <w:r>
        <w:rPr>
          <w:rFonts w:ascii="Times New Roman" w:eastAsia="Times New Roman" w:hAnsi="Times New Roman" w:cs="Times New Roman"/>
          <w:spacing w:val="6"/>
        </w:rPr>
        <w:t xml:space="preserve">,  </w:t>
      </w:r>
      <w:r>
        <w:rPr>
          <w:spacing w:val="6"/>
        </w:rPr>
        <w:t>频率响应优于±0.2</w:t>
      </w:r>
      <w:r>
        <w:rPr>
          <w:rFonts w:ascii="Times New Roman" w:eastAsia="Times New Roman" w:hAnsi="Times New Roman" w:cs="Times New Roman"/>
        </w:rPr>
        <w:t>dB</w:t>
      </w:r>
      <w:r>
        <w:rPr>
          <w:rFonts w:ascii="Times New Roman" w:eastAsia="Times New Roman" w:hAnsi="Times New Roman" w:cs="Times New Roman"/>
          <w:spacing w:val="6"/>
        </w:rPr>
        <w:t xml:space="preserve">,  </w:t>
      </w:r>
      <w:r>
        <w:rPr>
          <w:spacing w:val="6"/>
        </w:rPr>
        <w:t>谐</w:t>
      </w:r>
      <w:r>
        <w:rPr>
          <w:spacing w:val="5"/>
        </w:rPr>
        <w:t>波失真不大于</w:t>
      </w:r>
      <w:r>
        <w:t xml:space="preserve"> </w:t>
      </w:r>
      <w:r>
        <w:rPr>
          <w:spacing w:val="8"/>
        </w:rPr>
        <w:t>0.1%,在检定期间的稳定度优于±0.</w:t>
      </w:r>
      <w:r>
        <w:rPr>
          <w:spacing w:val="7"/>
        </w:rPr>
        <w:t>02</w:t>
      </w:r>
      <w:r>
        <w:rPr>
          <w:rFonts w:ascii="Times New Roman" w:eastAsia="Times New Roman" w:hAnsi="Times New Roman" w:cs="Times New Roman"/>
        </w:rPr>
        <w:t>dB</w:t>
      </w:r>
      <w:r>
        <w:rPr>
          <w:spacing w:val="7"/>
        </w:rPr>
        <w:t>。</w:t>
      </w:r>
    </w:p>
    <w:p>
      <w:pPr>
        <w:pStyle w:val="BodyText"/>
        <w:spacing w:before="65" w:line="219" w:lineRule="auto"/>
        <w:ind w:left="350"/>
      </w:pPr>
      <w:r>
        <w:rPr>
          <w:spacing w:val="9"/>
        </w:rPr>
        <w:t>5)带通滤波器</w:t>
      </w:r>
    </w:p>
    <w:p>
      <w:pPr>
        <w:pStyle w:val="BodyText"/>
        <w:spacing w:before="60" w:line="249" w:lineRule="auto"/>
        <w:ind w:right="77" w:firstLine="350"/>
      </w:pPr>
      <w:r>
        <w:rPr>
          <w:spacing w:val="4"/>
        </w:rPr>
        <w:t>带通滤波器应符合</w:t>
      </w:r>
      <w:r>
        <w:t>JJG</w:t>
      </w:r>
      <w:r>
        <w:rPr>
          <w:spacing w:val="4"/>
        </w:rPr>
        <w:t>449—2001《倍频程和1/3倍频程滤波器检定规程</w:t>
      </w:r>
      <w:r>
        <w:rPr>
          <w:spacing w:val="3"/>
        </w:rPr>
        <w:t>》中规定的</w:t>
      </w:r>
      <w:r>
        <w:t xml:space="preserve"> </w:t>
      </w:r>
      <w:r>
        <w:rPr>
          <w:spacing w:val="10"/>
        </w:rPr>
        <w:t>0级或1级倍频程和1/3倍频程滤波器的要求。</w:t>
      </w:r>
    </w:p>
    <w:p>
      <w:pPr>
        <w:pStyle w:val="BodyText"/>
        <w:spacing w:before="60" w:line="221" w:lineRule="auto"/>
        <w:ind w:left="350"/>
      </w:pPr>
      <w:r>
        <w:rPr>
          <w:spacing w:val="9"/>
        </w:rPr>
        <w:t>6)交流电压表</w:t>
      </w:r>
    </w:p>
    <w:p>
      <w:pPr>
        <w:spacing w:before="254" w:line="227" w:lineRule="auto"/>
        <w:ind w:left="199"/>
        <w:rPr>
          <w:rFonts w:ascii="KaiTi" w:eastAsia="KaiTi" w:hAnsi="KaiTi" w:cs="KaiTi"/>
          <w:sz w:val="10"/>
          <w:szCs w:val="10"/>
        </w:rPr>
      </w:pPr>
      <w:r>
        <w:rPr>
          <w:rFonts w:ascii="KaiTi" w:eastAsia="KaiTi" w:hAnsi="KaiTi" w:cs="KaiTi"/>
          <w:spacing w:val="9"/>
          <w:sz w:val="10"/>
          <w:szCs w:val="10"/>
        </w:rPr>
        <w:t>”1英寸=0</w:t>
      </w:r>
      <w:r>
        <w:rPr>
          <w:rFonts w:ascii="KaiTi" w:eastAsia="KaiTi" w:hAnsi="KaiTi" w:cs="KaiTi"/>
          <w:spacing w:val="-19"/>
          <w:sz w:val="10"/>
          <w:szCs w:val="10"/>
        </w:rPr>
        <w:t xml:space="preserve"> </w:t>
      </w:r>
      <w:r>
        <w:rPr>
          <w:rFonts w:ascii="KaiTi" w:eastAsia="KaiTi" w:hAnsi="KaiTi" w:cs="KaiTi"/>
          <w:spacing w:val="9"/>
          <w:sz w:val="10"/>
          <w:szCs w:val="10"/>
        </w:rPr>
        <w:t>.0254米</w:t>
      </w:r>
    </w:p>
    <w:p>
      <w:pPr>
        <w:spacing w:line="227" w:lineRule="auto"/>
        <w:rPr>
          <w:rFonts w:ascii="KaiTi" w:eastAsia="KaiTi" w:hAnsi="KaiTi" w:cs="KaiTi"/>
          <w:sz w:val="10"/>
          <w:szCs w:val="10"/>
        </w:rPr>
        <w:sectPr>
          <w:headerReference w:type="default" r:id="rId16"/>
          <w:footerReference w:type="default" r:id="rId17"/>
          <w:type w:val="nextPage"/>
          <w:pgSz w:w="7380" w:h="10300"/>
          <w:pgMar w:top="680" w:right="639" w:bottom="280" w:left="479" w:header="448" w:footer="180" w:gutter="0"/>
          <w:pgNumType w:start="6"/>
          <w:cols w:space="708"/>
          <w:titlePg w:val="0"/>
        </w:sectPr>
      </w:pPr>
    </w:p>
    <w:p>
      <w:pPr>
        <w:pStyle w:val="BodyText"/>
        <w:spacing w:before="156" w:line="240" w:lineRule="exact"/>
        <w:ind w:left="330"/>
      </w:pPr>
      <w:r>
        <w:rPr>
          <w:spacing w:val="4"/>
          <w:position w:val="5"/>
        </w:rPr>
        <w:t>在检定频率范围内，其最大允许误差应优于±0.5%。</w:t>
      </w:r>
    </w:p>
    <w:p>
      <w:pPr>
        <w:pStyle w:val="BodyText"/>
        <w:spacing w:line="219" w:lineRule="auto"/>
        <w:ind w:left="330"/>
      </w:pPr>
      <w:r>
        <w:rPr>
          <w:spacing w:val="8"/>
        </w:rPr>
        <w:t>7)有源耦合腔</w:t>
      </w:r>
    </w:p>
    <w:p>
      <w:pPr>
        <w:pStyle w:val="BodyText"/>
        <w:spacing w:before="39" w:line="254" w:lineRule="auto"/>
        <w:ind w:right="40" w:firstLine="330"/>
      </w:pPr>
      <w:r>
        <w:rPr>
          <w:spacing w:val="5"/>
        </w:rPr>
        <w:t>检定频率上，在5</w:t>
      </w:r>
      <w:r>
        <w:rPr>
          <w:rFonts w:ascii="Times New Roman" w:eastAsia="Times New Roman" w:hAnsi="Times New Roman" w:cs="Times New Roman"/>
          <w:spacing w:val="5"/>
        </w:rPr>
        <w:t>V</w:t>
      </w:r>
      <w:r>
        <w:rPr>
          <w:spacing w:val="5"/>
        </w:rPr>
        <w:t>有效值电压输入时，有源耦合腔中声信号的谐波失真应不大于</w:t>
      </w:r>
      <w:r>
        <w:rPr>
          <w:spacing w:val="2"/>
        </w:rPr>
        <w:t xml:space="preserve"> </w:t>
      </w:r>
      <w:r>
        <w:rPr>
          <w:spacing w:val="-7"/>
        </w:rPr>
        <w:t>1%。</w:t>
      </w:r>
    </w:p>
    <w:p>
      <w:pPr>
        <w:pStyle w:val="BodyText"/>
        <w:spacing w:before="29" w:line="219" w:lineRule="auto"/>
        <w:ind w:left="330"/>
      </w:pPr>
      <w:r>
        <w:rPr>
          <w:spacing w:val="9"/>
        </w:rPr>
        <w:t>8)高阻抗标准耳机</w:t>
      </w:r>
    </w:p>
    <w:p>
      <w:pPr>
        <w:pStyle w:val="BodyText"/>
        <w:spacing w:before="59" w:line="255" w:lineRule="auto"/>
        <w:ind w:right="34" w:firstLine="330"/>
      </w:pPr>
      <w:r>
        <w:rPr>
          <w:spacing w:val="10"/>
        </w:rPr>
        <w:t>高阻抗标准耳机的频率范围为20</w:t>
      </w:r>
      <w:r>
        <w:t>Hz</w:t>
      </w:r>
      <w:r>
        <w:rPr>
          <w:spacing w:val="10"/>
        </w:rPr>
        <w:t>~20</w:t>
      </w:r>
      <w:r>
        <w:t>kHz</w:t>
      </w:r>
      <w:r>
        <w:rPr>
          <w:spacing w:val="10"/>
        </w:rPr>
        <w:t>,  谐波失真不大于0.1%,在检定期间</w:t>
      </w:r>
      <w:r>
        <w:rPr>
          <w:spacing w:val="4"/>
        </w:rPr>
        <w:t xml:space="preserve"> </w:t>
      </w:r>
      <w:r>
        <w:rPr>
          <w:spacing w:val="-2"/>
        </w:rPr>
        <w:t>的声压稳定度优于±0.02</w:t>
      </w:r>
      <w:r>
        <w:rPr>
          <w:rFonts w:ascii="Times New Roman" w:eastAsia="Times New Roman" w:hAnsi="Times New Roman" w:cs="Times New Roman"/>
          <w:spacing w:val="-2"/>
        </w:rPr>
        <w:t>dB</w:t>
      </w:r>
      <w:r>
        <w:rPr>
          <w:spacing w:val="-2"/>
        </w:rPr>
        <w:t>。</w:t>
      </w:r>
    </w:p>
    <w:p>
      <w:pPr>
        <w:pStyle w:val="BodyText"/>
        <w:spacing w:before="50" w:line="219" w:lineRule="auto"/>
        <w:ind w:left="330"/>
      </w:pPr>
      <w:r>
        <w:rPr>
          <w:spacing w:val="10"/>
        </w:rPr>
        <w:t>9)参考仿真耳</w:t>
      </w:r>
    </w:p>
    <w:p>
      <w:pPr>
        <w:pStyle w:val="BodyText"/>
        <w:spacing w:before="29"/>
        <w:ind w:right="43" w:firstLine="330"/>
      </w:pPr>
      <w:r>
        <w:rPr>
          <w:spacing w:val="4"/>
        </w:rPr>
        <w:t>参考仿真耳的频率范围为50</w:t>
      </w:r>
      <w:r>
        <w:rPr>
          <w:rFonts w:ascii="Times New Roman" w:eastAsia="Times New Roman" w:hAnsi="Times New Roman" w:cs="Times New Roman"/>
        </w:rPr>
        <w:t>Hz</w:t>
      </w:r>
      <w:r>
        <w:rPr>
          <w:spacing w:val="4"/>
        </w:rPr>
        <w:t>～</w:t>
      </w:r>
      <w:r>
        <w:rPr>
          <w:rFonts w:ascii="Times New Roman" w:eastAsia="Times New Roman" w:hAnsi="Times New Roman" w:cs="Times New Roman"/>
          <w:spacing w:val="4"/>
        </w:rPr>
        <w:t>10</w:t>
      </w:r>
      <w:r>
        <w:rPr>
          <w:rFonts w:ascii="Times New Roman" w:eastAsia="Times New Roman" w:hAnsi="Times New Roman" w:cs="Times New Roman"/>
        </w:rPr>
        <w:t>kHz</w:t>
      </w:r>
      <w:r>
        <w:rPr>
          <w:rFonts w:ascii="Times New Roman" w:eastAsia="Times New Roman" w:hAnsi="Times New Roman" w:cs="Times New Roman"/>
          <w:spacing w:val="4"/>
        </w:rPr>
        <w:t>,</w:t>
      </w:r>
      <w:r>
        <w:rPr>
          <w:rFonts w:ascii="Times New Roman" w:eastAsia="Times New Roman" w:hAnsi="Times New Roman" w:cs="Times New Roman"/>
          <w:spacing w:val="22"/>
          <w:w w:val="101"/>
        </w:rPr>
        <w:t xml:space="preserve"> </w:t>
      </w:r>
      <w:r>
        <w:rPr>
          <w:spacing w:val="4"/>
        </w:rPr>
        <w:t>声压灵敏度级校准的测量扩展不确定度应</w:t>
      </w:r>
      <w:r>
        <w:t xml:space="preserve"> </w:t>
      </w:r>
      <w:r>
        <w:t>优于1.0</w:t>
      </w:r>
      <w:r>
        <w:rPr>
          <w:rFonts w:ascii="Times New Roman" w:eastAsia="Times New Roman" w:hAnsi="Times New Roman" w:cs="Times New Roman"/>
        </w:rPr>
        <w:t>dB(k=3)</w:t>
      </w:r>
      <w:r>
        <w:t>。</w:t>
      </w:r>
    </w:p>
    <w:p>
      <w:pPr>
        <w:spacing w:before="85" w:line="222" w:lineRule="auto"/>
        <w:ind w:left="330"/>
        <w:rPr>
          <w:rFonts w:ascii="SimHei" w:eastAsia="SimHei" w:hAnsi="SimHei" w:cs="SimHei"/>
          <w:sz w:val="16"/>
          <w:szCs w:val="16"/>
        </w:rPr>
      </w:pPr>
      <w:r>
        <w:rPr>
          <w:rFonts w:ascii="SimHei" w:eastAsia="SimHei" w:hAnsi="SimHei" w:cs="SimHei"/>
          <w:spacing w:val="8"/>
          <w:sz w:val="16"/>
          <w:szCs w:val="16"/>
        </w:rPr>
        <w:t>10)气压计</w:t>
      </w:r>
    </w:p>
    <w:p>
      <w:pPr>
        <w:pStyle w:val="BodyText"/>
        <w:spacing w:before="37" w:line="250" w:lineRule="exact"/>
        <w:ind w:left="330"/>
      </w:pPr>
      <w:r>
        <w:rPr>
          <w:position w:val="6"/>
        </w:rPr>
        <w:t>在检定环境条件内，气压计的最大允差应优于±0.2</w:t>
      </w:r>
      <w:r>
        <w:rPr>
          <w:rFonts w:ascii="Times New Roman" w:eastAsia="Times New Roman" w:hAnsi="Times New Roman" w:cs="Times New Roman"/>
          <w:position w:val="6"/>
        </w:rPr>
        <w:t>kPa</w:t>
      </w:r>
      <w:r>
        <w:rPr>
          <w:position w:val="6"/>
        </w:rPr>
        <w:t>。</w:t>
      </w:r>
    </w:p>
    <w:p>
      <w:pPr>
        <w:pStyle w:val="BodyText"/>
        <w:spacing w:before="1" w:line="220" w:lineRule="auto"/>
        <w:ind w:left="330"/>
      </w:pPr>
      <w:r>
        <w:rPr>
          <w:spacing w:val="7"/>
        </w:rPr>
        <w:t>11)温度计</w:t>
      </w:r>
    </w:p>
    <w:p>
      <w:pPr>
        <w:pStyle w:val="BodyText"/>
        <w:spacing w:before="48" w:line="241" w:lineRule="exact"/>
        <w:ind w:left="330"/>
      </w:pPr>
      <w:r>
        <w:rPr>
          <w:position w:val="5"/>
        </w:rPr>
        <w:t>在检定环境条件内，温度计的最大允差应优于±0.2℃。</w:t>
      </w:r>
    </w:p>
    <w:p>
      <w:pPr>
        <w:pStyle w:val="BodyText"/>
        <w:spacing w:line="220" w:lineRule="auto"/>
        <w:ind w:left="330"/>
      </w:pPr>
      <w:r>
        <w:rPr>
          <w:spacing w:val="7"/>
        </w:rPr>
        <w:t>12)湿度计</w:t>
      </w:r>
    </w:p>
    <w:p>
      <w:pPr>
        <w:pStyle w:val="BodyText"/>
        <w:spacing w:before="48" w:line="230" w:lineRule="exact"/>
        <w:ind w:left="330"/>
      </w:pPr>
      <w:r>
        <w:rPr>
          <w:spacing w:val="4"/>
          <w:position w:val="5"/>
        </w:rPr>
        <w:t>在检定环境条件内，湿度计的最大允差应优于±4%。</w:t>
      </w:r>
    </w:p>
    <w:p>
      <w:pPr>
        <w:pStyle w:val="BodyText"/>
        <w:spacing w:before="1" w:line="219" w:lineRule="auto"/>
        <w:ind w:left="2"/>
      </w:pPr>
      <w:hyperlink r:id="rId18" w:history="1">
        <w:r>
          <w:rPr>
            <w:b/>
            <w:bCs/>
            <w:spacing w:val="-5"/>
          </w:rPr>
          <w:t>6.1.1.2</w:t>
        </w:r>
      </w:hyperlink>
      <w:r>
        <w:rPr>
          <w:spacing w:val="83"/>
        </w:rPr>
        <w:t xml:space="preserve"> </w:t>
      </w:r>
      <w:r>
        <w:rPr>
          <w:spacing w:val="-5"/>
        </w:rPr>
        <w:t>参考环境条件</w:t>
      </w:r>
    </w:p>
    <w:p>
      <w:pPr>
        <w:pStyle w:val="BodyText"/>
        <w:spacing w:before="40" w:line="220" w:lineRule="auto"/>
        <w:ind w:left="330"/>
      </w:pPr>
      <w:r>
        <w:rPr>
          <w:spacing w:val="-8"/>
        </w:rPr>
        <w:t>温度：23℃</w:t>
      </w:r>
    </w:p>
    <w:p>
      <w:pPr>
        <w:pStyle w:val="BodyText"/>
        <w:spacing w:before="60" w:line="250" w:lineRule="exact"/>
        <w:ind w:left="330"/>
      </w:pPr>
      <w:r>
        <w:rPr>
          <w:spacing w:val="4"/>
          <w:position w:val="6"/>
        </w:rPr>
        <w:t>相对湿度：50%</w:t>
      </w:r>
    </w:p>
    <w:p>
      <w:pPr>
        <w:pStyle w:val="BodyText"/>
        <w:spacing w:before="1" w:line="220" w:lineRule="auto"/>
        <w:ind w:left="330"/>
        <w:rPr>
          <w:rFonts w:ascii="Times New Roman" w:eastAsia="Times New Roman" w:hAnsi="Times New Roman" w:cs="Times New Roman"/>
        </w:rPr>
      </w:pPr>
      <w:r>
        <w:rPr>
          <w:spacing w:val="-4"/>
        </w:rPr>
        <w:t>气压：101.3</w:t>
      </w:r>
      <w:r>
        <w:rPr>
          <w:rFonts w:ascii="Times New Roman" w:eastAsia="Times New Roman" w:hAnsi="Times New Roman" w:cs="Times New Roman"/>
          <w:spacing w:val="-4"/>
        </w:rPr>
        <w:t>kPa</w:t>
      </w:r>
    </w:p>
    <w:p>
      <w:pPr>
        <w:pStyle w:val="BodyText"/>
        <w:spacing w:before="47" w:line="241" w:lineRule="exact"/>
        <w:ind w:left="2"/>
      </w:pPr>
      <w:hyperlink r:id="rId19" w:history="1">
        <w:r>
          <w:rPr>
            <w:b/>
            <w:bCs/>
            <w:spacing w:val="-4"/>
            <w:position w:val="5"/>
          </w:rPr>
          <w:t>6.1.1.3</w:t>
        </w:r>
      </w:hyperlink>
      <w:r>
        <w:rPr>
          <w:spacing w:val="-4"/>
          <w:position w:val="5"/>
        </w:rPr>
        <w:t xml:space="preserve">  检定环境条件</w:t>
      </w:r>
    </w:p>
    <w:p>
      <w:pPr>
        <w:pStyle w:val="BodyText"/>
        <w:spacing w:line="220" w:lineRule="auto"/>
        <w:ind w:left="330"/>
      </w:pPr>
      <w:r>
        <w:rPr>
          <w:spacing w:val="-4"/>
        </w:rPr>
        <w:t>温度：23℃±3℃</w:t>
      </w:r>
    </w:p>
    <w:p>
      <w:pPr>
        <w:pStyle w:val="BodyText"/>
        <w:spacing w:before="49" w:line="220" w:lineRule="auto"/>
        <w:ind w:left="330"/>
      </w:pPr>
      <w:r>
        <w:rPr>
          <w:spacing w:val="7"/>
        </w:rPr>
        <w:t>相对湿度：50%±20%</w:t>
      </w:r>
    </w:p>
    <w:p>
      <w:pPr>
        <w:pStyle w:val="BodyText"/>
        <w:spacing w:before="50" w:line="239" w:lineRule="exact"/>
        <w:ind w:left="330"/>
        <w:rPr>
          <w:rFonts w:ascii="Times New Roman" w:eastAsia="Times New Roman" w:hAnsi="Times New Roman" w:cs="Times New Roman"/>
        </w:rPr>
      </w:pPr>
      <w:r>
        <w:rPr>
          <w:spacing w:val="-4"/>
          <w:position w:val="5"/>
        </w:rPr>
        <w:t>气压：101.3</w:t>
      </w:r>
      <w:r>
        <w:rPr>
          <w:rFonts w:ascii="Times New Roman" w:eastAsia="Times New Roman" w:hAnsi="Times New Roman" w:cs="Times New Roman"/>
          <w:spacing w:val="-4"/>
          <w:position w:val="5"/>
        </w:rPr>
        <w:t>kPa±3.0kPa</w:t>
      </w:r>
    </w:p>
    <w:p>
      <w:pPr>
        <w:pStyle w:val="BodyText"/>
        <w:spacing w:line="219" w:lineRule="auto"/>
        <w:ind w:left="2"/>
      </w:pPr>
      <w:r>
        <w:rPr>
          <w:b/>
          <w:bCs/>
          <w:spacing w:val="-4"/>
        </w:rPr>
        <w:t>6.1.2</w:t>
      </w:r>
      <w:r>
        <w:rPr>
          <w:spacing w:val="75"/>
        </w:rPr>
        <w:t xml:space="preserve"> </w:t>
      </w:r>
      <w:r>
        <w:rPr>
          <w:spacing w:val="-4"/>
        </w:rPr>
        <w:t>检定项目</w:t>
      </w:r>
    </w:p>
    <w:p>
      <w:pPr>
        <w:pStyle w:val="BodyText"/>
        <w:spacing w:before="51" w:line="219" w:lineRule="auto"/>
        <w:ind w:left="330"/>
        <w:sectPr>
          <w:headerReference w:type="default" r:id="rId20"/>
          <w:footerReference w:type="default" r:id="rId21"/>
          <w:pgSz w:w="7380" w:h="10300"/>
          <w:pgMar w:top="570" w:right="590" w:bottom="407" w:left="599" w:header="358" w:footer="298" w:gutter="0"/>
          <w:pgNumType w:start="7"/>
          <w:cols w:space="708"/>
        </w:sectPr>
      </w:pPr>
      <w:r>
        <w:rPr>
          <w:spacing w:val="1"/>
        </w:rPr>
        <w:t>仿真耳的检定项目见表2。</w:t>
      </w:r>
    </w:p>
    <w:p>
      <w:pPr>
        <w:spacing w:before="26" w:line="222" w:lineRule="auto"/>
        <w:ind w:left="1222"/>
        <w:rPr>
          <w:rFonts w:ascii="SimHei" w:eastAsia="SimHei" w:hAnsi="SimHei" w:cs="SimHei"/>
          <w:sz w:val="16"/>
          <w:szCs w:val="16"/>
        </w:rPr>
      </w:pPr>
      <w:r>
        <w:rPr>
          <w:rFonts w:ascii="SimHei" w:eastAsia="SimHei" w:hAnsi="SimHei" w:cs="SimHei"/>
          <w:b/>
          <w:bCs/>
          <w:spacing w:val="-14"/>
          <w:w w:val="97"/>
          <w:sz w:val="16"/>
          <w:szCs w:val="16"/>
        </w:rPr>
        <w:t>表2</w:t>
      </w:r>
      <w:r>
        <w:rPr>
          <w:rFonts w:ascii="SimHei" w:eastAsia="SimHei" w:hAnsi="SimHei" w:cs="SimHei"/>
          <w:spacing w:val="51"/>
          <w:sz w:val="16"/>
          <w:szCs w:val="16"/>
        </w:rPr>
        <w:t xml:space="preserve"> </w:t>
      </w:r>
      <w:r>
        <w:rPr>
          <w:rFonts w:ascii="SimHei" w:eastAsia="SimHei" w:hAnsi="SimHei" w:cs="SimHei"/>
          <w:b/>
          <w:bCs/>
          <w:spacing w:val="-14"/>
          <w:w w:val="97"/>
          <w:sz w:val="16"/>
          <w:szCs w:val="16"/>
        </w:rPr>
        <w:t>仿真耳的首次检定、后续检定和使用中检验项目一览表</w:t>
      </w:r>
    </w:p>
    <w:p>
      <w:pPr>
        <w:spacing w:line="50" w:lineRule="exact"/>
      </w:pPr>
    </w:p>
    <w:tbl>
      <w:tblPr>
        <w:tblStyle w:val="TableNormal3"/>
        <w:tblW w:w="60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2"/>
        <w:gridCol w:w="1418"/>
        <w:gridCol w:w="1417"/>
        <w:gridCol w:w="1412"/>
      </w:tblGrid>
      <w:tr>
        <w:tblPrEx>
          <w:tblW w:w="608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4"/>
        </w:trPr>
        <w:tc>
          <w:tcPr>
            <w:tcW w:w="1842" w:type="dxa"/>
            <w:vAlign w:val="top"/>
          </w:tcPr>
          <w:p>
            <w:pPr>
              <w:pStyle w:val="TableText"/>
              <w:spacing w:before="50" w:line="220" w:lineRule="auto"/>
              <w:ind w:left="785"/>
            </w:pPr>
            <w:r>
              <w:rPr>
                <w:spacing w:val="-4"/>
              </w:rPr>
              <w:t>项 目</w:t>
            </w:r>
          </w:p>
        </w:tc>
        <w:tc>
          <w:tcPr>
            <w:tcW w:w="1418" w:type="dxa"/>
            <w:vAlign w:val="top"/>
          </w:tcPr>
          <w:p>
            <w:pPr>
              <w:pStyle w:val="TableText"/>
              <w:spacing w:before="40" w:line="219" w:lineRule="auto"/>
              <w:ind w:left="423"/>
              <w:rPr>
                <w:sz w:val="14"/>
                <w:szCs w:val="14"/>
              </w:rPr>
            </w:pPr>
            <w:r>
              <w:rPr>
                <w:spacing w:val="-2"/>
                <w:sz w:val="14"/>
                <w:szCs w:val="14"/>
              </w:rPr>
              <w:t>首次检定</w:t>
            </w:r>
          </w:p>
        </w:tc>
        <w:tc>
          <w:tcPr>
            <w:tcW w:w="1417" w:type="dxa"/>
            <w:vAlign w:val="top"/>
          </w:tcPr>
          <w:p>
            <w:pPr>
              <w:pStyle w:val="TableText"/>
              <w:spacing w:before="40" w:line="219" w:lineRule="auto"/>
              <w:ind w:left="424"/>
              <w:rPr>
                <w:sz w:val="14"/>
                <w:szCs w:val="14"/>
              </w:rPr>
            </w:pPr>
            <w:r>
              <w:rPr>
                <w:spacing w:val="-2"/>
                <w:sz w:val="14"/>
                <w:szCs w:val="14"/>
              </w:rPr>
              <w:t>后续检定</w:t>
            </w:r>
          </w:p>
        </w:tc>
        <w:tc>
          <w:tcPr>
            <w:tcW w:w="1412" w:type="dxa"/>
            <w:vAlign w:val="top"/>
          </w:tcPr>
          <w:p>
            <w:pPr>
              <w:pStyle w:val="TableText"/>
              <w:spacing w:before="50" w:line="219" w:lineRule="auto"/>
              <w:ind w:left="378"/>
            </w:pPr>
            <w:r>
              <w:rPr>
                <w:spacing w:val="-1"/>
              </w:rPr>
              <w:t>使用中检验</w:t>
            </w:r>
          </w:p>
        </w:tc>
      </w:tr>
      <w:tr>
        <w:tblPrEx>
          <w:tblW w:w="6089" w:type="dxa"/>
          <w:tblInd w:w="40" w:type="dxa"/>
          <w:tblLayout w:type="fixed"/>
        </w:tblPrEx>
        <w:trPr>
          <w:trHeight w:val="219"/>
        </w:trPr>
        <w:tc>
          <w:tcPr>
            <w:tcW w:w="1842" w:type="dxa"/>
            <w:vAlign w:val="top"/>
          </w:tcPr>
          <w:p>
            <w:pPr>
              <w:pStyle w:val="TableText"/>
              <w:spacing w:before="46" w:line="219" w:lineRule="auto"/>
              <w:ind w:left="654"/>
            </w:pPr>
            <w:r>
              <w:rPr>
                <w:spacing w:val="-2"/>
              </w:rPr>
              <w:t>外观检查</w:t>
            </w:r>
          </w:p>
        </w:tc>
        <w:tc>
          <w:tcPr>
            <w:tcW w:w="1418" w:type="dxa"/>
            <w:vAlign w:val="top"/>
          </w:tcPr>
          <w:p>
            <w:pPr>
              <w:pStyle w:val="TableText"/>
              <w:spacing w:before="65" w:line="141" w:lineRule="exact"/>
              <w:ind w:left="672"/>
              <w:rPr>
                <w:sz w:val="10"/>
                <w:szCs w:val="10"/>
              </w:rPr>
            </w:pPr>
            <w:r>
              <w:rPr>
                <w:position w:val="1"/>
                <w:sz w:val="10"/>
                <w:szCs w:val="10"/>
              </w:rPr>
              <w:t>+</w:t>
            </w:r>
          </w:p>
        </w:tc>
        <w:tc>
          <w:tcPr>
            <w:tcW w:w="1417" w:type="dxa"/>
            <w:vAlign w:val="top"/>
          </w:tcPr>
          <w:p>
            <w:pPr>
              <w:pStyle w:val="TableText"/>
              <w:spacing w:before="65" w:line="141" w:lineRule="exact"/>
              <w:ind w:left="675"/>
              <w:rPr>
                <w:sz w:val="10"/>
                <w:szCs w:val="10"/>
              </w:rPr>
            </w:pPr>
            <w:r>
              <w:rPr>
                <w:position w:val="1"/>
                <w:sz w:val="10"/>
                <w:szCs w:val="10"/>
              </w:rPr>
              <w:t>+</w:t>
            </w:r>
          </w:p>
        </w:tc>
        <w:tc>
          <w:tcPr>
            <w:tcW w:w="1412" w:type="dxa"/>
            <w:vAlign w:val="top"/>
          </w:tcPr>
          <w:p>
            <w:pPr>
              <w:pStyle w:val="TableText"/>
              <w:spacing w:before="79" w:line="85" w:lineRule="exact"/>
              <w:ind w:left="687"/>
              <w:rPr>
                <w:sz w:val="6"/>
                <w:szCs w:val="6"/>
              </w:rPr>
            </w:pPr>
            <w:r>
              <w:rPr>
                <w:sz w:val="6"/>
                <w:szCs w:val="6"/>
              </w:rPr>
              <w:t>+</w:t>
            </w:r>
          </w:p>
        </w:tc>
      </w:tr>
      <w:tr>
        <w:tblPrEx>
          <w:tblW w:w="6089" w:type="dxa"/>
          <w:tblInd w:w="40" w:type="dxa"/>
          <w:tblLayout w:type="fixed"/>
        </w:tblPrEx>
        <w:trPr>
          <w:trHeight w:val="219"/>
        </w:trPr>
        <w:tc>
          <w:tcPr>
            <w:tcW w:w="1842" w:type="dxa"/>
            <w:vAlign w:val="top"/>
          </w:tcPr>
          <w:p>
            <w:pPr>
              <w:pStyle w:val="TableText"/>
              <w:spacing w:before="46" w:line="219" w:lineRule="auto"/>
              <w:ind w:left="585"/>
            </w:pPr>
            <w:r>
              <w:rPr>
                <w:spacing w:val="-1"/>
              </w:rPr>
              <w:t>使用说明书</w:t>
            </w:r>
          </w:p>
        </w:tc>
        <w:tc>
          <w:tcPr>
            <w:tcW w:w="1418" w:type="dxa"/>
            <w:vAlign w:val="top"/>
          </w:tcPr>
          <w:p>
            <w:pPr>
              <w:pStyle w:val="TableText"/>
              <w:spacing w:before="66" w:line="141" w:lineRule="exact"/>
              <w:ind w:left="672"/>
              <w:rPr>
                <w:sz w:val="10"/>
                <w:szCs w:val="10"/>
              </w:rPr>
            </w:pPr>
            <w:r>
              <w:rPr>
                <w:position w:val="1"/>
                <w:sz w:val="10"/>
                <w:szCs w:val="10"/>
              </w:rPr>
              <w:t>+</w:t>
            </w:r>
          </w:p>
        </w:tc>
        <w:tc>
          <w:tcPr>
            <w:tcW w:w="1417" w:type="dxa"/>
            <w:vAlign w:val="top"/>
          </w:tcPr>
          <w:p>
            <w:pPr>
              <w:pStyle w:val="TableText"/>
              <w:spacing w:before="153" w:line="55" w:lineRule="exact"/>
              <w:ind w:left="655"/>
              <w:rPr>
                <w:sz w:val="10"/>
                <w:szCs w:val="10"/>
              </w:rPr>
            </w:pPr>
            <w:r>
              <w:rPr>
                <w:position w:val="-3"/>
                <w:sz w:val="10"/>
                <w:szCs w:val="10"/>
              </w:rPr>
              <w:t>一</w:t>
            </w:r>
          </w:p>
        </w:tc>
        <w:tc>
          <w:tcPr>
            <w:tcW w:w="1412" w:type="dxa"/>
            <w:vAlign w:val="top"/>
          </w:tcPr>
          <w:p>
            <w:pPr>
              <w:pStyle w:val="TableText"/>
              <w:spacing w:before="153" w:line="55" w:lineRule="exact"/>
              <w:ind w:left="647"/>
              <w:rPr>
                <w:sz w:val="10"/>
                <w:szCs w:val="10"/>
              </w:rPr>
            </w:pPr>
            <w:r>
              <w:rPr>
                <w:position w:val="-3"/>
                <w:sz w:val="10"/>
                <w:szCs w:val="10"/>
              </w:rPr>
              <w:t>一</w:t>
            </w:r>
          </w:p>
        </w:tc>
      </w:tr>
      <w:tr>
        <w:tblPrEx>
          <w:tblW w:w="6089" w:type="dxa"/>
          <w:tblInd w:w="40" w:type="dxa"/>
          <w:tblLayout w:type="fixed"/>
        </w:tblPrEx>
        <w:trPr>
          <w:trHeight w:val="219"/>
        </w:trPr>
        <w:tc>
          <w:tcPr>
            <w:tcW w:w="1842" w:type="dxa"/>
            <w:vAlign w:val="top"/>
          </w:tcPr>
          <w:p>
            <w:pPr>
              <w:pStyle w:val="TableText"/>
              <w:spacing w:before="48" w:line="219" w:lineRule="auto"/>
              <w:ind w:left="654"/>
            </w:pPr>
            <w:r>
              <w:rPr>
                <w:spacing w:val="-2"/>
              </w:rPr>
              <w:t>频率范围</w:t>
            </w:r>
          </w:p>
        </w:tc>
        <w:tc>
          <w:tcPr>
            <w:tcW w:w="1418" w:type="dxa"/>
            <w:vAlign w:val="top"/>
          </w:tcPr>
          <w:p>
            <w:pPr>
              <w:pStyle w:val="TableText"/>
              <w:spacing w:before="67" w:line="141" w:lineRule="exact"/>
              <w:ind w:left="672"/>
              <w:rPr>
                <w:sz w:val="10"/>
                <w:szCs w:val="10"/>
              </w:rPr>
            </w:pPr>
            <w:r>
              <w:rPr>
                <w:position w:val="1"/>
                <w:sz w:val="10"/>
                <w:szCs w:val="10"/>
              </w:rPr>
              <w:t>+</w:t>
            </w:r>
          </w:p>
        </w:tc>
        <w:tc>
          <w:tcPr>
            <w:tcW w:w="1417" w:type="dxa"/>
            <w:vAlign w:val="top"/>
          </w:tcPr>
          <w:p>
            <w:pPr>
              <w:pStyle w:val="TableText"/>
              <w:spacing w:before="67" w:line="141" w:lineRule="exact"/>
              <w:ind w:left="675"/>
              <w:rPr>
                <w:sz w:val="10"/>
                <w:szCs w:val="10"/>
              </w:rPr>
            </w:pPr>
            <w:r>
              <w:rPr>
                <w:position w:val="1"/>
                <w:sz w:val="10"/>
                <w:szCs w:val="10"/>
              </w:rPr>
              <w:t>+</w:t>
            </w:r>
          </w:p>
        </w:tc>
        <w:tc>
          <w:tcPr>
            <w:tcW w:w="1412" w:type="dxa"/>
            <w:vAlign w:val="top"/>
          </w:tcPr>
          <w:p>
            <w:pPr>
              <w:pStyle w:val="TableText"/>
              <w:spacing w:before="144" w:line="64" w:lineRule="exact"/>
              <w:ind w:left="647"/>
              <w:rPr>
                <w:sz w:val="10"/>
                <w:szCs w:val="10"/>
              </w:rPr>
            </w:pPr>
            <w:r>
              <w:rPr>
                <w:position w:val="-2"/>
                <w:sz w:val="10"/>
                <w:szCs w:val="10"/>
              </w:rPr>
              <w:t>一</w:t>
            </w:r>
          </w:p>
        </w:tc>
      </w:tr>
      <w:tr>
        <w:tblPrEx>
          <w:tblW w:w="6089" w:type="dxa"/>
          <w:tblInd w:w="40" w:type="dxa"/>
          <w:tblLayout w:type="fixed"/>
        </w:tblPrEx>
        <w:trPr>
          <w:trHeight w:val="488"/>
        </w:trPr>
        <w:tc>
          <w:tcPr>
            <w:tcW w:w="1842" w:type="dxa"/>
            <w:vAlign w:val="top"/>
          </w:tcPr>
          <w:p>
            <w:pPr>
              <w:pStyle w:val="TableText"/>
              <w:spacing w:before="179" w:line="219" w:lineRule="auto"/>
              <w:ind w:left="654"/>
            </w:pPr>
            <w:r>
              <w:rPr>
                <w:spacing w:val="-2"/>
              </w:rPr>
              <w:t>声耦合腔</w:t>
            </w:r>
          </w:p>
        </w:tc>
        <w:tc>
          <w:tcPr>
            <w:tcW w:w="1418" w:type="dxa"/>
            <w:vAlign w:val="top"/>
          </w:tcPr>
          <w:p>
            <w:pPr>
              <w:pStyle w:val="TableText"/>
              <w:spacing w:before="138" w:line="141" w:lineRule="exact"/>
              <w:ind w:left="672"/>
              <w:rPr>
                <w:sz w:val="10"/>
                <w:szCs w:val="10"/>
              </w:rPr>
            </w:pPr>
            <w:r>
              <w:rPr>
                <w:position w:val="1"/>
                <w:sz w:val="10"/>
                <w:szCs w:val="10"/>
              </w:rPr>
              <w:t>+</w:t>
            </w:r>
          </w:p>
          <w:p>
            <w:pPr>
              <w:pStyle w:val="TableText"/>
              <w:spacing w:before="30" w:line="220" w:lineRule="auto"/>
              <w:ind w:left="312"/>
              <w:rPr>
                <w:sz w:val="14"/>
                <w:szCs w:val="14"/>
              </w:rPr>
            </w:pPr>
            <w:r>
              <w:rPr>
                <w:spacing w:val="3"/>
                <w:sz w:val="14"/>
                <w:szCs w:val="14"/>
              </w:rPr>
              <w:t>(1/3倍频程)</w:t>
            </w:r>
          </w:p>
        </w:tc>
        <w:tc>
          <w:tcPr>
            <w:tcW w:w="1417" w:type="dxa"/>
            <w:vAlign w:val="top"/>
          </w:tcPr>
          <w:p>
            <w:pPr>
              <w:pStyle w:val="TableText"/>
              <w:spacing w:before="128" w:line="141" w:lineRule="exact"/>
              <w:ind w:left="675"/>
              <w:rPr>
                <w:sz w:val="10"/>
                <w:szCs w:val="10"/>
              </w:rPr>
            </w:pPr>
            <w:r>
              <w:rPr>
                <w:position w:val="1"/>
                <w:sz w:val="10"/>
                <w:szCs w:val="10"/>
              </w:rPr>
              <w:t>+</w:t>
            </w:r>
          </w:p>
          <w:p>
            <w:pPr>
              <w:pStyle w:val="TableText"/>
              <w:spacing w:before="40" w:line="220" w:lineRule="auto"/>
              <w:ind w:left="424"/>
              <w:rPr>
                <w:sz w:val="14"/>
                <w:szCs w:val="14"/>
              </w:rPr>
            </w:pPr>
            <w:r>
              <w:rPr>
                <w:spacing w:val="6"/>
                <w:sz w:val="14"/>
                <w:szCs w:val="14"/>
              </w:rPr>
              <w:t>(倍频程)</w:t>
            </w:r>
          </w:p>
        </w:tc>
        <w:tc>
          <w:tcPr>
            <w:tcW w:w="1412" w:type="dxa"/>
            <w:vAlign w:val="top"/>
          </w:tcPr>
          <w:p>
            <w:pPr>
              <w:pStyle w:val="TableText"/>
              <w:spacing w:before="175" w:line="78" w:lineRule="exact"/>
              <w:ind w:left="647"/>
              <w:rPr>
                <w:sz w:val="10"/>
                <w:szCs w:val="10"/>
              </w:rPr>
            </w:pPr>
            <w:r>
              <w:rPr>
                <w:position w:val="-2"/>
                <w:sz w:val="10"/>
                <w:szCs w:val="10"/>
              </w:rPr>
              <w:t>一</w:t>
            </w:r>
          </w:p>
        </w:tc>
      </w:tr>
      <w:tr>
        <w:tblPrEx>
          <w:tblW w:w="6089" w:type="dxa"/>
          <w:tblInd w:w="40" w:type="dxa"/>
          <w:tblLayout w:type="fixed"/>
        </w:tblPrEx>
        <w:trPr>
          <w:trHeight w:val="219"/>
        </w:trPr>
        <w:tc>
          <w:tcPr>
            <w:tcW w:w="1842" w:type="dxa"/>
            <w:vAlign w:val="top"/>
          </w:tcPr>
          <w:p>
            <w:pPr>
              <w:pStyle w:val="TableText"/>
              <w:spacing w:before="50" w:line="219" w:lineRule="auto"/>
              <w:ind w:left="585"/>
            </w:pPr>
            <w:r>
              <w:rPr>
                <w:spacing w:val="-1"/>
              </w:rPr>
              <w:t>静压力均衡</w:t>
            </w:r>
          </w:p>
        </w:tc>
        <w:tc>
          <w:tcPr>
            <w:tcW w:w="1418" w:type="dxa"/>
            <w:vAlign w:val="top"/>
          </w:tcPr>
          <w:p>
            <w:pPr>
              <w:pStyle w:val="TableText"/>
              <w:spacing w:before="70" w:line="138" w:lineRule="exact"/>
              <w:ind w:left="672"/>
              <w:rPr>
                <w:sz w:val="10"/>
                <w:szCs w:val="10"/>
              </w:rPr>
            </w:pPr>
            <w:r>
              <w:rPr>
                <w:position w:val="1"/>
                <w:sz w:val="10"/>
                <w:szCs w:val="10"/>
              </w:rPr>
              <w:t>+</w:t>
            </w:r>
          </w:p>
        </w:tc>
        <w:tc>
          <w:tcPr>
            <w:tcW w:w="1417" w:type="dxa"/>
            <w:vAlign w:val="top"/>
          </w:tcPr>
          <w:p>
            <w:pPr>
              <w:spacing w:line="208" w:lineRule="exact"/>
              <w:rPr>
                <w:rFonts w:ascii="Arial"/>
                <w:sz w:val="18"/>
              </w:rPr>
            </w:pPr>
            <w:r>
              <w:pict>
                <v:shapetype id="_x0000_t202" coordsize="21600,21600" o:spt="202" path="m,l,21600r21600,l21600,xe">
                  <v:stroke joinstyle="miter"/>
                  <v:path gradientshapeok="t" o:connecttype="rect"/>
                </v:shapetype>
                <v:shape id="_x0000_s1025" type="#_x0000_t202" style="width:4.85pt;height:14.1pt;margin-top:-5.35pt;margin-left:-37.6pt;mso-position-horizontal-relative:right-margin-area;mso-position-vertical-relative:top-margin-area;position:absolute;z-index:251660288" filled="f" stroked="f">
                  <o:lock v:ext="edit" aspectratio="f"/>
                  <v:textbox inset="0,0,0,0">
                    <w:txbxContent>
                      <w:p>
                        <w:pPr>
                          <w:tabs>
                            <w:tab w:val="left" w:pos="75"/>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1412" w:type="dxa"/>
            <w:vAlign w:val="top"/>
          </w:tcPr>
          <w:p>
            <w:pPr>
              <w:spacing w:line="208" w:lineRule="exact"/>
              <w:rPr>
                <w:rFonts w:ascii="Arial"/>
                <w:sz w:val="18"/>
              </w:rPr>
            </w:pPr>
            <w:r>
              <w:pict>
                <v:shape id="_x0000_s1026" type="#_x0000_t202" style="width:4.85pt;height:14.1pt;margin-top:-5.35pt;margin-left:-37.7pt;mso-position-horizontal-relative:right-margin-area;mso-position-vertical-relative:top-margin-area;position:absolute;z-index:251659264" filled="f" stroked="f">
                  <o:lock v:ext="edit" aspectratio="f"/>
                  <v:textbox inset="0,0,0,0">
                    <w:txbxContent>
                      <w:p>
                        <w:pPr>
                          <w:tabs>
                            <w:tab w:val="left" w:pos="75"/>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r>
      <w:tr>
        <w:tblPrEx>
          <w:tblW w:w="6089" w:type="dxa"/>
          <w:tblInd w:w="40" w:type="dxa"/>
          <w:tblLayout w:type="fixed"/>
        </w:tblPrEx>
        <w:trPr>
          <w:trHeight w:val="478"/>
        </w:trPr>
        <w:tc>
          <w:tcPr>
            <w:tcW w:w="1842" w:type="dxa"/>
            <w:vAlign w:val="top"/>
          </w:tcPr>
          <w:p>
            <w:pPr>
              <w:pStyle w:val="TableText"/>
              <w:spacing w:before="181" w:line="219" w:lineRule="auto"/>
              <w:ind w:left="454"/>
            </w:pPr>
            <w:r>
              <w:rPr>
                <w:spacing w:val="-1"/>
              </w:rPr>
              <w:t>传声器频率响应</w:t>
            </w:r>
          </w:p>
        </w:tc>
        <w:tc>
          <w:tcPr>
            <w:tcW w:w="1418" w:type="dxa"/>
            <w:vAlign w:val="top"/>
          </w:tcPr>
          <w:p>
            <w:pPr>
              <w:pStyle w:val="TableText"/>
              <w:spacing w:before="111" w:line="141" w:lineRule="exact"/>
              <w:ind w:left="672"/>
              <w:rPr>
                <w:sz w:val="10"/>
                <w:szCs w:val="10"/>
              </w:rPr>
            </w:pPr>
            <w:r>
              <w:rPr>
                <w:position w:val="1"/>
                <w:sz w:val="10"/>
                <w:szCs w:val="10"/>
              </w:rPr>
              <w:t>+</w:t>
            </w:r>
          </w:p>
          <w:p>
            <w:pPr>
              <w:pStyle w:val="TableText"/>
              <w:spacing w:before="50" w:line="217" w:lineRule="auto"/>
              <w:ind w:left="312"/>
              <w:rPr>
                <w:sz w:val="14"/>
                <w:szCs w:val="14"/>
              </w:rPr>
            </w:pPr>
            <w:r>
              <w:rPr>
                <w:spacing w:val="3"/>
                <w:sz w:val="14"/>
                <w:szCs w:val="14"/>
              </w:rPr>
              <w:t>(1/3倍频程)</w:t>
            </w:r>
          </w:p>
        </w:tc>
        <w:tc>
          <w:tcPr>
            <w:tcW w:w="1417" w:type="dxa"/>
            <w:vAlign w:val="top"/>
          </w:tcPr>
          <w:p>
            <w:pPr>
              <w:pStyle w:val="TableText"/>
              <w:spacing w:before="111" w:line="141" w:lineRule="exact"/>
              <w:ind w:left="675"/>
              <w:rPr>
                <w:sz w:val="10"/>
                <w:szCs w:val="10"/>
              </w:rPr>
            </w:pPr>
            <w:r>
              <w:rPr>
                <w:position w:val="1"/>
                <w:sz w:val="10"/>
                <w:szCs w:val="10"/>
              </w:rPr>
              <w:t>+</w:t>
            </w:r>
          </w:p>
          <w:p>
            <w:pPr>
              <w:pStyle w:val="TableText"/>
              <w:spacing w:before="50" w:line="217" w:lineRule="auto"/>
              <w:ind w:left="424"/>
              <w:rPr>
                <w:sz w:val="14"/>
                <w:szCs w:val="14"/>
              </w:rPr>
            </w:pPr>
            <w:r>
              <w:rPr>
                <w:spacing w:val="6"/>
                <w:sz w:val="14"/>
                <w:szCs w:val="14"/>
              </w:rPr>
              <w:t>(倍频程)</w:t>
            </w:r>
          </w:p>
        </w:tc>
        <w:tc>
          <w:tcPr>
            <w:tcW w:w="1412" w:type="dxa"/>
            <w:vAlign w:val="top"/>
          </w:tcPr>
          <w:p>
            <w:pPr>
              <w:rPr>
                <w:rFonts w:ascii="Arial"/>
                <w:sz w:val="21"/>
              </w:rPr>
            </w:pPr>
          </w:p>
        </w:tc>
      </w:tr>
      <w:tr>
        <w:tblPrEx>
          <w:tblW w:w="6089" w:type="dxa"/>
          <w:tblInd w:w="40" w:type="dxa"/>
          <w:tblLayout w:type="fixed"/>
        </w:tblPrEx>
        <w:trPr>
          <w:trHeight w:val="234"/>
        </w:trPr>
        <w:tc>
          <w:tcPr>
            <w:tcW w:w="1842" w:type="dxa"/>
            <w:vAlign w:val="top"/>
          </w:tcPr>
          <w:p>
            <w:pPr>
              <w:pStyle w:val="TableText"/>
              <w:spacing w:before="54" w:line="219" w:lineRule="auto"/>
              <w:ind w:left="134"/>
            </w:pPr>
            <w:r>
              <w:rPr>
                <w:spacing w:val="2"/>
              </w:rPr>
              <w:t>灵敏度调节(包括测量系统)</w:t>
            </w:r>
          </w:p>
        </w:tc>
        <w:tc>
          <w:tcPr>
            <w:tcW w:w="1418" w:type="dxa"/>
            <w:vAlign w:val="top"/>
          </w:tcPr>
          <w:p>
            <w:pPr>
              <w:pStyle w:val="TableText"/>
              <w:spacing w:before="129" w:line="47" w:lineRule="exact"/>
              <w:ind w:left="672"/>
              <w:rPr>
                <w:sz w:val="6"/>
                <w:szCs w:val="6"/>
              </w:rPr>
            </w:pPr>
            <w:r>
              <w:rPr>
                <w:position w:val="-1"/>
                <w:sz w:val="6"/>
                <w:szCs w:val="6"/>
              </w:rPr>
              <w:t>一</w:t>
            </w:r>
          </w:p>
        </w:tc>
        <w:tc>
          <w:tcPr>
            <w:tcW w:w="1417" w:type="dxa"/>
            <w:vAlign w:val="top"/>
          </w:tcPr>
          <w:p>
            <w:pPr>
              <w:spacing w:line="224" w:lineRule="exact"/>
              <w:rPr>
                <w:rFonts w:ascii="Arial"/>
                <w:sz w:val="19"/>
              </w:rPr>
            </w:pPr>
            <w:r>
              <w:pict>
                <v:shape id="_x0000_s1027" type="#_x0000_t202" style="width:4.85pt;height:14.1pt;margin-top:-4.19pt;margin-left:-37.6pt;mso-position-horizontal-relative:right-margin-area;mso-position-vertical-relative:top-margin-area;position:absolute;z-index:251661312" filled="f" stroked="f">
                  <o:lock v:ext="edit" aspectratio="f"/>
                  <v:textbox inset="0,0,0,0">
                    <w:txbxContent>
                      <w:p>
                        <w:pPr>
                          <w:tabs>
                            <w:tab w:val="left" w:pos="75"/>
                          </w:tabs>
                          <w:spacing w:before="20" w:line="241" w:lineRule="exact"/>
                          <w:ind w:left="20"/>
                          <w:rPr>
                            <w:rFonts w:ascii="Arial"/>
                            <w:sz w:val="21"/>
                          </w:rPr>
                        </w:pPr>
                        <w:r>
                          <w:rPr>
                            <w:rFonts w:ascii="Arial" w:eastAsia="Arial" w:hAnsi="Arial" w:cs="Arial"/>
                            <w:sz w:val="21"/>
                            <w:szCs w:val="21"/>
                            <w:u w:val="single" w:color="auto"/>
                          </w:rPr>
                          <w:tab/>
                        </w:r>
                      </w:p>
                    </w:txbxContent>
                  </v:textbox>
                </v:shape>
              </w:pict>
            </w:r>
          </w:p>
        </w:tc>
        <w:tc>
          <w:tcPr>
            <w:tcW w:w="1412" w:type="dxa"/>
            <w:vAlign w:val="top"/>
          </w:tcPr>
          <w:p>
            <w:pPr>
              <w:pStyle w:val="TableText"/>
              <w:spacing w:before="112" w:line="221" w:lineRule="auto"/>
              <w:ind w:left="658"/>
              <w:rPr>
                <w:sz w:val="8"/>
                <w:szCs w:val="8"/>
              </w:rPr>
            </w:pPr>
            <w:r>
              <w:rPr>
                <w:sz w:val="8"/>
                <w:szCs w:val="8"/>
              </w:rPr>
              <w:t>十</w:t>
            </w:r>
          </w:p>
        </w:tc>
      </w:tr>
    </w:tbl>
    <w:p>
      <w:pPr>
        <w:spacing w:before="48" w:line="220" w:lineRule="auto"/>
        <w:ind w:left="279"/>
        <w:rPr>
          <w:rFonts w:ascii="FangSong" w:eastAsia="FangSong" w:hAnsi="FangSong" w:cs="FangSong"/>
          <w:sz w:val="16"/>
          <w:szCs w:val="16"/>
        </w:rPr>
      </w:pPr>
      <w:r>
        <w:rPr>
          <w:rFonts w:ascii="FangSong" w:eastAsia="FangSong" w:hAnsi="FangSong" w:cs="FangSong"/>
          <w:spacing w:val="-18"/>
          <w:sz w:val="16"/>
          <w:szCs w:val="16"/>
        </w:rPr>
        <w:t>注：“+”表示需要检定的项目，“-”表示不需要检定的项目。</w:t>
      </w:r>
    </w:p>
    <w:p>
      <w:pPr>
        <w:spacing w:line="220" w:lineRule="auto"/>
        <w:rPr>
          <w:rFonts w:ascii="FangSong" w:eastAsia="FangSong" w:hAnsi="FangSong" w:cs="FangSong"/>
          <w:sz w:val="16"/>
          <w:szCs w:val="16"/>
        </w:rPr>
        <w:sectPr>
          <w:headerReference w:type="default" r:id="rId22"/>
          <w:footerReference w:type="default" r:id="rId23"/>
          <w:type w:val="nextPage"/>
          <w:pgSz w:w="7380" w:h="10300"/>
          <w:pgMar w:top="570" w:right="590" w:bottom="407" w:left="599" w:header="358" w:footer="298" w:gutter="0"/>
          <w:pgNumType w:start="8"/>
          <w:cols w:space="708"/>
          <w:titlePg w:val="0"/>
        </w:sectPr>
      </w:pPr>
    </w:p>
    <w:p>
      <w:pPr>
        <w:pStyle w:val="BodyText"/>
        <w:spacing w:before="136" w:line="219" w:lineRule="auto"/>
        <w:ind w:left="2"/>
      </w:pPr>
      <w:r>
        <w:rPr>
          <w:b/>
          <w:bCs/>
          <w:spacing w:val="-5"/>
        </w:rPr>
        <w:t>6.1.3</w:t>
      </w:r>
      <w:r>
        <w:rPr>
          <w:spacing w:val="-5"/>
        </w:rPr>
        <w:t xml:space="preserve">  检定方法</w:t>
      </w:r>
    </w:p>
    <w:p>
      <w:pPr>
        <w:pStyle w:val="BodyText"/>
        <w:spacing w:before="70" w:line="219" w:lineRule="auto"/>
        <w:ind w:left="2"/>
      </w:pPr>
      <w:hyperlink r:id="rId24" w:history="1">
        <w:r>
          <w:rPr>
            <w:b/>
            <w:bCs/>
            <w:spacing w:val="-5"/>
          </w:rPr>
          <w:t>6.1.3.1</w:t>
        </w:r>
      </w:hyperlink>
      <w:r>
        <w:rPr>
          <w:spacing w:val="-5"/>
        </w:rPr>
        <w:t xml:space="preserve">  外观检查</w:t>
      </w:r>
    </w:p>
    <w:p>
      <w:pPr>
        <w:pStyle w:val="BodyText"/>
        <w:spacing w:before="40" w:line="247" w:lineRule="auto"/>
        <w:ind w:right="101" w:firstLine="310"/>
      </w:pPr>
      <w:r>
        <w:rPr>
          <w:spacing w:val="6"/>
        </w:rPr>
        <w:t>仿真耳应具有清晰的铭牌和标志，包括产品名称、型号、序列号和制造商</w:t>
      </w:r>
      <w:r>
        <w:rPr>
          <w:spacing w:val="5"/>
        </w:rPr>
        <w:t>的名称</w:t>
      </w:r>
      <w:r>
        <w:t xml:space="preserve"> </w:t>
      </w:r>
      <w:r>
        <w:t>等，外观不应有机械损伤。</w:t>
      </w:r>
    </w:p>
    <w:p>
      <w:pPr>
        <w:pStyle w:val="BodyText"/>
        <w:spacing w:before="61" w:line="219" w:lineRule="auto"/>
        <w:ind w:left="2"/>
      </w:pPr>
      <w:hyperlink r:id="rId25" w:history="1">
        <w:r>
          <w:rPr>
            <w:b/>
            <w:bCs/>
            <w:spacing w:val="-4"/>
          </w:rPr>
          <w:t>6.1.3.2</w:t>
        </w:r>
      </w:hyperlink>
      <w:r>
        <w:rPr>
          <w:spacing w:val="-4"/>
        </w:rPr>
        <w:t xml:space="preserve">  频率范围与声耦合腔</w:t>
      </w:r>
    </w:p>
    <w:p>
      <w:pPr>
        <w:pStyle w:val="BodyText"/>
        <w:spacing w:before="9" w:line="271" w:lineRule="auto"/>
        <w:ind w:right="30" w:firstLine="310"/>
      </w:pPr>
      <w:r>
        <w:rPr>
          <w:spacing w:val="3"/>
        </w:rPr>
        <w:t>被检仿真耳声耦合腔的有效体积的差异是通过与参考仿真耳的声压量值比较求得，</w:t>
      </w:r>
      <w:r>
        <w:rPr>
          <w:spacing w:val="10"/>
        </w:rPr>
        <w:t xml:space="preserve"> </w:t>
      </w:r>
      <w:r>
        <w:rPr>
          <w:spacing w:val="8"/>
        </w:rPr>
        <w:t>参考仿真耳(包括传声器)与被检仿真耳的类型应相同。检定装置如图1所示。</w:t>
      </w:r>
    </w:p>
    <w:p>
      <w:pPr>
        <w:spacing w:line="262" w:lineRule="auto"/>
        <w:rPr>
          <w:rFonts w:ascii="Arial"/>
          <w:sz w:val="21"/>
        </w:rPr>
      </w:pPr>
    </w:p>
    <w:p>
      <w:pPr>
        <w:pStyle w:val="BodyText"/>
        <w:spacing w:before="1" w:line="1269" w:lineRule="exact"/>
        <w:ind w:firstLine="950"/>
      </w:pPr>
      <w:r>
        <w:rPr>
          <w:position w:val="-25"/>
        </w:rPr>
        <w:pict>
          <v:group id="_x0000_i1028" style="width:220pt;height:63.45pt;mso-position-horizontal-relative:char;mso-position-vertical-relative:line" coordorigin="0,0" coordsize="4400,1269"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4400;height:1160;position:absolute" filled="f" stroked="f">
              <v:imagedata r:id="rId26" o:title=""/>
            </v:shape>
            <v:shape id="_x0000_s1030" type="#_x0000_t202" style="width:1496;height:1274;left:1419;position:absolute;top:15" filled="f" stroked="f">
              <o:lock v:ext="edit" aspectratio="f"/>
              <v:textbox inset="0,0,0,0">
                <w:txbxContent>
                  <w:p>
                    <w:pPr>
                      <w:spacing w:before="19" w:line="222" w:lineRule="auto"/>
                      <w:ind w:left="179"/>
                      <w:rPr>
                        <w:rFonts w:ascii="SimSun" w:eastAsia="SimSun" w:hAnsi="SimSun" w:cs="SimSun"/>
                        <w:sz w:val="16"/>
                        <w:szCs w:val="16"/>
                      </w:rPr>
                    </w:pPr>
                    <w:r>
                      <w:rPr>
                        <w:rFonts w:ascii="SimHei" w:eastAsia="SimHei" w:hAnsi="SimHei" w:cs="SimHei"/>
                        <w:spacing w:val="-15"/>
                        <w:w w:val="95"/>
                        <w:sz w:val="16"/>
                        <w:szCs w:val="16"/>
                      </w:rPr>
                      <w:t>静态力4.5</w:t>
                    </w:r>
                    <w:r>
                      <w:rPr>
                        <w:rFonts w:ascii="SimSun" w:eastAsia="SimSun" w:hAnsi="SimSun" w:cs="SimSun"/>
                        <w:spacing w:val="-15"/>
                        <w:w w:val="95"/>
                        <w:sz w:val="16"/>
                        <w:szCs w:val="16"/>
                      </w:rPr>
                      <w:t>N±0.5N</w:t>
                    </w:r>
                  </w:p>
                  <w:p>
                    <w:pPr>
                      <w:spacing w:before="147" w:line="219" w:lineRule="auto"/>
                      <w:ind w:left="339"/>
                      <w:rPr>
                        <w:rFonts w:ascii="SimSun" w:eastAsia="SimSun" w:hAnsi="SimSun" w:cs="SimSun"/>
                        <w:sz w:val="16"/>
                        <w:szCs w:val="16"/>
                      </w:rPr>
                    </w:pPr>
                    <w:r>
                      <w:rPr>
                        <w:rFonts w:ascii="SimSun" w:eastAsia="SimSun" w:hAnsi="SimSun" w:cs="SimSun"/>
                        <w:spacing w:val="-11"/>
                        <w:w w:val="93"/>
                        <w:sz w:val="16"/>
                        <w:szCs w:val="16"/>
                      </w:rPr>
                      <w:t>高阻抗耳机</w:t>
                    </w:r>
                  </w:p>
                  <w:p>
                    <w:pPr>
                      <w:spacing w:before="241" w:line="222" w:lineRule="auto"/>
                      <w:jc w:val="right"/>
                      <w:rPr>
                        <w:rFonts w:ascii="SimHei" w:eastAsia="SimHei" w:hAnsi="SimHei" w:cs="SimHei"/>
                        <w:sz w:val="16"/>
                        <w:szCs w:val="16"/>
                      </w:rPr>
                    </w:pPr>
                    <w:r>
                      <w:rPr>
                        <w:rFonts w:ascii="SimHei" w:eastAsia="SimHei" w:hAnsi="SimHei" w:cs="SimHei"/>
                        <w:spacing w:val="-11"/>
                        <w:w w:val="88"/>
                        <w:sz w:val="16"/>
                        <w:szCs w:val="16"/>
                      </w:rPr>
                      <w:t>测量</w:t>
                    </w:r>
                    <w:r>
                      <w:rPr>
                        <w:rFonts w:ascii="SimHei" w:eastAsia="SimHei" w:hAnsi="SimHei" w:cs="SimHei"/>
                        <w:spacing w:val="-10"/>
                        <w:w w:val="88"/>
                        <w:sz w:val="16"/>
                        <w:szCs w:val="16"/>
                      </w:rPr>
                      <w:t>放大</w:t>
                    </w:r>
                    <w:r>
                      <w:rPr>
                        <w:rFonts w:ascii="SimHei" w:eastAsia="SimHei" w:hAnsi="SimHei" w:cs="SimHei"/>
                        <w:spacing w:val="-8"/>
                        <w:w w:val="88"/>
                        <w:sz w:val="16"/>
                        <w:szCs w:val="16"/>
                      </w:rPr>
                      <w:t>器</w:t>
                    </w:r>
                  </w:p>
                  <w:p>
                    <w:pPr>
                      <w:spacing w:before="106" w:line="222" w:lineRule="auto"/>
                      <w:ind w:left="20"/>
                      <w:rPr>
                        <w:rFonts w:ascii="FangSong" w:eastAsia="FangSong" w:hAnsi="FangSong" w:cs="FangSong"/>
                        <w:sz w:val="16"/>
                        <w:szCs w:val="16"/>
                      </w:rPr>
                    </w:pPr>
                    <w:r>
                      <w:rPr>
                        <w:rFonts w:ascii="FangSong" w:eastAsia="FangSong" w:hAnsi="FangSong" w:cs="FangSong"/>
                        <w:spacing w:val="-18"/>
                        <w:sz w:val="16"/>
                        <w:szCs w:val="16"/>
                      </w:rPr>
                      <w:t>仿真耳</w:t>
                    </w:r>
                  </w:p>
                </w:txbxContent>
              </v:textbox>
            </v:shape>
            <v:shape id="_x0000_s1031" type="#_x0000_t202" style="width:706;height:630;left:3550;position:absolute;top:377" filled="f" stroked="f">
              <o:lock v:ext="edit" aspectratio="f"/>
              <v:textbox inset="0,0,0,0">
                <w:txbxContent>
                  <w:p>
                    <w:pPr>
                      <w:spacing w:before="19" w:line="221" w:lineRule="auto"/>
                      <w:jc w:val="right"/>
                      <w:rPr>
                        <w:rFonts w:ascii="SimSun" w:eastAsia="SimSun" w:hAnsi="SimSun" w:cs="SimSun"/>
                        <w:sz w:val="16"/>
                        <w:szCs w:val="16"/>
                      </w:rPr>
                    </w:pPr>
                    <w:r>
                      <w:rPr>
                        <w:rFonts w:ascii="SimSun" w:eastAsia="SimSun" w:hAnsi="SimSun" w:cs="SimSun"/>
                        <w:spacing w:val="-13"/>
                        <w:w w:val="89"/>
                        <w:sz w:val="16"/>
                        <w:szCs w:val="16"/>
                      </w:rPr>
                      <w:t>交流电压</w:t>
                    </w:r>
                    <w:r>
                      <w:rPr>
                        <w:rFonts w:ascii="SimSun" w:eastAsia="SimSun" w:hAnsi="SimSun" w:cs="SimSun"/>
                        <w:spacing w:val="-8"/>
                        <w:w w:val="89"/>
                        <w:sz w:val="16"/>
                        <w:szCs w:val="16"/>
                      </w:rPr>
                      <w:t>表</w:t>
                    </w:r>
                  </w:p>
                  <w:p>
                    <w:pPr>
                      <w:spacing w:before="236" w:line="222" w:lineRule="auto"/>
                      <w:ind w:left="20"/>
                      <w:rPr>
                        <w:rFonts w:ascii="SimHei" w:eastAsia="SimHei" w:hAnsi="SimHei" w:cs="SimHei"/>
                        <w:sz w:val="16"/>
                        <w:szCs w:val="16"/>
                      </w:rPr>
                    </w:pPr>
                    <w:r>
                      <w:rPr>
                        <w:rFonts w:ascii="SimHei" w:eastAsia="SimHei" w:hAnsi="SimHei" w:cs="SimHei"/>
                        <w:spacing w:val="-11"/>
                        <w:w w:val="91"/>
                        <w:sz w:val="16"/>
                        <w:szCs w:val="16"/>
                      </w:rPr>
                      <w:t>带通滤波器</w:t>
                    </w:r>
                  </w:p>
                </w:txbxContent>
              </v:textbox>
            </v:shape>
            <v:shape id="_x0000_s1032" type="#_x0000_t202" style="width:956;height:202;left:159;position:absolute;top:785" filled="f" stroked="f">
              <o:lock v:ext="edit" aspectratio="f"/>
              <v:textbox inset="0,0,0,0">
                <w:txbxContent>
                  <w:p>
                    <w:pPr>
                      <w:spacing w:before="19" w:line="221" w:lineRule="auto"/>
                      <w:jc w:val="right"/>
                      <w:rPr>
                        <w:rFonts w:ascii="SimHei" w:eastAsia="SimHei" w:hAnsi="SimHei" w:cs="SimHei"/>
                        <w:sz w:val="16"/>
                        <w:szCs w:val="16"/>
                      </w:rPr>
                    </w:pPr>
                    <w:r>
                      <w:rPr>
                        <w:rFonts w:ascii="SimHei" w:eastAsia="SimHei" w:hAnsi="SimHei" w:cs="SimHei"/>
                        <w:spacing w:val="-14"/>
                        <w:w w:val="89"/>
                        <w:sz w:val="16"/>
                        <w:szCs w:val="16"/>
                      </w:rPr>
                      <w:t>正弦信号发</w:t>
                    </w:r>
                    <w:r>
                      <w:rPr>
                        <w:rFonts w:ascii="SimHei" w:eastAsia="SimHei" w:hAnsi="SimHei" w:cs="SimHei"/>
                        <w:spacing w:val="-13"/>
                        <w:w w:val="89"/>
                        <w:sz w:val="16"/>
                        <w:szCs w:val="16"/>
                      </w:rPr>
                      <w:t>生</w:t>
                    </w:r>
                    <w:r>
                      <w:rPr>
                        <w:rFonts w:ascii="SimHei" w:eastAsia="SimHei" w:hAnsi="SimHei" w:cs="SimHei"/>
                        <w:spacing w:val="-8"/>
                        <w:w w:val="89"/>
                        <w:sz w:val="16"/>
                        <w:szCs w:val="16"/>
                      </w:rPr>
                      <w:t>器</w:t>
                    </w:r>
                  </w:p>
                </w:txbxContent>
              </v:textbox>
            </v:shape>
            <w10:wrap type="none"/>
          </v:group>
        </w:pict>
      </w:r>
    </w:p>
    <w:p>
      <w:pPr>
        <w:spacing w:line="274" w:lineRule="auto"/>
        <w:rPr>
          <w:rFonts w:ascii="Arial"/>
          <w:sz w:val="21"/>
        </w:rPr>
      </w:pPr>
    </w:p>
    <w:p>
      <w:pPr>
        <w:pStyle w:val="BodyText"/>
        <w:spacing w:before="52" w:line="219" w:lineRule="auto"/>
        <w:ind w:left="2310"/>
      </w:pPr>
      <w:r>
        <w:rPr>
          <w:spacing w:val="-15"/>
        </w:rPr>
        <w:t>图1</w:t>
      </w:r>
      <w:r>
        <w:rPr>
          <w:spacing w:val="53"/>
          <w:w w:val="101"/>
        </w:rPr>
        <w:t xml:space="preserve"> </w:t>
      </w:r>
      <w:r>
        <w:rPr>
          <w:spacing w:val="-15"/>
        </w:rPr>
        <w:t>声耦合腔检定示意图</w:t>
      </w:r>
    </w:p>
    <w:p>
      <w:pPr>
        <w:pStyle w:val="BodyText"/>
        <w:spacing w:before="87" w:line="266" w:lineRule="auto"/>
        <w:ind w:right="30" w:firstLine="310"/>
        <w:jc w:val="both"/>
      </w:pPr>
      <w:r>
        <w:rPr>
          <w:spacing w:val="3"/>
        </w:rPr>
        <w:t>1)用气导听力基准中的参考仿真耳，将高阻抗标准耳机正向耦合到参考仿真耳上，</w:t>
      </w:r>
      <w:r>
        <w:rPr>
          <w:spacing w:val="7"/>
        </w:rPr>
        <w:t xml:space="preserve"> </w:t>
      </w:r>
      <w:r>
        <w:rPr>
          <w:spacing w:val="5"/>
        </w:rPr>
        <w:t>并在耳机上垂直施加4.5</w:t>
      </w:r>
      <w:r>
        <w:rPr>
          <w:rFonts w:ascii="Times New Roman" w:eastAsia="Times New Roman" w:hAnsi="Times New Roman" w:cs="Times New Roman"/>
          <w:spacing w:val="5"/>
        </w:rPr>
        <w:t xml:space="preserve">N±0.5N   </w:t>
      </w:r>
      <w:r>
        <w:rPr>
          <w:spacing w:val="5"/>
        </w:rPr>
        <w:t>的作用力，在仿真耳规定频率范围内的标称1/3倍频</w:t>
      </w:r>
      <w:r>
        <w:rPr>
          <w:spacing w:val="11"/>
        </w:rPr>
        <w:t xml:space="preserve"> </w:t>
      </w:r>
      <w:r>
        <w:rPr>
          <w:spacing w:val="12"/>
        </w:rPr>
        <w:t>程(首次检定)或倍频程(后续检定)中心频率以及750</w:t>
      </w:r>
      <w:r>
        <w:rPr>
          <w:rFonts w:ascii="Times New Roman" w:eastAsia="Times New Roman" w:hAnsi="Times New Roman" w:cs="Times New Roman"/>
        </w:rPr>
        <w:t>Hz</w:t>
      </w:r>
      <w:r>
        <w:rPr>
          <w:rFonts w:ascii="Times New Roman" w:eastAsia="Times New Roman" w:hAnsi="Times New Roman" w:cs="Times New Roman"/>
          <w:spacing w:val="12"/>
        </w:rPr>
        <w:t xml:space="preserve"> </w:t>
      </w:r>
      <w:r>
        <w:rPr>
          <w:spacing w:val="12"/>
        </w:rPr>
        <w:t>和1.5</w:t>
      </w:r>
      <w:r>
        <w:rPr>
          <w:rFonts w:ascii="Times New Roman" w:eastAsia="Times New Roman" w:hAnsi="Times New Roman" w:cs="Times New Roman"/>
        </w:rPr>
        <w:t>kHz</w:t>
      </w:r>
      <w:r>
        <w:rPr>
          <w:rFonts w:ascii="Times New Roman" w:eastAsia="Times New Roman" w:hAnsi="Times New Roman" w:cs="Times New Roman"/>
          <w:spacing w:val="12"/>
        </w:rPr>
        <w:t xml:space="preserve"> </w:t>
      </w:r>
      <w:r>
        <w:rPr>
          <w:spacing w:val="12"/>
        </w:rPr>
        <w:t>频率点上，分别</w:t>
      </w:r>
      <w:r>
        <w:t xml:space="preserve">  </w:t>
      </w:r>
      <w:r>
        <w:rPr>
          <w:spacing w:val="1"/>
        </w:rPr>
        <w:t xml:space="preserve">调节正弦信号发生器的频率和电压输出，使测量放大器上有一个合适的指示，并读取交 </w:t>
      </w:r>
      <w:r>
        <w:t>流电压表上的示值。</w:t>
      </w:r>
    </w:p>
    <w:p>
      <w:pPr>
        <w:pStyle w:val="BodyText"/>
        <w:spacing w:before="68" w:line="266" w:lineRule="auto"/>
        <w:ind w:right="77" w:firstLine="310"/>
        <w:jc w:val="both"/>
      </w:pPr>
      <w:r>
        <w:rPr>
          <w:spacing w:val="11"/>
        </w:rPr>
        <w:t>2)将被检仿真耳的声耦合腔(不包括仿真耳的前置放大器和</w:t>
      </w:r>
      <w:r>
        <w:rPr>
          <w:spacing w:val="10"/>
        </w:rPr>
        <w:t>传声器)替代参考仿</w:t>
      </w:r>
      <w:r>
        <w:t xml:space="preserve"> </w:t>
      </w:r>
      <w:r>
        <w:rPr>
          <w:spacing w:val="3"/>
        </w:rPr>
        <w:t>真耳的声耦合腔，重复</w:t>
      </w:r>
      <w:hyperlink r:id="rId27" w:history="1">
        <w:r>
          <w:rPr>
            <w:spacing w:val="3"/>
          </w:rPr>
          <w:t>6.1.3.21</w:t>
        </w:r>
      </w:hyperlink>
      <w:r>
        <w:rPr>
          <w:spacing w:val="3"/>
        </w:rPr>
        <w:t>)的步骤，并保持正弦信号发生器的频率和电压输出与</w:t>
      </w:r>
      <w:r>
        <w:rPr>
          <w:spacing w:val="15"/>
        </w:rPr>
        <w:t xml:space="preserve"> </w:t>
      </w:r>
      <w:r>
        <w:t>上述相同，读取交流电压表上的示值。</w:t>
      </w:r>
    </w:p>
    <w:p>
      <w:pPr>
        <w:pStyle w:val="BodyText"/>
        <w:spacing w:before="30" w:line="260" w:lineRule="auto"/>
        <w:ind w:right="82" w:firstLine="310"/>
      </w:pPr>
      <w:r>
        <w:rPr>
          <w:spacing w:val="6"/>
        </w:rPr>
        <w:t>3)计算出被检仿真耳耦合腔与参考仿真耳耦合腔相应的声压级差值，即为被检仿</w:t>
      </w:r>
      <w:r>
        <w:rPr>
          <w:spacing w:val="10"/>
        </w:rPr>
        <w:t xml:space="preserve"> </w:t>
      </w:r>
      <w:r>
        <w:rPr>
          <w:spacing w:val="1"/>
        </w:rPr>
        <w:t>真耳在规定频率范围内、由耦合腔有效体积的偏差所引起的声压级的偏差。</w:t>
      </w:r>
    </w:p>
    <w:p>
      <w:pPr>
        <w:pStyle w:val="BodyText"/>
        <w:spacing w:before="49" w:line="219" w:lineRule="auto"/>
        <w:ind w:left="2"/>
      </w:pPr>
      <w:hyperlink r:id="rId28" w:history="1">
        <w:r>
          <w:rPr>
            <w:b/>
            <w:bCs/>
            <w:spacing w:val="-3"/>
          </w:rPr>
          <w:t>6.1.3.3</w:t>
        </w:r>
      </w:hyperlink>
      <w:r>
        <w:rPr>
          <w:spacing w:val="65"/>
        </w:rPr>
        <w:t xml:space="preserve"> </w:t>
      </w:r>
      <w:r>
        <w:rPr>
          <w:spacing w:val="-3"/>
        </w:rPr>
        <w:t>静压力均衡</w:t>
      </w:r>
    </w:p>
    <w:p>
      <w:pPr>
        <w:pStyle w:val="BodyText"/>
        <w:spacing w:before="61" w:line="219" w:lineRule="auto"/>
        <w:ind w:left="310"/>
      </w:pPr>
      <w:r>
        <w:rPr>
          <w:spacing w:val="6"/>
        </w:rPr>
        <w:t>检定装置如图1所示。</w:t>
      </w:r>
    </w:p>
    <w:p>
      <w:pPr>
        <w:pStyle w:val="BodyText"/>
        <w:spacing w:before="21" w:line="271" w:lineRule="auto"/>
        <w:ind w:right="76" w:firstLine="310"/>
        <w:sectPr>
          <w:headerReference w:type="default" r:id="rId29"/>
          <w:footerReference w:type="default" r:id="rId30"/>
          <w:pgSz w:w="7380" w:h="10300"/>
          <w:pgMar w:top="609" w:right="639" w:bottom="356" w:left="519" w:header="388" w:footer="248" w:gutter="0"/>
          <w:pgNumType w:start="9"/>
          <w:cols w:space="708"/>
        </w:sectPr>
      </w:pPr>
      <w:r>
        <w:rPr>
          <w:spacing w:val="10"/>
        </w:rPr>
        <w:t>1)将被检仿真耳的均压孔用孔塞(或针)塞住，将高阻抗标准耳机正向耦合到被</w:t>
      </w:r>
      <w:r>
        <w:rPr>
          <w:spacing w:val="5"/>
        </w:rPr>
        <w:t xml:space="preserve"> </w:t>
      </w:r>
      <w:r>
        <w:rPr>
          <w:spacing w:val="2"/>
        </w:rPr>
        <w:t>检仿真耳上，并在耳机上垂直施加4.5</w:t>
      </w:r>
      <w:r>
        <w:rPr>
          <w:rFonts w:ascii="Times New Roman" w:eastAsia="Times New Roman" w:hAnsi="Times New Roman" w:cs="Times New Roman"/>
          <w:spacing w:val="2"/>
        </w:rPr>
        <w:t>N±0.5N</w:t>
      </w:r>
      <w:r>
        <w:rPr>
          <w:rFonts w:ascii="Times New Roman" w:eastAsia="Times New Roman" w:hAnsi="Times New Roman" w:cs="Times New Roman"/>
          <w:spacing w:val="14"/>
          <w:w w:val="101"/>
        </w:rPr>
        <w:t xml:space="preserve">  </w:t>
      </w:r>
      <w:r>
        <w:rPr>
          <w:spacing w:val="2"/>
        </w:rPr>
        <w:t>的作用力，在10</w:t>
      </w:r>
      <w:r>
        <w:rPr>
          <w:spacing w:val="1"/>
        </w:rPr>
        <w:t>0</w:t>
      </w:r>
      <w:r>
        <w:rPr>
          <w:rFonts w:ascii="Times New Roman" w:eastAsia="Times New Roman" w:hAnsi="Times New Roman" w:cs="Times New Roman"/>
        </w:rPr>
        <w:t>Hz</w:t>
      </w:r>
      <w:r>
        <w:rPr>
          <w:spacing w:val="1"/>
        </w:rPr>
        <w:t>～</w:t>
      </w:r>
      <w:r>
        <w:rPr>
          <w:rFonts w:ascii="Times New Roman" w:eastAsia="Times New Roman" w:hAnsi="Times New Roman" w:cs="Times New Roman"/>
          <w:spacing w:val="1"/>
        </w:rPr>
        <w:t>10</w:t>
      </w:r>
      <w:r>
        <w:rPr>
          <w:rFonts w:ascii="Times New Roman" w:eastAsia="Times New Roman" w:hAnsi="Times New Roman" w:cs="Times New Roman"/>
        </w:rPr>
        <w:t>kHz</w:t>
      </w:r>
      <w:r>
        <w:rPr>
          <w:rFonts w:ascii="Times New Roman" w:eastAsia="Times New Roman" w:hAnsi="Times New Roman" w:cs="Times New Roman"/>
          <w:spacing w:val="-12"/>
        </w:rPr>
        <w:t xml:space="preserve"> </w:t>
      </w:r>
      <w:r>
        <w:rPr>
          <w:spacing w:val="1"/>
        </w:rPr>
        <w:t>频率范围内</w:t>
      </w:r>
      <w:r>
        <w:t xml:space="preserve"> </w:t>
      </w:r>
    </w:p>
    <w:p>
      <w:pPr>
        <w:pStyle w:val="BodyText"/>
        <w:spacing w:before="21" w:line="271" w:lineRule="auto"/>
        <w:ind w:right="76" w:firstLine="310"/>
      </w:pPr>
      <w:r>
        <w:rPr>
          <w:spacing w:val="8"/>
        </w:rPr>
        <w:t>的标称1/3倍频程中心频率以及750</w:t>
      </w:r>
      <w:r>
        <w:rPr>
          <w:rFonts w:ascii="Times New Roman" w:eastAsia="Times New Roman" w:hAnsi="Times New Roman" w:cs="Times New Roman"/>
        </w:rPr>
        <w:t>Hz</w:t>
      </w:r>
      <w:r>
        <w:rPr>
          <w:spacing w:val="8"/>
        </w:rPr>
        <w:t>和1.5</w:t>
      </w:r>
      <w:r>
        <w:rPr>
          <w:rFonts w:ascii="Times New Roman" w:eastAsia="Times New Roman" w:hAnsi="Times New Roman" w:cs="Times New Roman"/>
        </w:rPr>
        <w:t>kHz</w:t>
      </w:r>
      <w:r>
        <w:rPr>
          <w:spacing w:val="8"/>
        </w:rPr>
        <w:t>频率点上，分别调节正弦信号发生器</w:t>
      </w:r>
      <w:r>
        <w:rPr>
          <w:spacing w:val="18"/>
        </w:rPr>
        <w:t xml:space="preserve"> </w:t>
      </w:r>
      <w:r>
        <w:rPr>
          <w:spacing w:val="1"/>
        </w:rPr>
        <w:t>的频率和电压输出，使测量放大器上有一个合适的指示。</w:t>
      </w:r>
    </w:p>
    <w:p>
      <w:pPr>
        <w:pStyle w:val="BodyText"/>
        <w:spacing w:before="49" w:line="254" w:lineRule="auto"/>
        <w:ind w:right="83" w:firstLine="310"/>
      </w:pPr>
      <w:r>
        <w:rPr>
          <w:spacing w:val="8"/>
        </w:rPr>
        <w:t>2)将被检仿真耳的均压孔打开，重复</w:t>
      </w:r>
      <w:hyperlink r:id="rId31" w:history="1">
        <w:r>
          <w:rPr>
            <w:spacing w:val="8"/>
          </w:rPr>
          <w:t>6.1.3.31</w:t>
        </w:r>
      </w:hyperlink>
      <w:r>
        <w:rPr>
          <w:spacing w:val="7"/>
        </w:rPr>
        <w:t>)的步骤，并保持正弦信号发生器</w:t>
      </w:r>
      <w:r>
        <w:t xml:space="preserve"> </w:t>
      </w:r>
      <w:r>
        <w:rPr>
          <w:spacing w:val="1"/>
        </w:rPr>
        <w:t>的频率和电压输出与上述相同，分别读取测量放大器上的声压级示值。</w:t>
      </w:r>
    </w:p>
    <w:p>
      <w:pPr>
        <w:pStyle w:val="BodyText"/>
        <w:spacing w:before="31" w:line="219" w:lineRule="auto"/>
        <w:ind w:left="310"/>
      </w:pPr>
      <w:r>
        <w:rPr>
          <w:spacing w:val="11"/>
        </w:rPr>
        <w:t>3)计算被检仿真耳用孔塞(或针)塞住均压孔时读取的声压</w:t>
      </w:r>
      <w:r>
        <w:rPr>
          <w:spacing w:val="10"/>
        </w:rPr>
        <w:t>级与打开均压孔时读</w:t>
      </w:r>
    </w:p>
    <w:p>
      <w:pPr>
        <w:pStyle w:val="BodyText"/>
        <w:spacing w:before="90" w:line="219" w:lineRule="auto"/>
      </w:pPr>
      <w:r>
        <w:rPr>
          <w:spacing w:val="3"/>
        </w:rPr>
        <w:t>取的声压级之差，在100</w:t>
      </w:r>
      <w:r>
        <w:rPr>
          <w:rFonts w:ascii="Times New Roman" w:eastAsia="Times New Roman" w:hAnsi="Times New Roman" w:cs="Times New Roman"/>
        </w:rPr>
        <w:t>Hz</w:t>
      </w:r>
      <w:r>
        <w:rPr>
          <w:spacing w:val="3"/>
        </w:rPr>
        <w:t>～</w:t>
      </w:r>
      <w:r>
        <w:rPr>
          <w:rFonts w:ascii="Times New Roman" w:eastAsia="Times New Roman" w:hAnsi="Times New Roman" w:cs="Times New Roman"/>
          <w:spacing w:val="3"/>
        </w:rPr>
        <w:t>10</w:t>
      </w:r>
      <w:r>
        <w:rPr>
          <w:rFonts w:ascii="Times New Roman" w:eastAsia="Times New Roman" w:hAnsi="Times New Roman" w:cs="Times New Roman"/>
        </w:rPr>
        <w:t>kHz</w:t>
      </w:r>
      <w:r>
        <w:rPr>
          <w:spacing w:val="3"/>
        </w:rPr>
        <w:t>频率范围内应不大</w:t>
      </w:r>
      <w:r>
        <w:rPr>
          <w:spacing w:val="2"/>
        </w:rPr>
        <w:t>于0.2</w:t>
      </w:r>
      <w:r>
        <w:rPr>
          <w:rFonts w:ascii="Times New Roman" w:eastAsia="Times New Roman" w:hAnsi="Times New Roman" w:cs="Times New Roman"/>
        </w:rPr>
        <w:t>dB</w:t>
      </w:r>
      <w:r>
        <w:rPr>
          <w:spacing w:val="2"/>
        </w:rPr>
        <w:t>。</w:t>
      </w:r>
    </w:p>
    <w:p>
      <w:pPr>
        <w:pStyle w:val="BodyText"/>
        <w:spacing w:before="49" w:line="219" w:lineRule="auto"/>
        <w:ind w:left="2"/>
      </w:pPr>
      <w:hyperlink r:id="rId32" w:history="1">
        <w:r>
          <w:rPr>
            <w:b/>
            <w:bCs/>
            <w:spacing w:val="-3"/>
          </w:rPr>
          <w:t>6.1.3.4</w:t>
        </w:r>
      </w:hyperlink>
      <w:r>
        <w:rPr>
          <w:spacing w:val="-3"/>
        </w:rPr>
        <w:t xml:space="preserve">  传声器频率响应</w:t>
      </w:r>
    </w:p>
    <w:p>
      <w:pPr>
        <w:pStyle w:val="BodyText"/>
        <w:spacing w:before="60" w:line="219" w:lineRule="auto"/>
        <w:ind w:left="310"/>
      </w:pPr>
      <w:r>
        <w:rPr>
          <w:spacing w:val="2"/>
        </w:rPr>
        <w:t>被检仿真耳中的传声器的声压灵敏度级是与一经互易法校准过的实</w:t>
      </w:r>
      <w:r>
        <w:rPr>
          <w:spacing w:val="1"/>
        </w:rPr>
        <w:t>验室标准传声器</w:t>
      </w:r>
    </w:p>
    <w:p>
      <w:pPr>
        <w:spacing w:line="219" w:lineRule="auto"/>
        <w:sectPr>
          <w:headerReference w:type="default" r:id="rId33"/>
          <w:footerReference w:type="default" r:id="rId34"/>
          <w:type w:val="nextPage"/>
          <w:pgSz w:w="7380" w:h="10300"/>
          <w:pgMar w:top="609" w:right="639" w:bottom="356" w:left="519" w:header="388" w:footer="248" w:gutter="0"/>
          <w:pgNumType w:start="10"/>
          <w:cols w:space="708"/>
          <w:titlePg w:val="0"/>
        </w:sectPr>
      </w:pPr>
    </w:p>
    <w:p>
      <w:pPr>
        <w:pStyle w:val="BodyText"/>
        <w:spacing w:before="155" w:line="257" w:lineRule="auto"/>
        <w:ind w:right="80"/>
        <w:rPr>
          <w:sz w:val="15"/>
          <w:szCs w:val="15"/>
        </w:rPr>
      </w:pPr>
      <w:r>
        <w:rPr>
          <w:spacing w:val="12"/>
          <w:sz w:val="15"/>
          <w:szCs w:val="15"/>
        </w:rPr>
        <w:t xml:space="preserve">在有源耦合腔中通过比较法求得，有源耦合腔可同时插入实验室标准传声器和被检传声 </w:t>
      </w:r>
      <w:r>
        <w:rPr>
          <w:spacing w:val="9"/>
          <w:sz w:val="15"/>
          <w:szCs w:val="15"/>
        </w:rPr>
        <w:t>器，也可仅插人一只传声器，用替代法比较，检定装置分别见图2</w:t>
      </w:r>
      <w:r>
        <w:rPr>
          <w:rFonts w:ascii="Times New Roman" w:eastAsia="Times New Roman" w:hAnsi="Times New Roman" w:cs="Times New Roman"/>
          <w:spacing w:val="9"/>
          <w:sz w:val="15"/>
          <w:szCs w:val="15"/>
        </w:rPr>
        <w:t>a</w:t>
      </w:r>
      <w:r>
        <w:rPr>
          <w:rFonts w:ascii="Times New Roman" w:eastAsia="Times New Roman" w:hAnsi="Times New Roman" w:cs="Times New Roman"/>
          <w:spacing w:val="-21"/>
          <w:sz w:val="15"/>
          <w:szCs w:val="15"/>
        </w:rPr>
        <w:t xml:space="preserve"> </w:t>
      </w:r>
      <w:r>
        <w:rPr>
          <w:spacing w:val="9"/>
          <w:sz w:val="15"/>
          <w:szCs w:val="15"/>
        </w:rPr>
        <w:t>、图</w:t>
      </w:r>
      <w:r>
        <w:rPr>
          <w:spacing w:val="28"/>
          <w:sz w:val="15"/>
          <w:szCs w:val="15"/>
        </w:rPr>
        <w:t xml:space="preserve"> </w:t>
      </w:r>
      <w:r>
        <w:rPr>
          <w:spacing w:val="9"/>
          <w:sz w:val="15"/>
          <w:szCs w:val="15"/>
        </w:rPr>
        <w:t>2</w:t>
      </w:r>
      <w:r>
        <w:rPr>
          <w:rFonts w:ascii="Times New Roman" w:eastAsia="Times New Roman" w:hAnsi="Times New Roman" w:cs="Times New Roman"/>
          <w:spacing w:val="8"/>
          <w:sz w:val="15"/>
          <w:szCs w:val="15"/>
        </w:rPr>
        <w:t>b</w:t>
      </w:r>
      <w:r>
        <w:rPr>
          <w:spacing w:val="8"/>
          <w:sz w:val="15"/>
          <w:szCs w:val="15"/>
        </w:rPr>
        <w:t>。</w:t>
      </w:r>
    </w:p>
    <w:p>
      <w:pPr>
        <w:spacing w:line="374" w:lineRule="auto"/>
        <w:rPr>
          <w:rFonts w:ascii="Arial"/>
          <w:sz w:val="21"/>
        </w:rPr>
      </w:pPr>
    </w:p>
    <w:p>
      <w:pPr>
        <w:pStyle w:val="BodyText"/>
        <w:spacing w:line="1590" w:lineRule="exact"/>
        <w:ind w:firstLine="639"/>
      </w:pPr>
      <w:r>
        <w:rPr>
          <w:position w:val="-31"/>
        </w:rPr>
        <w:pict>
          <v:group id="_x0000_i1033" style="width:242.55pt;height:79.5pt;mso-position-horizontal-relative:char;mso-position-vertical-relative:line" coordorigin="0,0" coordsize="4851,1590" filled="f" stroked="f">
            <v:shape id="_x0000_s1034" type="#_x0000_t75" style="width:4851;height:1590;position:absolute" filled="f" stroked="f">
              <v:imagedata r:id="rId35" o:title=""/>
            </v:shape>
            <v:shape id="_x0000_s1035" type="#_x0000_t202" style="width:3606;height:1330;left:130;position:absolute;top:136" filled="f" stroked="f">
              <o:lock v:ext="edit" aspectratio="f"/>
              <v:textbox inset="0,0,0,0">
                <w:txbxContent>
                  <w:p>
                    <w:pPr>
                      <w:spacing w:before="20" w:line="220" w:lineRule="auto"/>
                      <w:ind w:right="1"/>
                      <w:jc w:val="right"/>
                      <w:rPr>
                        <w:rFonts w:ascii="SimSun" w:eastAsia="SimSun" w:hAnsi="SimSun" w:cs="SimSun"/>
                        <w:sz w:val="15"/>
                        <w:szCs w:val="15"/>
                      </w:rPr>
                    </w:pPr>
                    <w:r>
                      <w:rPr>
                        <w:rFonts w:ascii="SimSun" w:eastAsia="SimSun" w:hAnsi="SimSun" w:cs="SimSun"/>
                        <w:spacing w:val="-12"/>
                        <w:w w:val="97"/>
                        <w:sz w:val="15"/>
                        <w:szCs w:val="15"/>
                      </w:rPr>
                      <w:t>测量放</w:t>
                    </w:r>
                    <w:r>
                      <w:rPr>
                        <w:rFonts w:ascii="SimSun" w:eastAsia="SimSun" w:hAnsi="SimSun" w:cs="SimSun"/>
                        <w:spacing w:val="-11"/>
                        <w:w w:val="97"/>
                        <w:sz w:val="15"/>
                        <w:szCs w:val="15"/>
                      </w:rPr>
                      <w:t>大</w:t>
                    </w:r>
                    <w:r>
                      <w:rPr>
                        <w:rFonts w:ascii="SimSun" w:eastAsia="SimSun" w:hAnsi="SimSun" w:cs="SimSun"/>
                        <w:spacing w:val="-8"/>
                        <w:w w:val="97"/>
                        <w:sz w:val="15"/>
                        <w:szCs w:val="15"/>
                      </w:rPr>
                      <w:t>器</w:t>
                    </w:r>
                  </w:p>
                  <w:p>
                    <w:pPr>
                      <w:spacing w:before="119" w:line="219" w:lineRule="auto"/>
                      <w:ind w:left="1640"/>
                      <w:rPr>
                        <w:rFonts w:ascii="SimSun" w:eastAsia="SimSun" w:hAnsi="SimSun" w:cs="SimSun"/>
                        <w:sz w:val="15"/>
                        <w:szCs w:val="15"/>
                      </w:rPr>
                    </w:pPr>
                    <w:r>
                      <w:rPr>
                        <w:rFonts w:ascii="SimSun" w:eastAsia="SimSun" w:hAnsi="SimSun" w:cs="SimSun"/>
                        <w:spacing w:val="-11"/>
                        <w:w w:val="96"/>
                        <w:sz w:val="15"/>
                        <w:szCs w:val="15"/>
                      </w:rPr>
                      <w:t>被检传声器</w:t>
                    </w:r>
                  </w:p>
                  <w:p>
                    <w:pPr>
                      <w:spacing w:before="22" w:line="160" w:lineRule="auto"/>
                      <w:ind w:left="20"/>
                      <w:rPr>
                        <w:rFonts w:ascii="SimSun" w:eastAsia="SimSun" w:hAnsi="SimSun" w:cs="SimSun"/>
                        <w:sz w:val="15"/>
                        <w:szCs w:val="15"/>
                      </w:rPr>
                    </w:pPr>
                    <w:r>
                      <w:rPr>
                        <w:rFonts w:ascii="SimSun" w:eastAsia="SimSun" w:hAnsi="SimSun" w:cs="SimSun"/>
                        <w:spacing w:val="-13"/>
                        <w:w w:val="96"/>
                        <w:sz w:val="15"/>
                        <w:szCs w:val="15"/>
                      </w:rPr>
                      <w:t>正弦信号发生器</w:t>
                    </w:r>
                  </w:p>
                  <w:p>
                    <w:pPr>
                      <w:spacing w:line="172" w:lineRule="auto"/>
                      <w:ind w:left="1640"/>
                      <w:rPr>
                        <w:rFonts w:ascii="SimSun" w:eastAsia="SimSun" w:hAnsi="SimSun" w:cs="SimSun"/>
                        <w:sz w:val="15"/>
                        <w:szCs w:val="15"/>
                      </w:rPr>
                    </w:pPr>
                    <w:r>
                      <w:rPr>
                        <w:rFonts w:ascii="SimSun" w:eastAsia="SimSun" w:hAnsi="SimSun" w:cs="SimSun"/>
                        <w:spacing w:val="-12"/>
                        <w:sz w:val="15"/>
                        <w:szCs w:val="15"/>
                      </w:rPr>
                      <w:t>有源耦合腔</w:t>
                    </w:r>
                  </w:p>
                  <w:p>
                    <w:pPr>
                      <w:spacing w:line="117" w:lineRule="exact"/>
                      <w:ind w:left="1640"/>
                      <w:rPr>
                        <w:rFonts w:ascii="KaiTi" w:eastAsia="KaiTi" w:hAnsi="KaiTi" w:cs="KaiTi"/>
                        <w:sz w:val="14"/>
                        <w:szCs w:val="14"/>
                      </w:rPr>
                    </w:pPr>
                    <w:r>
                      <w:rPr>
                        <w:rFonts w:ascii="KaiTi" w:eastAsia="KaiTi" w:hAnsi="KaiTi" w:cs="KaiTi"/>
                        <w:spacing w:val="-12"/>
                        <w:position w:val="-1"/>
                        <w:sz w:val="14"/>
                        <w:szCs w:val="14"/>
                      </w:rPr>
                      <w:t>实验室标准</w:t>
                    </w:r>
                  </w:p>
                  <w:p>
                    <w:pPr>
                      <w:spacing w:line="212" w:lineRule="auto"/>
                      <w:ind w:left="1640"/>
                      <w:rPr>
                        <w:rFonts w:ascii="FangSong" w:eastAsia="FangSong" w:hAnsi="FangSong" w:cs="FangSong"/>
                        <w:sz w:val="14"/>
                        <w:szCs w:val="14"/>
                      </w:rPr>
                    </w:pPr>
                    <w:r>
                      <w:rPr>
                        <w:rFonts w:ascii="FangSong" w:eastAsia="FangSong" w:hAnsi="FangSong" w:cs="FangSong"/>
                        <w:color w:val="FFFFFF"/>
                        <w:spacing w:val="-3"/>
                        <w:sz w:val="14"/>
                        <w:szCs w:val="14"/>
                      </w:rPr>
                      <w:t>传声器</w:t>
                    </w:r>
                  </w:p>
                  <w:p>
                    <w:pPr>
                      <w:spacing w:before="92" w:line="220" w:lineRule="auto"/>
                      <w:ind w:right="1"/>
                      <w:jc w:val="right"/>
                      <w:rPr>
                        <w:rFonts w:ascii="SimSun" w:eastAsia="SimSun" w:hAnsi="SimSun" w:cs="SimSun"/>
                        <w:sz w:val="15"/>
                        <w:szCs w:val="15"/>
                      </w:rPr>
                    </w:pPr>
                    <w:r>
                      <w:rPr>
                        <w:rFonts w:ascii="SimSun" w:eastAsia="SimSun" w:hAnsi="SimSun" w:cs="SimSun"/>
                        <w:spacing w:val="-12"/>
                        <w:w w:val="97"/>
                        <w:sz w:val="15"/>
                        <w:szCs w:val="15"/>
                      </w:rPr>
                      <w:t>测量放</w:t>
                    </w:r>
                    <w:r>
                      <w:rPr>
                        <w:rFonts w:ascii="SimSun" w:eastAsia="SimSun" w:hAnsi="SimSun" w:cs="SimSun"/>
                        <w:spacing w:val="-11"/>
                        <w:w w:val="97"/>
                        <w:sz w:val="15"/>
                        <w:szCs w:val="15"/>
                      </w:rPr>
                      <w:t>大</w:t>
                    </w:r>
                    <w:r>
                      <w:rPr>
                        <w:rFonts w:ascii="SimSun" w:eastAsia="SimSun" w:hAnsi="SimSun" w:cs="SimSun"/>
                        <w:spacing w:val="-8"/>
                        <w:w w:val="97"/>
                        <w:sz w:val="15"/>
                        <w:szCs w:val="15"/>
                      </w:rPr>
                      <w:t>器</w:t>
                    </w:r>
                  </w:p>
                </w:txbxContent>
              </v:textbox>
            </v:shape>
            <v:shape id="_x0000_s1036" type="#_x0000_t202" style="width:706;height:190;left:3989;position:absolute;top:657" filled="f" stroked="f">
              <o:lock v:ext="edit" aspectratio="f"/>
              <v:textbox inset="0,0,0,0">
                <w:txbxContent>
                  <w:p>
                    <w:pPr>
                      <w:spacing w:before="19" w:line="221" w:lineRule="auto"/>
                      <w:ind w:right="3"/>
                      <w:jc w:val="right"/>
                      <w:rPr>
                        <w:rFonts w:ascii="SimSun" w:eastAsia="SimSun" w:hAnsi="SimSun" w:cs="SimSun"/>
                        <w:sz w:val="15"/>
                        <w:szCs w:val="15"/>
                      </w:rPr>
                    </w:pPr>
                    <w:r>
                      <w:rPr>
                        <w:rFonts w:ascii="SimSun" w:eastAsia="SimSun" w:hAnsi="SimSun" w:cs="SimSun"/>
                        <w:spacing w:val="-14"/>
                        <w:w w:val="99"/>
                        <w:sz w:val="15"/>
                        <w:szCs w:val="15"/>
                      </w:rPr>
                      <w:t>交流</w:t>
                    </w:r>
                    <w:r>
                      <w:rPr>
                        <w:rFonts w:ascii="SimSun" w:eastAsia="SimSun" w:hAnsi="SimSun" w:cs="SimSun"/>
                        <w:spacing w:val="-13"/>
                        <w:w w:val="99"/>
                        <w:sz w:val="15"/>
                        <w:szCs w:val="15"/>
                      </w:rPr>
                      <w:t>电压</w:t>
                    </w:r>
                    <w:r>
                      <w:rPr>
                        <w:rFonts w:ascii="SimSun" w:eastAsia="SimSun" w:hAnsi="SimSun" w:cs="SimSun"/>
                        <w:spacing w:val="-11"/>
                        <w:w w:val="99"/>
                        <w:sz w:val="15"/>
                        <w:szCs w:val="15"/>
                      </w:rPr>
                      <w:t>表</w:t>
                    </w:r>
                  </w:p>
                </w:txbxContent>
              </v:textbox>
            </v:shape>
            <w10:wrap type="none"/>
          </v:group>
        </w:pict>
      </w:r>
    </w:p>
    <w:p>
      <w:pPr>
        <w:spacing w:before="192" w:line="205" w:lineRule="exact"/>
        <w:ind w:left="2959"/>
        <w:rPr>
          <w:rFonts w:ascii="Arial" w:eastAsia="Arial" w:hAnsi="Arial" w:cs="Arial"/>
          <w:sz w:val="15"/>
          <w:szCs w:val="15"/>
        </w:rPr>
      </w:pPr>
      <w:r>
        <w:rPr>
          <w:rFonts w:ascii="Arial" w:eastAsia="Arial" w:hAnsi="Arial" w:cs="Arial"/>
          <w:spacing w:val="-3"/>
          <w:position w:val="2"/>
          <w:sz w:val="15"/>
          <w:szCs w:val="15"/>
        </w:rPr>
        <w:t>(a)</w:t>
      </w:r>
    </w:p>
    <w:p>
      <w:pPr>
        <w:spacing w:before="53"/>
      </w:pPr>
    </w:p>
    <w:p>
      <w:pPr>
        <w:spacing w:before="52"/>
      </w:pPr>
    </w:p>
    <w:p>
      <w:pPr>
        <w:sectPr>
          <w:headerReference w:type="default" r:id="rId36"/>
          <w:footerReference w:type="default" r:id="rId37"/>
          <w:pgSz w:w="7420" w:h="10340"/>
          <w:pgMar w:top="590" w:right="549" w:bottom="437" w:left="620" w:header="366" w:footer="328" w:gutter="0"/>
          <w:pgNumType w:start="11"/>
          <w:cols w:num="1" w:space="708" w:equalWidth="0">
            <w:col w:w="6251" w:space="0"/>
          </w:cols>
        </w:sectPr>
      </w:pPr>
    </w:p>
    <w:p>
      <w:pPr>
        <w:spacing w:line="389" w:lineRule="auto"/>
        <w:rPr>
          <w:rFonts w:ascii="Arial"/>
          <w:sz w:val="21"/>
        </w:rPr>
      </w:pPr>
    </w:p>
    <w:p>
      <w:pPr>
        <w:pStyle w:val="BodyText"/>
        <w:spacing w:before="48" w:line="197" w:lineRule="auto"/>
        <w:ind w:left="809"/>
        <w:rPr>
          <w:sz w:val="15"/>
          <w:szCs w:val="15"/>
        </w:rPr>
      </w:pPr>
      <w:r>
        <w:drawing>
          <wp:anchor distT="0" distB="0" distL="0" distR="0" simplePos="0" relativeHeight="251662336" behindDoc="1" locked="0" layoutInCell="1" allowOverlap="1">
            <wp:simplePos x="0" y="0"/>
            <wp:positionH relativeFrom="column">
              <wp:posOffset>387348</wp:posOffset>
            </wp:positionH>
            <wp:positionV relativeFrom="paragraph">
              <wp:posOffset>-455424</wp:posOffset>
            </wp:positionV>
            <wp:extent cx="3219457" cy="71115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8"/>
                    <a:stretch>
                      <a:fillRect/>
                    </a:stretch>
                  </pic:blipFill>
                  <pic:spPr>
                    <a:xfrm>
                      <a:off x="0" y="0"/>
                      <a:ext cx="3219457" cy="711152"/>
                    </a:xfrm>
                    <a:prstGeom prst="rect">
                      <a:avLst/>
                    </a:prstGeom>
                  </pic:spPr>
                </pic:pic>
              </a:graphicData>
            </a:graphic>
          </wp:anchor>
        </w:drawing>
      </w:r>
      <w:r>
        <w:rPr>
          <w:spacing w:val="-13"/>
          <w:w w:val="97"/>
          <w:sz w:val="15"/>
          <w:szCs w:val="15"/>
        </w:rPr>
        <w:t>正弦信号发生器</w:t>
      </w:r>
    </w:p>
    <w:p>
      <w:pPr>
        <w:spacing w:line="14" w:lineRule="auto"/>
        <w:rPr>
          <w:rFonts w:ascii="Arial"/>
          <w:sz w:val="2"/>
        </w:rPr>
      </w:pPr>
      <w:r>
        <w:rPr>
          <w:rFonts w:ascii="Arial" w:eastAsia="Arial" w:hAnsi="Arial" w:cs="Arial"/>
          <w:sz w:val="2"/>
          <w:szCs w:val="2"/>
        </w:rPr>
        <w:br w:type="column"/>
      </w:r>
    </w:p>
    <w:p>
      <w:pPr>
        <w:pStyle w:val="BodyText"/>
        <w:spacing w:before="28" w:line="185" w:lineRule="auto"/>
        <w:rPr>
          <w:sz w:val="15"/>
          <w:szCs w:val="15"/>
        </w:rPr>
      </w:pPr>
      <w:r>
        <w:rPr>
          <w:spacing w:val="-13"/>
          <w:sz w:val="15"/>
          <w:szCs w:val="15"/>
        </w:rPr>
        <w:t>传声器</w:t>
      </w:r>
    </w:p>
    <w:p>
      <w:pPr>
        <w:pStyle w:val="BodyText"/>
        <w:spacing w:line="219" w:lineRule="auto"/>
        <w:rPr>
          <w:sz w:val="15"/>
          <w:szCs w:val="15"/>
        </w:rPr>
      </w:pPr>
      <w:r>
        <w:rPr>
          <w:spacing w:val="-7"/>
          <w:sz w:val="15"/>
          <w:szCs w:val="15"/>
        </w:rPr>
        <w:t>(替代)</w:t>
      </w:r>
    </w:p>
    <w:p>
      <w:pPr>
        <w:pStyle w:val="BodyText"/>
        <w:spacing w:before="92" w:line="184" w:lineRule="auto"/>
        <w:rPr>
          <w:sz w:val="15"/>
          <w:szCs w:val="15"/>
        </w:rPr>
      </w:pPr>
      <w:r>
        <w:rPr>
          <w:spacing w:val="-11"/>
          <w:w w:val="96"/>
          <w:sz w:val="15"/>
          <w:szCs w:val="15"/>
        </w:rPr>
        <w:t>有源耦合腔</w:t>
      </w:r>
    </w:p>
    <w:p>
      <w:pPr>
        <w:spacing w:line="14" w:lineRule="auto"/>
        <w:rPr>
          <w:rFonts w:ascii="Arial"/>
          <w:sz w:val="2"/>
        </w:rPr>
      </w:pPr>
      <w:r>
        <w:rPr>
          <w:rFonts w:ascii="Arial" w:eastAsia="Arial" w:hAnsi="Arial" w:cs="Arial"/>
          <w:sz w:val="2"/>
          <w:szCs w:val="2"/>
        </w:rPr>
        <w:br w:type="column"/>
      </w:r>
    </w:p>
    <w:p>
      <w:pPr>
        <w:spacing w:line="388" w:lineRule="auto"/>
        <w:rPr>
          <w:rFonts w:ascii="Arial"/>
          <w:sz w:val="21"/>
        </w:rPr>
      </w:pPr>
    </w:p>
    <w:p>
      <w:pPr>
        <w:pStyle w:val="BodyText"/>
        <w:spacing w:before="49" w:line="196" w:lineRule="auto"/>
        <w:rPr>
          <w:sz w:val="15"/>
          <w:szCs w:val="15"/>
        </w:rPr>
      </w:pPr>
      <w:r>
        <w:rPr>
          <w:spacing w:val="-11"/>
          <w:w w:val="97"/>
          <w:sz w:val="15"/>
          <w:szCs w:val="15"/>
        </w:rPr>
        <w:t>测量放大器</w:t>
      </w:r>
    </w:p>
    <w:p>
      <w:pPr>
        <w:spacing w:line="14" w:lineRule="auto"/>
        <w:rPr>
          <w:rFonts w:ascii="Arial"/>
          <w:sz w:val="2"/>
        </w:rPr>
      </w:pPr>
      <w:r>
        <w:rPr>
          <w:rFonts w:ascii="Arial" w:eastAsia="Arial" w:hAnsi="Arial" w:cs="Arial"/>
          <w:sz w:val="2"/>
          <w:szCs w:val="2"/>
        </w:rPr>
        <w:br w:type="column"/>
      </w:r>
    </w:p>
    <w:p>
      <w:pPr>
        <w:spacing w:line="369" w:lineRule="auto"/>
        <w:rPr>
          <w:rFonts w:ascii="Arial"/>
          <w:sz w:val="21"/>
        </w:rPr>
      </w:pPr>
    </w:p>
    <w:p>
      <w:pPr>
        <w:pStyle w:val="BodyText"/>
        <w:spacing w:before="48" w:line="220" w:lineRule="auto"/>
        <w:rPr>
          <w:sz w:val="15"/>
          <w:szCs w:val="15"/>
        </w:rPr>
      </w:pPr>
      <w:r>
        <w:rPr>
          <w:spacing w:val="-13"/>
          <w:w w:val="99"/>
          <w:sz w:val="15"/>
          <w:szCs w:val="15"/>
        </w:rPr>
        <w:t>交流电压表</w:t>
      </w:r>
    </w:p>
    <w:p>
      <w:pPr>
        <w:spacing w:line="220" w:lineRule="auto"/>
        <w:rPr>
          <w:sz w:val="15"/>
          <w:szCs w:val="15"/>
        </w:rPr>
        <w:sectPr>
          <w:headerReference w:type="default" r:id="rId39"/>
          <w:footerReference w:type="default" r:id="rId40"/>
          <w:type w:val="continuous"/>
          <w:pgSz w:w="7420" w:h="10340"/>
          <w:pgMar w:top="590" w:right="549" w:bottom="437" w:left="620" w:header="366" w:footer="328" w:gutter="0"/>
          <w:pgNumType w:start="12"/>
          <w:cols w:num="4" w:space="708" w:equalWidth="0">
            <w:col w:w="2311" w:space="100"/>
            <w:col w:w="1190" w:space="100"/>
            <w:col w:w="1070" w:space="100"/>
            <w:col w:w="1381" w:space="0"/>
          </w:cols>
        </w:sectPr>
      </w:pPr>
    </w:p>
    <w:p>
      <w:pPr>
        <w:spacing w:line="319" w:lineRule="auto"/>
        <w:rPr>
          <w:rFonts w:ascii="Arial"/>
          <w:sz w:val="21"/>
        </w:rPr>
      </w:pPr>
    </w:p>
    <w:p>
      <w:pPr>
        <w:spacing w:line="320" w:lineRule="auto"/>
        <w:rPr>
          <w:rFonts w:ascii="Arial"/>
          <w:sz w:val="21"/>
        </w:rPr>
      </w:pPr>
    </w:p>
    <w:p>
      <w:pPr>
        <w:spacing w:before="43" w:line="192" w:lineRule="auto"/>
        <w:ind w:left="2980"/>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(b)</w:t>
      </w:r>
    </w:p>
    <w:p>
      <w:pPr>
        <w:pStyle w:val="BodyText"/>
        <w:spacing w:before="265" w:line="219" w:lineRule="auto"/>
        <w:ind w:left="2109"/>
        <w:rPr>
          <w:sz w:val="15"/>
          <w:szCs w:val="15"/>
        </w:rPr>
      </w:pPr>
      <w:r>
        <w:rPr>
          <w:spacing w:val="-6"/>
          <w:sz w:val="15"/>
          <w:szCs w:val="15"/>
        </w:rPr>
        <w:t>图2</w:t>
      </w:r>
      <w:r>
        <w:rPr>
          <w:spacing w:val="62"/>
          <w:sz w:val="15"/>
          <w:szCs w:val="15"/>
        </w:rPr>
        <w:t xml:space="preserve"> </w:t>
      </w:r>
      <w:r>
        <w:rPr>
          <w:spacing w:val="-6"/>
          <w:sz w:val="15"/>
          <w:szCs w:val="15"/>
        </w:rPr>
        <w:t>传声器频率响应检定示意图</w:t>
      </w:r>
    </w:p>
    <w:p>
      <w:pPr>
        <w:pStyle w:val="BodyText"/>
        <w:spacing w:before="92" w:line="270" w:lineRule="auto"/>
        <w:ind w:right="71" w:firstLine="319"/>
        <w:rPr>
          <w:sz w:val="15"/>
          <w:szCs w:val="15"/>
        </w:rPr>
      </w:pPr>
      <w:r>
        <w:rPr>
          <w:spacing w:val="16"/>
          <w:sz w:val="15"/>
          <w:szCs w:val="15"/>
        </w:rPr>
        <w:t>1)在仿真耳规定的频率范围内，按标称1/3倍频程中心频率以及750</w:t>
      </w:r>
      <w:r>
        <w:rPr>
          <w:rFonts w:ascii="Times New Roman" w:eastAsia="Times New Roman" w:hAnsi="Times New Roman" w:cs="Times New Roman"/>
          <w:sz w:val="15"/>
          <w:szCs w:val="15"/>
        </w:rPr>
        <w:t>Hz</w:t>
      </w:r>
      <w:r>
        <w:rPr>
          <w:rFonts w:ascii="Times New Roman" w:eastAsia="Times New Roman" w:hAnsi="Times New Roman" w:cs="Times New Roman"/>
          <w:spacing w:val="16"/>
          <w:sz w:val="15"/>
          <w:szCs w:val="15"/>
        </w:rPr>
        <w:t xml:space="preserve"> </w:t>
      </w:r>
      <w:r>
        <w:rPr>
          <w:spacing w:val="15"/>
          <w:sz w:val="15"/>
          <w:szCs w:val="15"/>
        </w:rPr>
        <w:t>和1</w:t>
      </w:r>
      <w:r>
        <w:rPr>
          <w:spacing w:val="-42"/>
          <w:sz w:val="15"/>
          <w:szCs w:val="15"/>
        </w:rPr>
        <w:t xml:space="preserve"> </w:t>
      </w:r>
      <w:r>
        <w:rPr>
          <w:spacing w:val="15"/>
          <w:sz w:val="15"/>
          <w:szCs w:val="15"/>
        </w:rPr>
        <w:t>.</w:t>
      </w:r>
      <w:r>
        <w:rPr>
          <w:spacing w:val="-42"/>
          <w:sz w:val="15"/>
          <w:szCs w:val="15"/>
        </w:rPr>
        <w:t xml:space="preserve"> </w:t>
      </w:r>
      <w:r>
        <w:rPr>
          <w:spacing w:val="15"/>
          <w:sz w:val="15"/>
          <w:szCs w:val="15"/>
        </w:rPr>
        <w:t>5</w:t>
      </w:r>
      <w:r>
        <w:rPr>
          <w:rFonts w:ascii="Times New Roman" w:eastAsia="Times New Roman" w:hAnsi="Times New Roman" w:cs="Times New Roman"/>
          <w:sz w:val="15"/>
          <w:szCs w:val="15"/>
        </w:rPr>
        <w:t xml:space="preserve">kHz </w:t>
      </w:r>
      <w:r>
        <w:rPr>
          <w:spacing w:val="12"/>
          <w:sz w:val="15"/>
          <w:szCs w:val="15"/>
        </w:rPr>
        <w:t>频率点上，分别调节正弦信号发生器的频率，并相应读取实验室标准传声器在交流电压</w:t>
      </w:r>
      <w:r>
        <w:rPr>
          <w:spacing w:val="10"/>
          <w:sz w:val="15"/>
          <w:szCs w:val="15"/>
        </w:rPr>
        <w:t xml:space="preserve"> </w:t>
      </w:r>
      <w:r>
        <w:rPr>
          <w:spacing w:val="11"/>
          <w:sz w:val="15"/>
          <w:szCs w:val="15"/>
        </w:rPr>
        <w:t>表上的示值及被检传声器在交流电压表上的示值，并计算出相应声压级的差值。</w:t>
      </w:r>
    </w:p>
    <w:p>
      <w:pPr>
        <w:pStyle w:val="BodyText"/>
        <w:spacing w:before="53" w:line="278" w:lineRule="auto"/>
        <w:ind w:right="77" w:firstLine="319"/>
        <w:rPr>
          <w:sz w:val="15"/>
          <w:szCs w:val="15"/>
        </w:rPr>
      </w:pPr>
      <w:r>
        <w:rPr>
          <w:spacing w:val="13"/>
          <w:sz w:val="15"/>
          <w:szCs w:val="15"/>
        </w:rPr>
        <w:t>2</w:t>
      </w:r>
      <w:r>
        <w:rPr>
          <w:spacing w:val="-32"/>
          <w:sz w:val="15"/>
          <w:szCs w:val="15"/>
        </w:rPr>
        <w:t xml:space="preserve"> </w:t>
      </w:r>
      <w:r>
        <w:rPr>
          <w:spacing w:val="13"/>
          <w:sz w:val="15"/>
          <w:szCs w:val="15"/>
        </w:rPr>
        <w:t>)</w:t>
      </w:r>
      <w:r>
        <w:rPr>
          <w:spacing w:val="-23"/>
          <w:sz w:val="15"/>
          <w:szCs w:val="15"/>
        </w:rPr>
        <w:t xml:space="preserve"> </w:t>
      </w:r>
      <w:r>
        <w:rPr>
          <w:spacing w:val="13"/>
          <w:sz w:val="15"/>
          <w:szCs w:val="15"/>
        </w:rPr>
        <w:t>当</w:t>
      </w:r>
      <w:r>
        <w:rPr>
          <w:spacing w:val="-32"/>
          <w:sz w:val="15"/>
          <w:szCs w:val="15"/>
        </w:rPr>
        <w:t xml:space="preserve"> </w:t>
      </w:r>
      <w:r>
        <w:rPr>
          <w:spacing w:val="13"/>
          <w:sz w:val="15"/>
          <w:szCs w:val="15"/>
        </w:rPr>
        <w:t>用</w:t>
      </w:r>
      <w:r>
        <w:rPr>
          <w:spacing w:val="-18"/>
          <w:sz w:val="15"/>
          <w:szCs w:val="15"/>
        </w:rPr>
        <w:t xml:space="preserve"> </w:t>
      </w:r>
      <w:r>
        <w:rPr>
          <w:spacing w:val="13"/>
          <w:sz w:val="15"/>
          <w:szCs w:val="15"/>
        </w:rPr>
        <w:t>图</w:t>
      </w:r>
      <w:r>
        <w:rPr>
          <w:spacing w:val="-31"/>
          <w:sz w:val="15"/>
          <w:szCs w:val="15"/>
        </w:rPr>
        <w:t xml:space="preserve"> </w:t>
      </w:r>
      <w:r>
        <w:rPr>
          <w:spacing w:val="13"/>
          <w:sz w:val="15"/>
          <w:szCs w:val="15"/>
        </w:rPr>
        <w:t>2</w:t>
      </w:r>
      <w:r>
        <w:rPr>
          <w:rFonts w:ascii="Times New Roman" w:eastAsia="Times New Roman" w:hAnsi="Times New Roman" w:cs="Times New Roman"/>
          <w:spacing w:val="13"/>
          <w:sz w:val="15"/>
          <w:szCs w:val="15"/>
        </w:rPr>
        <w:t xml:space="preserve">a </w:t>
      </w:r>
      <w:r>
        <w:rPr>
          <w:spacing w:val="13"/>
          <w:sz w:val="15"/>
          <w:szCs w:val="15"/>
        </w:rPr>
        <w:t>所示的装置进行检定时，应将实验室标准传</w:t>
      </w:r>
      <w:r>
        <w:rPr>
          <w:spacing w:val="12"/>
          <w:sz w:val="15"/>
          <w:szCs w:val="15"/>
        </w:rPr>
        <w:t>声器(包括前置放大器)</w:t>
      </w:r>
      <w:r>
        <w:rPr>
          <w:sz w:val="15"/>
          <w:szCs w:val="15"/>
        </w:rPr>
        <w:t xml:space="preserve"> </w:t>
      </w:r>
      <w:r>
        <w:rPr>
          <w:spacing w:val="20"/>
          <w:sz w:val="15"/>
          <w:szCs w:val="15"/>
        </w:rPr>
        <w:t>与被检传声器(包括前置放大器)在相应的测量放大器上进行对换，重复上述1)的步</w:t>
      </w:r>
      <w:r>
        <w:rPr>
          <w:spacing w:val="6"/>
          <w:sz w:val="15"/>
          <w:szCs w:val="15"/>
        </w:rPr>
        <w:t xml:space="preserve"> </w:t>
      </w:r>
      <w:r>
        <w:rPr>
          <w:spacing w:val="10"/>
          <w:sz w:val="15"/>
          <w:szCs w:val="15"/>
        </w:rPr>
        <w:t>骤，然后求出二次差值的平均值。</w:t>
      </w:r>
    </w:p>
    <w:p>
      <w:pPr>
        <w:pStyle w:val="BodyText"/>
        <w:spacing w:before="32" w:line="269" w:lineRule="auto"/>
        <w:ind w:right="82" w:firstLine="319"/>
        <w:rPr>
          <w:sz w:val="15"/>
          <w:szCs w:val="15"/>
        </w:rPr>
      </w:pPr>
      <w:r>
        <w:rPr>
          <w:spacing w:val="17"/>
          <w:sz w:val="15"/>
          <w:szCs w:val="15"/>
        </w:rPr>
        <w:t>3)用被检传声器与实验室标准传声器的差值</w:t>
      </w:r>
      <w:r>
        <w:rPr>
          <w:spacing w:val="16"/>
          <w:sz w:val="15"/>
          <w:szCs w:val="15"/>
        </w:rPr>
        <w:t>，加上实验室标准传声器的已知声压</w:t>
      </w:r>
      <w:r>
        <w:rPr>
          <w:sz w:val="15"/>
          <w:szCs w:val="15"/>
        </w:rPr>
        <w:t xml:space="preserve"> </w:t>
      </w:r>
      <w:r>
        <w:rPr>
          <w:spacing w:val="10"/>
          <w:sz w:val="15"/>
          <w:szCs w:val="15"/>
        </w:rPr>
        <w:t>灵敏度级，即为被检传声器的声压灵敏度级。</w:t>
      </w:r>
      <w:r>
        <w:rPr>
          <w:sz w:val="15"/>
          <w:szCs w:val="15"/>
        </w:rPr>
        <w:br/>
      </w:r>
      <w:r>
        <w:rPr>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https://d.book118.com/787122062066006026</w:t>
        </w:r>
      </w:hyperlink>
    </w:p>
    <w:p>
      <w:pPr>
        <w:pStyle w:val="BodyText"/>
        <w:spacing w:before="32" w:line="269" w:lineRule="auto"/>
        <w:ind w:right="82" w:firstLine="319"/>
        <w:rPr>
          <w:sz w:val="15"/>
          <w:szCs w:val="15"/>
        </w:rPr>
      </w:pPr>
    </w:p>
    <w:sectPr>
      <w:headerReference w:type="default" r:id="rId42"/>
      <w:footerReference w:type="default" r:id="rId43"/>
      <w:type w:val="continuous"/>
      <w:pgSz w:w="7420" w:h="10340"/>
      <w:pgMar w:top="590" w:right="549" w:bottom="437" w:left="620" w:header="366" w:footer="328" w:gutter="0"/>
      <w:pgNumType w:start="13"/>
      <w:cols w:num="1" w:space="708" w:equalWidth="0">
        <w:col w:w="625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49"/>
      <w:rPr>
        <w:sz w:val="11"/>
        <w:szCs w:val="11"/>
      </w:rPr>
    </w:pPr>
    <w:r>
      <w:rPr>
        <w:sz w:val="11"/>
        <w:szCs w:val="1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49"/>
      <w:rPr>
        <w:sz w:val="11"/>
        <w:szCs w:val="11"/>
      </w:rPr>
    </w:pPr>
    <w:r>
      <w:rPr>
        <w:sz w:val="11"/>
        <w:szCs w:val="1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20"/>
      <w:rPr>
        <w:sz w:val="10"/>
        <w:szCs w:val="10"/>
      </w:rPr>
    </w:pPr>
    <w:r>
      <w:rPr>
        <w:sz w:val="10"/>
        <w:szCs w:val="1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20"/>
      <w:rPr>
        <w:sz w:val="10"/>
        <w:szCs w:val="10"/>
      </w:rPr>
    </w:pPr>
    <w:r>
      <w:rPr>
        <w:sz w:val="10"/>
        <w:szCs w:val="1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50"/>
      <w:rPr>
        <w:sz w:val="11"/>
        <w:szCs w:val="11"/>
      </w:rPr>
    </w:pPr>
    <w:r>
      <w:rPr>
        <w:sz w:val="11"/>
        <w:szCs w:val="1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50"/>
      <w:rPr>
        <w:sz w:val="11"/>
        <w:szCs w:val="11"/>
      </w:rPr>
    </w:pPr>
    <w:r>
      <w:rPr>
        <w:sz w:val="11"/>
        <w:szCs w:val="1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00"/>
      <w:rPr>
        <w:sz w:val="11"/>
        <w:szCs w:val="11"/>
      </w:rPr>
    </w:pPr>
    <w:r>
      <w:rPr>
        <w:sz w:val="11"/>
        <w:szCs w:val="1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00"/>
      <w:rPr>
        <w:sz w:val="11"/>
        <w:szCs w:val="11"/>
      </w:rPr>
    </w:pPr>
    <w:r>
      <w:rPr>
        <w:sz w:val="11"/>
        <w:szCs w:val="11"/>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69"/>
      <w:rPr>
        <w:sz w:val="11"/>
        <w:szCs w:val="11"/>
      </w:rPr>
    </w:pPr>
    <w:r>
      <w:rPr>
        <w:sz w:val="11"/>
        <w:szCs w:val="1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69"/>
      <w:rPr>
        <w:sz w:val="11"/>
        <w:szCs w:val="11"/>
      </w:rPr>
    </w:pPr>
    <w:r>
      <w:rPr>
        <w:sz w:val="11"/>
        <w:szCs w:val="1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69"/>
      <w:rPr>
        <w:sz w:val="11"/>
        <w:szCs w:val="11"/>
      </w:rPr>
    </w:pPr>
    <w:r>
      <w:rPr>
        <w:sz w:val="11"/>
        <w:szCs w:val="11"/>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98"/>
      </w:tabs>
      <w:spacing w:line="111" w:lineRule="auto"/>
      <w:rPr>
        <w:sz w:val="11"/>
        <w:szCs w:val="11"/>
      </w:rPr>
    </w:pPr>
    <w:r>
      <w:rPr>
        <w:sz w:val="11"/>
        <w:szCs w:val="11"/>
        <w:u w:val="single" w:color="auto"/>
      </w:rPr>
      <w:tab/>
    </w:r>
    <w:r>
      <w:rPr>
        <w:b/>
        <w:bCs/>
        <w:spacing w:val="-1"/>
        <w:sz w:val="11"/>
        <w:szCs w:val="11"/>
        <w:u w:val="single" w:color="auto"/>
      </w:rPr>
      <w:t>LIG</w:t>
    </w:r>
    <w:r>
      <w:rPr>
        <w:spacing w:val="12"/>
        <w:sz w:val="11"/>
        <w:szCs w:val="11"/>
        <w:u w:val="single" w:color="auto"/>
      </w:rPr>
      <w:t xml:space="preserve">  </w:t>
    </w:r>
    <w:r>
      <w:rPr>
        <w:b/>
        <w:bCs/>
        <w:spacing w:val="-1"/>
        <w:sz w:val="11"/>
        <w:szCs w:val="11"/>
        <w:u w:val="single" w:color="auto"/>
      </w:rPr>
      <w:t>389—2003</w:t>
    </w:r>
    <w:r>
      <w:rPr>
        <w:spacing w:val="-1"/>
        <w:sz w:val="11"/>
        <w:szCs w:val="11"/>
        <w:u w:val="single" w:color="auto"/>
      </w:rPr>
      <w:t xml:space="preserve">                                 </w:t>
    </w:r>
    <w:r>
      <w:rPr>
        <w:spacing w:val="-2"/>
        <w:sz w:val="11"/>
        <w:szCs w:val="11"/>
        <w:u w:val="single" w:color="aut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98"/>
      </w:tabs>
      <w:spacing w:line="111" w:lineRule="auto"/>
      <w:rPr>
        <w:sz w:val="11"/>
        <w:szCs w:val="11"/>
      </w:rPr>
    </w:pPr>
    <w:r>
      <w:rPr>
        <w:sz w:val="11"/>
        <w:szCs w:val="11"/>
        <w:u w:val="single" w:color="auto"/>
      </w:rPr>
      <w:tab/>
    </w:r>
    <w:r>
      <w:rPr>
        <w:b/>
        <w:bCs/>
        <w:spacing w:val="-1"/>
        <w:sz w:val="11"/>
        <w:szCs w:val="11"/>
        <w:u w:val="single" w:color="auto"/>
      </w:rPr>
      <w:t>LIG</w:t>
    </w:r>
    <w:r>
      <w:rPr>
        <w:spacing w:val="12"/>
        <w:sz w:val="11"/>
        <w:szCs w:val="11"/>
        <w:u w:val="single" w:color="auto"/>
      </w:rPr>
      <w:t xml:space="preserve">  </w:t>
    </w:r>
    <w:r>
      <w:rPr>
        <w:b/>
        <w:bCs/>
        <w:spacing w:val="-1"/>
        <w:sz w:val="11"/>
        <w:szCs w:val="11"/>
        <w:u w:val="single" w:color="auto"/>
      </w:rPr>
      <w:t>389—2003</w:t>
    </w:r>
    <w:r>
      <w:rPr>
        <w:spacing w:val="-1"/>
        <w:sz w:val="11"/>
        <w:szCs w:val="11"/>
        <w:u w:val="single" w:color="auto"/>
      </w:rPr>
      <w:t xml:space="preserve">                                 </w:t>
    </w:r>
    <w:r>
      <w:rPr>
        <w:spacing w:val="-2"/>
        <w:sz w:val="11"/>
        <w:szCs w:val="11"/>
        <w:u w:val="single" w:color="auto"/>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671"/>
      <w:rPr>
        <w:sz w:val="13"/>
        <w:szCs w:val="13"/>
      </w:rPr>
    </w:pPr>
    <w:r>
      <w:drawing>
        <wp:anchor distT="0" distB="0" distL="0" distR="0" simplePos="0" relativeHeight="251658240" behindDoc="0" locked="0" layoutInCell="0" allowOverlap="1">
          <wp:simplePos x="0" y="0"/>
          <wp:positionH relativeFrom="page">
            <wp:posOffset>361970</wp:posOffset>
          </wp:positionH>
          <wp:positionV relativeFrom="page">
            <wp:posOffset>368293</wp:posOffset>
          </wp:positionV>
          <wp:extent cx="3943333"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3943333" cy="6350"/>
                  </a:xfrm>
                  <a:prstGeom prst="rect">
                    <a:avLst/>
                  </a:prstGeom>
                </pic:spPr>
              </pic:pic>
            </a:graphicData>
          </a:graphic>
        </wp:anchor>
      </w:drawing>
    </w:r>
    <w:r>
      <w:rPr>
        <w:b/>
        <w:bCs/>
        <w:spacing w:val="-3"/>
        <w:sz w:val="13"/>
        <w:szCs w:val="13"/>
      </w:rPr>
      <w:t>JJG</w:t>
    </w:r>
    <w:r>
      <w:rPr>
        <w:spacing w:val="46"/>
        <w:sz w:val="13"/>
        <w:szCs w:val="13"/>
      </w:rPr>
      <w:t xml:space="preserve"> </w:t>
    </w:r>
    <w:r>
      <w:rPr>
        <w:b/>
        <w:bCs/>
        <w:spacing w:val="-3"/>
        <w:sz w:val="13"/>
        <w:szCs w:val="13"/>
      </w:rPr>
      <w:t>389—2003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671"/>
      <w:rPr>
        <w:sz w:val="13"/>
        <w:szCs w:val="13"/>
      </w:rPr>
    </w:pPr>
    <w:r>
      <w:drawing>
        <wp:anchor distT="0" distB="0" distL="0" distR="0" simplePos="0" relativeHeight="251659264" behindDoc="0" locked="0" layoutInCell="0" allowOverlap="1">
          <wp:simplePos x="0" y="0"/>
          <wp:positionH relativeFrom="page">
            <wp:posOffset>361970</wp:posOffset>
          </wp:positionH>
          <wp:positionV relativeFrom="page">
            <wp:posOffset>368293</wp:posOffset>
          </wp:positionV>
          <wp:extent cx="3943333" cy="6350"/>
          <wp:effectExtent l="0" t="0" r="0" b="0"/>
          <wp:wrapNone/>
          <wp:docPr id="2106444727" name="IM 2"/>
          <wp:cNvGraphicFramePr/>
          <a:graphic xmlns:a="http://schemas.openxmlformats.org/drawingml/2006/main">
            <a:graphicData uri="http://schemas.openxmlformats.org/drawingml/2006/picture">
              <pic:pic xmlns:pic="http://schemas.openxmlformats.org/drawingml/2006/picture">
                <pic:nvPicPr>
                  <pic:cNvPr id="2106444727" name="IM 2"/>
                  <pic:cNvPicPr/>
                </pic:nvPicPr>
                <pic:blipFill>
                  <a:blip xmlns:r="http://schemas.openxmlformats.org/officeDocument/2006/relationships" r:embed="rId1"/>
                  <a:stretch>
                    <a:fillRect/>
                  </a:stretch>
                </pic:blipFill>
                <pic:spPr>
                  <a:xfrm>
                    <a:off x="0" y="0"/>
                    <a:ext cx="3943333" cy="6350"/>
                  </a:xfrm>
                  <a:prstGeom prst="rect">
                    <a:avLst/>
                  </a:prstGeom>
                </pic:spPr>
              </pic:pic>
            </a:graphicData>
          </a:graphic>
        </wp:anchor>
      </w:drawing>
    </w:r>
    <w:r>
      <w:rPr>
        <w:b/>
        <w:bCs/>
        <w:spacing w:val="-3"/>
        <w:sz w:val="13"/>
        <w:szCs w:val="13"/>
      </w:rPr>
      <w:t>JJG</w:t>
    </w:r>
    <w:r>
      <w:rPr>
        <w:spacing w:val="46"/>
        <w:sz w:val="13"/>
        <w:szCs w:val="13"/>
      </w:rPr>
      <w:t xml:space="preserve"> </w:t>
    </w:r>
    <w:r>
      <w:rPr>
        <w:b/>
        <w:bCs/>
        <w:spacing w:val="-3"/>
        <w:sz w:val="13"/>
        <w:szCs w:val="13"/>
      </w:rPr>
      <w:t>389—2003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731"/>
    </w:pPr>
    <w:r>
      <w:drawing>
        <wp:anchor distT="0" distB="0" distL="0" distR="0" simplePos="0" relativeHeight="251660288" behindDoc="0" locked="0" layoutInCell="0" allowOverlap="1">
          <wp:simplePos x="0" y="0"/>
          <wp:positionH relativeFrom="page">
            <wp:posOffset>342896</wp:posOffset>
          </wp:positionH>
          <wp:positionV relativeFrom="page">
            <wp:posOffset>425456</wp:posOffset>
          </wp:positionV>
          <wp:extent cx="3937007"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3937007"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731"/>
    </w:pPr>
    <w:r>
      <w:drawing>
        <wp:anchor distT="0" distB="0" distL="0" distR="0" simplePos="0" relativeHeight="251661312" behindDoc="0" locked="0" layoutInCell="0" allowOverlap="1">
          <wp:simplePos x="0" y="0"/>
          <wp:positionH relativeFrom="page">
            <wp:posOffset>342896</wp:posOffset>
          </wp:positionH>
          <wp:positionV relativeFrom="page">
            <wp:posOffset>425456</wp:posOffset>
          </wp:positionV>
          <wp:extent cx="3937007" cy="6350"/>
          <wp:effectExtent l="0" t="0" r="0" b="0"/>
          <wp:wrapNone/>
          <wp:docPr id="683155059" name="IM 4"/>
          <wp:cNvGraphicFramePr/>
          <a:graphic xmlns:a="http://schemas.openxmlformats.org/drawingml/2006/main">
            <a:graphicData uri="http://schemas.openxmlformats.org/drawingml/2006/picture">
              <pic:pic xmlns:pic="http://schemas.openxmlformats.org/drawingml/2006/picture">
                <pic:nvPicPr>
                  <pic:cNvPr id="683155059" name="IM 4"/>
                  <pic:cNvPicPr/>
                </pic:nvPicPr>
                <pic:blipFill>
                  <a:blip xmlns:r="http://schemas.openxmlformats.org/officeDocument/2006/relationships" r:embed="rId1"/>
                  <a:stretch>
                    <a:fillRect/>
                  </a:stretch>
                </pic:blipFill>
                <pic:spPr>
                  <a:xfrm>
                    <a:off x="0" y="0"/>
                    <a:ext cx="3937007"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671"/>
    </w:pPr>
    <w:r>
      <w:drawing>
        <wp:anchor distT="0" distB="0" distL="0" distR="0" simplePos="0" relativeHeight="251662336" behindDoc="0" locked="0" layoutInCell="0" allowOverlap="1">
          <wp:simplePos x="0" y="0"/>
          <wp:positionH relativeFrom="page">
            <wp:posOffset>380996</wp:posOffset>
          </wp:positionH>
          <wp:positionV relativeFrom="page">
            <wp:posOffset>355603</wp:posOffset>
          </wp:positionV>
          <wp:extent cx="3930633"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3930633"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671"/>
    </w:pPr>
    <w:r>
      <w:drawing>
        <wp:anchor distT="0" distB="0" distL="0" distR="0" simplePos="0" relativeHeight="251663360" behindDoc="0" locked="0" layoutInCell="0" allowOverlap="1">
          <wp:simplePos x="0" y="0"/>
          <wp:positionH relativeFrom="page">
            <wp:posOffset>380996</wp:posOffset>
          </wp:positionH>
          <wp:positionV relativeFrom="page">
            <wp:posOffset>355603</wp:posOffset>
          </wp:positionV>
          <wp:extent cx="3930633" cy="6350"/>
          <wp:effectExtent l="0" t="0" r="0" b="0"/>
          <wp:wrapNone/>
          <wp:docPr id="1069634941" name="IM 8"/>
          <wp:cNvGraphicFramePr/>
          <a:graphic xmlns:a="http://schemas.openxmlformats.org/drawingml/2006/main">
            <a:graphicData uri="http://schemas.openxmlformats.org/drawingml/2006/picture">
              <pic:pic xmlns:pic="http://schemas.openxmlformats.org/drawingml/2006/picture">
                <pic:nvPicPr>
                  <pic:cNvPr id="1069634941" name="IM 8"/>
                  <pic:cNvPicPr/>
                </pic:nvPicPr>
                <pic:blipFill>
                  <a:blip xmlns:r="http://schemas.openxmlformats.org/officeDocument/2006/relationships" r:embed="rId1"/>
                  <a:stretch>
                    <a:fillRect/>
                  </a:stretch>
                </pic:blipFill>
                <pic:spPr>
                  <a:xfrm>
                    <a:off x="0" y="0"/>
                    <a:ext cx="3930633"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701"/>
    </w:pPr>
    <w:r>
      <w:drawing>
        <wp:anchor distT="0" distB="0" distL="0" distR="0" simplePos="0" relativeHeight="251664384" behindDoc="0" locked="0" layoutInCell="0" allowOverlap="1">
          <wp:simplePos x="0" y="0"/>
          <wp:positionH relativeFrom="page">
            <wp:posOffset>349270</wp:posOffset>
          </wp:positionH>
          <wp:positionV relativeFrom="page">
            <wp:posOffset>380980</wp:posOffset>
          </wp:positionV>
          <wp:extent cx="3930633"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3930633"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701"/>
    </w:pPr>
    <w:r>
      <w:drawing>
        <wp:anchor distT="0" distB="0" distL="0" distR="0" simplePos="0" relativeHeight="251665408" behindDoc="0" locked="0" layoutInCell="0" allowOverlap="1">
          <wp:simplePos x="0" y="0"/>
          <wp:positionH relativeFrom="page">
            <wp:posOffset>349270</wp:posOffset>
          </wp:positionH>
          <wp:positionV relativeFrom="page">
            <wp:posOffset>380980</wp:posOffset>
          </wp:positionV>
          <wp:extent cx="3930633" cy="6350"/>
          <wp:effectExtent l="0" t="0" r="0" b="0"/>
          <wp:wrapNone/>
          <wp:docPr id="277283550" name="IM 10"/>
          <wp:cNvGraphicFramePr/>
          <a:graphic xmlns:a="http://schemas.openxmlformats.org/drawingml/2006/main">
            <a:graphicData uri="http://schemas.openxmlformats.org/drawingml/2006/picture">
              <pic:pic xmlns:pic="http://schemas.openxmlformats.org/drawingml/2006/picture">
                <pic:nvPicPr>
                  <pic:cNvPr id="277283550" name="IM 10"/>
                  <pic:cNvPicPr/>
                </pic:nvPicPr>
                <pic:blipFill>
                  <a:blip xmlns:r="http://schemas.openxmlformats.org/officeDocument/2006/relationships" r:embed="rId1"/>
                  <a:stretch>
                    <a:fillRect/>
                  </a:stretch>
                </pic:blipFill>
                <pic:spPr>
                  <a:xfrm>
                    <a:off x="0" y="0"/>
                    <a:ext cx="3930633" cy="6350"/>
                  </a:xfrm>
                  <a:prstGeom prst="rect">
                    <a:avLst/>
                  </a:prstGeom>
                </pic:spPr>
              </pic:pic>
            </a:graphicData>
          </a:graphic>
        </wp:anchor>
      </w:drawing>
    </w:r>
    <w:r>
      <w:rPr>
        <w:b/>
        <w:bCs/>
        <w:spacing w:val="-14"/>
      </w:rPr>
      <w:t>JJG</w:t>
    </w:r>
    <w:r>
      <w:rPr>
        <w:spacing w:val="-14"/>
      </w:rPr>
      <w:t xml:space="preserve"> </w:t>
    </w:r>
    <w:r>
      <w:rPr>
        <w:b/>
        <w:bCs/>
        <w:spacing w:val="-14"/>
      </w:rPr>
      <w:t>389—2003</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411"/>
      <w:rPr>
        <w:sz w:val="15"/>
        <w:szCs w:val="15"/>
      </w:rPr>
    </w:pPr>
    <w:r>
      <w:drawing>
        <wp:anchor distT="0" distB="0" distL="0" distR="0" simplePos="0" relativeHeight="251666432" behindDoc="0" locked="0" layoutInCell="0" allowOverlap="1">
          <wp:simplePos x="0" y="0"/>
          <wp:positionH relativeFrom="page">
            <wp:posOffset>425466</wp:posOffset>
          </wp:positionH>
          <wp:positionV relativeFrom="page">
            <wp:posOffset>368281</wp:posOffset>
          </wp:positionV>
          <wp:extent cx="3937002" cy="636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3937002" cy="6368"/>
                  </a:xfrm>
                  <a:prstGeom prst="rect">
                    <a:avLst/>
                  </a:prstGeom>
                </pic:spPr>
              </pic:pic>
            </a:graphicData>
          </a:graphic>
        </wp:anchor>
      </w:drawing>
    </w:r>
    <w:r>
      <w:rPr>
        <w:b/>
        <w:bCs/>
        <w:spacing w:val="-8"/>
        <w:sz w:val="15"/>
        <w:szCs w:val="15"/>
      </w:rPr>
      <w:t>JJG</w:t>
    </w:r>
    <w:r>
      <w:rPr>
        <w:spacing w:val="-8"/>
        <w:sz w:val="15"/>
        <w:szCs w:val="15"/>
      </w:rPr>
      <w:t xml:space="preserve"> </w:t>
    </w:r>
    <w:r>
      <w:rPr>
        <w:b/>
        <w:bCs/>
        <w:spacing w:val="-8"/>
        <w:sz w:val="15"/>
        <w:szCs w:val="15"/>
      </w:rPr>
      <w:t>389--2003</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411"/>
      <w:rPr>
        <w:sz w:val="15"/>
        <w:szCs w:val="15"/>
      </w:rPr>
    </w:pPr>
    <w:r>
      <w:drawing>
        <wp:anchor distT="0" distB="0" distL="0" distR="0" simplePos="0" relativeHeight="251667456" behindDoc="0" locked="0" layoutInCell="0" allowOverlap="1">
          <wp:simplePos x="0" y="0"/>
          <wp:positionH relativeFrom="page">
            <wp:posOffset>425466</wp:posOffset>
          </wp:positionH>
          <wp:positionV relativeFrom="page">
            <wp:posOffset>368281</wp:posOffset>
          </wp:positionV>
          <wp:extent cx="3937002" cy="6368"/>
          <wp:effectExtent l="0" t="0" r="0" b="0"/>
          <wp:wrapNone/>
          <wp:docPr id="1509478696" name="IM 12"/>
          <wp:cNvGraphicFramePr/>
          <a:graphic xmlns:a="http://schemas.openxmlformats.org/drawingml/2006/main">
            <a:graphicData uri="http://schemas.openxmlformats.org/drawingml/2006/picture">
              <pic:pic xmlns:pic="http://schemas.openxmlformats.org/drawingml/2006/picture">
                <pic:nvPicPr>
                  <pic:cNvPr id="1509478696" name="IM 12"/>
                  <pic:cNvPicPr/>
                </pic:nvPicPr>
                <pic:blipFill>
                  <a:blip xmlns:r="http://schemas.openxmlformats.org/officeDocument/2006/relationships" r:embed="rId1"/>
                  <a:stretch>
                    <a:fillRect/>
                  </a:stretch>
                </pic:blipFill>
                <pic:spPr>
                  <a:xfrm>
                    <a:off x="0" y="0"/>
                    <a:ext cx="3937002" cy="6368"/>
                  </a:xfrm>
                  <a:prstGeom prst="rect">
                    <a:avLst/>
                  </a:prstGeom>
                </pic:spPr>
              </pic:pic>
            </a:graphicData>
          </a:graphic>
        </wp:anchor>
      </w:drawing>
    </w:r>
    <w:r>
      <w:rPr>
        <w:b/>
        <w:bCs/>
        <w:spacing w:val="-8"/>
        <w:sz w:val="15"/>
        <w:szCs w:val="15"/>
      </w:rPr>
      <w:t>JJG</w:t>
    </w:r>
    <w:r>
      <w:rPr>
        <w:spacing w:val="-8"/>
        <w:sz w:val="15"/>
        <w:szCs w:val="15"/>
      </w:rPr>
      <w:t xml:space="preserve"> </w:t>
    </w:r>
    <w:r>
      <w:rPr>
        <w:b/>
        <w:bCs/>
        <w:spacing w:val="-8"/>
        <w:sz w:val="15"/>
        <w:szCs w:val="15"/>
      </w:rPr>
      <w:t>389--2003</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2" w:lineRule="auto"/>
      <w:ind w:left="2411"/>
      <w:rPr>
        <w:sz w:val="15"/>
        <w:szCs w:val="15"/>
      </w:rPr>
    </w:pPr>
    <w:r>
      <w:drawing>
        <wp:anchor distT="0" distB="0" distL="0" distR="0" simplePos="0" relativeHeight="251668480" behindDoc="0" locked="0" layoutInCell="0" allowOverlap="1">
          <wp:simplePos x="0" y="0"/>
          <wp:positionH relativeFrom="page">
            <wp:posOffset>425466</wp:posOffset>
          </wp:positionH>
          <wp:positionV relativeFrom="page">
            <wp:posOffset>368281</wp:posOffset>
          </wp:positionV>
          <wp:extent cx="3937002" cy="6368"/>
          <wp:effectExtent l="0" t="0" r="0" b="0"/>
          <wp:wrapNone/>
          <wp:docPr id="1534550183" name="IM 12"/>
          <wp:cNvGraphicFramePr/>
          <a:graphic xmlns:a="http://schemas.openxmlformats.org/drawingml/2006/main">
            <a:graphicData uri="http://schemas.openxmlformats.org/drawingml/2006/picture">
              <pic:pic xmlns:pic="http://schemas.openxmlformats.org/drawingml/2006/picture">
                <pic:nvPicPr>
                  <pic:cNvPr id="1534550183" name="IM 12"/>
                  <pic:cNvPicPr/>
                </pic:nvPicPr>
                <pic:blipFill>
                  <a:blip xmlns:r="http://schemas.openxmlformats.org/officeDocument/2006/relationships" r:embed="rId1"/>
                  <a:stretch>
                    <a:fillRect/>
                  </a:stretch>
                </pic:blipFill>
                <pic:spPr>
                  <a:xfrm>
                    <a:off x="0" y="0"/>
                    <a:ext cx="3937002" cy="6368"/>
                  </a:xfrm>
                  <a:prstGeom prst="rect">
                    <a:avLst/>
                  </a:prstGeom>
                </pic:spPr>
              </pic:pic>
            </a:graphicData>
          </a:graphic>
        </wp:anchor>
      </w:drawing>
    </w:r>
    <w:r>
      <w:rPr>
        <w:b/>
        <w:bCs/>
        <w:spacing w:val="-8"/>
        <w:sz w:val="15"/>
        <w:szCs w:val="15"/>
      </w:rPr>
      <w:t>JJG</w:t>
    </w:r>
    <w:r>
      <w:rPr>
        <w:spacing w:val="-8"/>
        <w:sz w:val="15"/>
        <w:szCs w:val="15"/>
      </w:rPr>
      <w:t xml:space="preserve"> </w:t>
    </w:r>
    <w:r>
      <w:rPr>
        <w:b/>
        <w:bCs/>
        <w:spacing w:val="-8"/>
        <w:sz w:val="15"/>
        <w:szCs w:val="15"/>
      </w:rPr>
      <w:t>389--2003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6"/>
      <w:szCs w:val="16"/>
      <w:lang w:val="en-US" w:eastAsia="en-US" w:bidi="ar-SA"/>
    </w:rPr>
  </w:style>
  <w:style w:type="paragraph" w:customStyle="1" w:styleId="TableText">
    <w:name w:val="Table Text"/>
    <w:basedOn w:val="Normal"/>
    <w:semiHidden/>
    <w:qFormat/>
    <w:rPr>
      <w:rFonts w:ascii="SimSun" w:eastAsia="SimSun" w:hAnsi="SimSun" w:cs="SimSun"/>
      <w:sz w:val="13"/>
      <w:szCs w:val="1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yperlink" Target="6.1.1.1"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6.1.1.2" TargetMode="External" /><Relationship Id="rId19" Type="http://schemas.openxmlformats.org/officeDocument/2006/relationships/hyperlink" Target="6.1.1.3" TargetMode="Externa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yperlink" Target="6.1.3.1" TargetMode="External" /><Relationship Id="rId25" Type="http://schemas.openxmlformats.org/officeDocument/2006/relationships/hyperlink" Target="6.1.3.2" TargetMode="External" /><Relationship Id="rId26" Type="http://schemas.openxmlformats.org/officeDocument/2006/relationships/image" Target="media/image5.jpeg" /><Relationship Id="rId27" Type="http://schemas.openxmlformats.org/officeDocument/2006/relationships/hyperlink" Target="6.1.3.21" TargetMode="External" /><Relationship Id="rId28" Type="http://schemas.openxmlformats.org/officeDocument/2006/relationships/hyperlink" Target="6.1.3.3" TargetMode="Externa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yperlink" Target="6.1.3.31" TargetMode="External" /><Relationship Id="rId32" Type="http://schemas.openxmlformats.org/officeDocument/2006/relationships/hyperlink" Target="6.1.3.4" TargetMode="External"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image" Target="media/image7.jpeg"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9.jpeg"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yperlink" Target="https://d.book118.com/787122062066006026" TargetMode="External"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_rels/header11.xml.rels><?xml version="1.0" encoding="utf-8" standalone="yes"?><Relationships xmlns="http://schemas.openxmlformats.org/package/2006/relationships"><Relationship Id="rId1" Type="http://schemas.openxmlformats.org/officeDocument/2006/relationships/image" Target="media/image8.jpeg" /></Relationships>
</file>

<file path=word/_rels/header12.xml.rels><?xml version="1.0" encoding="utf-8" standalone="yes"?><Relationships xmlns="http://schemas.openxmlformats.org/package/2006/relationships"><Relationship Id="rId1" Type="http://schemas.openxmlformats.org/officeDocument/2006/relationships/image" Target="media/image8.jpeg" /></Relationships>
</file>

<file path=word/_rels/header13.xml.rels><?xml version="1.0" encoding="utf-8" standalone="yes"?><Relationships xmlns="http://schemas.openxmlformats.org/package/2006/relationships"><Relationship Id="rId1" Type="http://schemas.openxmlformats.org/officeDocument/2006/relationships/image" Target="media/image8.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2024-01-08T17:22:15Z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2024-01-08T17:22:17Z</vt:filetime>
  </property>
  <property fmtid="{D5CDD505-2E9C-101B-9397-08002B2CF9AE}" pid="3" name="CRO">
    <vt:lpwstr>wqlLaW5nc29mdCBQREYgdG8gV1BTIDkw</vt:lpwstr>
  </property>
  <property fmtid="{D5CDD505-2E9C-101B-9397-08002B2CF9AE}" pid="4" name="UsrData">
    <vt:lpwstr>659bbec383b9c4001f538777wl</vt:lpwstr>
  </property>
</Properties>
</file>