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2018-2023年湘西民族职业技术学院高职单招（数学／语文／英语）历年常考试题库含答案解析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《郑伯克段于鄢》中详写的是（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A.战争所以成败的原因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B.战争的场面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C.置姜氏于城颍的原因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D.郑伯克段于鄢的经过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苏轼《前赤壁赋》中“哀吾生之须臾，羡长江之无穷”所运用的手法有（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A.比喻、对偶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C.对偶、对比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D.拟人、对比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下列属于闻一多的作品是（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下列诗人中，诗风苍凉悲壮的是（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A.曹操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《蜀相》是一首（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C.七古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《楚辞·九歌》共（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A.9首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B.10首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C.11首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D.12首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《战国策》的整理编订者是（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A.刘向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B.左丘明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C.司马迁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D.战国史官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下列句子中属于呼告句的是（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A.三杯两盏淡酒，怎敌他、晚来风急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B.雁过也，正伤心，却是旧时相识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D.这次第，怎一个愁字了得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孔子的思想核心是（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A.民本思想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B.仁和礼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C.严刑峻法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D.自然无为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《短歌行》（其一）的主旨是（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A.感叹人生几何，去日苦多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B.感伤亲朋离散，孤苦无依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C.感慨功业未成，忧从中来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D.渴望招纳贤才，建功立业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《关山月》一诗的作者是（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A.陆游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由一系列具体事实概括出一般原理的论证方法是（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C.比较法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B.文艺性论文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D.报告文学作品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https://d.book118.com/788006006133006040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788006006133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