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4"/>
        <w:rPr>
          <w:rFonts w:ascii="Times New Roman"/>
          <w:sz w:val="25"/>
        </w:rPr>
      </w:pPr>
    </w:p>
    <w:p>
      <w:pPr>
        <w:pStyle w:val="Title"/>
        <w:spacing w:line="261" w:lineRule="auto"/>
      </w:pPr>
      <w:r>
        <w:t>施工组织设计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2"/>
        </w:rPr>
      </w:pPr>
    </w:p>
    <w:p>
      <w:pPr>
        <w:spacing w:before="96"/>
        <w:ind w:left="0" w:right="7131" w:firstLine="0"/>
        <w:jc w:val="center"/>
        <w:rPr>
          <w:b/>
          <w:sz w:val="45"/>
        </w:rPr>
      </w:pPr>
      <w:r>
        <w:rPr>
          <w:b/>
          <w:sz w:val="45"/>
        </w:rPr>
        <w:t>投标人：</w:t>
      </w:r>
    </w:p>
    <w:p>
      <w:pPr>
        <w:spacing w:before="236"/>
        <w:ind w:left="0" w:right="507" w:firstLine="0"/>
        <w:jc w:val="center"/>
        <w:rPr>
          <w:b/>
          <w:sz w:val="42"/>
        </w:rPr>
      </w:pPr>
      <w:r>
        <w:rPr>
          <w:b/>
          <w:sz w:val="42"/>
        </w:rPr>
        <w:t>二零一四年六月九日</w:t>
      </w:r>
    </w:p>
    <w:p>
      <w:pPr>
        <w:spacing w:after="0"/>
        <w:jc w:val="center"/>
        <w:rPr>
          <w:sz w:val="42"/>
        </w:rPr>
        <w:sectPr>
          <w:headerReference w:type="default" r:id="rId4"/>
          <w:footerReference w:type="default" r:id="rId5"/>
          <w:type w:val="continuous"/>
          <w:pgSz w:w="17860" w:h="25260"/>
          <w:pgMar w:top="1260" w:right="0" w:bottom="2020" w:left="520" w:header="1083" w:footer="1831"/>
          <w:cols w:space="708"/>
        </w:sectPr>
      </w:pPr>
    </w:p>
    <w:p>
      <w:pPr>
        <w:pStyle w:val="BodyText"/>
        <w:spacing w:before="2"/>
        <w:rPr>
          <w:b/>
          <w:sz w:val="11"/>
        </w:rPr>
      </w:pPr>
    </w:p>
    <w:p>
      <w:pPr>
        <w:pStyle w:val="Heading1"/>
        <w:tabs>
          <w:tab w:val="left" w:pos="1079"/>
        </w:tabs>
        <w:ind w:right="518"/>
      </w:pPr>
      <w:r>
        <w:t>前</w:t>
        <w:tab/>
        <w:t>言</w:t>
      </w:r>
    </w:p>
    <w:p>
      <w:pPr>
        <w:pStyle w:val="BodyText"/>
        <w:spacing w:before="454" w:line="417" w:lineRule="auto"/>
        <w:ind w:left="1640" w:right="1750" w:firstLine="899"/>
      </w:pPr>
      <w:r>
        <w:rPr>
          <w:spacing w:val="-5"/>
        </w:rPr>
        <w:t>本工程施工组织计划是依据招标文件所提供的资料、技术规范要求、工期及有关说</w:t>
      </w:r>
      <w:r>
        <w:rPr>
          <w:spacing w:val="-13"/>
        </w:rPr>
        <w:t xml:space="preserve">明等编制而成。如我方中标，我们将在规定的时间内按照招标文件规定和工程施工要求， </w:t>
      </w:r>
      <w:r>
        <w:t>编制详细的施工组织设计和施工计划安排。</w:t>
      </w:r>
    </w:p>
    <w:p>
      <w:pPr>
        <w:spacing w:after="0" w:line="417" w:lineRule="auto"/>
        <w:sectPr>
          <w:headerReference w:type="default" r:id="rId6"/>
          <w:footerReference w:type="default" r:id="rId7"/>
          <w:pgSz w:w="17860" w:h="25260"/>
          <w:pgMar w:top="1380" w:right="0" w:bottom="2020" w:left="520" w:header="1083" w:footer="1831"/>
          <w:pgNumType w:start="2"/>
          <w:cols w:space="708"/>
        </w:sectPr>
      </w:pPr>
    </w:p>
    <w:p>
      <w:pPr>
        <w:tabs>
          <w:tab w:val="left" w:pos="1984"/>
        </w:tabs>
        <w:spacing w:before="0" w:line="979" w:lineRule="exact"/>
        <w:ind w:left="0" w:right="519" w:firstLine="0"/>
        <w:jc w:val="center"/>
        <w:rPr>
          <w:b/>
          <w:sz w:val="66"/>
        </w:rPr>
      </w:pPr>
      <w:r>
        <w:rPr>
          <w:b/>
          <w:sz w:val="66"/>
        </w:rPr>
        <w:t>目</w:t>
        <w:tab/>
        <w:t>录</w:t>
      </w:r>
    </w:p>
    <w:p>
      <w:pPr>
        <w:pStyle w:val="BodyText"/>
        <w:spacing w:before="4"/>
        <w:rPr>
          <w:b/>
          <w:sz w:val="69"/>
        </w:rPr>
      </w:pPr>
    </w:p>
    <w:sdt>
      <w:sdtPr>
        <w:id w:val="1508295191"/>
        <w:docPartObj>
          <w:docPartGallery w:val="Table of Contents"/>
          <w:docPartUnique/>
        </w:docPartObj>
      </w:sdtPr>
      <w:sdtContent>
        <w:p>
          <w:pPr>
            <w:pStyle w:val="TOC1"/>
            <w:tabs>
              <w:tab w:val="right" w:leader="dot" w:pos="14172"/>
            </w:tabs>
            <w:spacing w:before="0"/>
          </w:pPr>
          <w:hyperlink w:anchor="_TOC_250009" w:history="1">
            <w:r>
              <w:t>笫一章、工程概况…</w:t>
              <w:tab/>
              <w:t>3</w:t>
            </w:r>
          </w:hyperlink>
        </w:p>
        <w:p>
          <w:pPr>
            <w:pStyle w:val="TOC1"/>
            <w:tabs>
              <w:tab w:val="right" w:leader="dot" w:pos="14172"/>
            </w:tabs>
          </w:pPr>
          <w:r>
            <w:t>笫二章、总体施工组织布置及规划…</w:t>
            <w:tab/>
            <w:t>4</w:t>
          </w:r>
        </w:p>
        <w:p>
          <w:pPr>
            <w:pStyle w:val="TOC1"/>
            <w:tabs>
              <w:tab w:val="right" w:leader="dot" w:pos="14172"/>
            </w:tabs>
            <w:spacing w:before="397"/>
          </w:pPr>
          <w:r>
            <w:t>笫三章、主要工程项目的施工方案、方法与技术措施…</w:t>
            <w:tab/>
            <w:t>5</w:t>
          </w:r>
        </w:p>
        <w:p>
          <w:pPr>
            <w:pStyle w:val="TOC1"/>
            <w:tabs>
              <w:tab w:val="right" w:leader="dot" w:pos="14172"/>
            </w:tabs>
          </w:pPr>
          <w:hyperlink w:anchor="_TOC_250008" w:history="1">
            <w:r>
              <w:t>笫四章、工期保证体系及保证措施…</w:t>
              <w:tab/>
              <w:t>8</w:t>
            </w:r>
          </w:hyperlink>
        </w:p>
        <w:p>
          <w:pPr>
            <w:pStyle w:val="TOC1"/>
            <w:tabs>
              <w:tab w:val="right" w:leader="dot" w:pos="14371"/>
            </w:tabs>
          </w:pPr>
          <w:hyperlink w:anchor="_TOC_250007" w:history="1">
            <w:r>
              <w:t>笫五章、工程质量管理体系及保证措施…</w:t>
              <w:tab/>
              <w:t>11</w:t>
            </w:r>
          </w:hyperlink>
        </w:p>
        <w:p>
          <w:pPr>
            <w:pStyle w:val="TOC1"/>
            <w:tabs>
              <w:tab w:val="right" w:leader="dot" w:pos="14371"/>
            </w:tabs>
            <w:spacing w:before="399"/>
          </w:pPr>
          <w:hyperlink w:anchor="_TOC_250006" w:history="1">
            <w:r>
              <w:t>笫六章、安全生产管理体系及保证措施…</w:t>
              <w:tab/>
              <w:t>15</w:t>
            </w:r>
          </w:hyperlink>
        </w:p>
        <w:p>
          <w:pPr>
            <w:pStyle w:val="TOC1"/>
            <w:tabs>
              <w:tab w:val="right" w:leader="dot" w:pos="14371"/>
            </w:tabs>
          </w:pPr>
          <w:hyperlink w:anchor="_TOC_250005" w:history="1">
            <w:r>
              <w:t>笫七章、环境保护、水土保持保证体系及保证措施…</w:t>
              <w:tab/>
              <w:t>19</w:t>
            </w:r>
          </w:hyperlink>
        </w:p>
        <w:p>
          <w:pPr>
            <w:pStyle w:val="TOC1"/>
            <w:tabs>
              <w:tab w:val="right" w:leader="dot" w:pos="14371"/>
            </w:tabs>
            <w:spacing w:before="397"/>
          </w:pPr>
          <w:hyperlink w:anchor="_TOC_250004" w:history="1">
            <w:r>
              <w:t>笫八章、文明施工、文物保护保证体系及保证措施…</w:t>
              <w:tab/>
              <w:t>21</w:t>
            </w:r>
          </w:hyperlink>
        </w:p>
        <w:p>
          <w:pPr>
            <w:pStyle w:val="TOC1"/>
            <w:tabs>
              <w:tab w:val="right" w:leader="dot" w:pos="14371"/>
            </w:tabs>
          </w:pPr>
          <w:hyperlink w:anchor="_TOC_250003" w:history="1">
            <w:r>
              <w:t>笫九章、项目风险预测与防范，事故应急预案及演练…</w:t>
              <w:tab/>
              <w:t>23</w:t>
            </w:r>
          </w:hyperlink>
        </w:p>
        <w:p>
          <w:pPr>
            <w:pStyle w:val="TOC1"/>
            <w:tabs>
              <w:tab w:val="right" w:leader="dot" w:pos="14371"/>
            </w:tabs>
          </w:pPr>
          <w:hyperlink w:anchor="_TOC_250002" w:history="1">
            <w:r>
              <w:t>笫十章、其他应说明的事项…</w:t>
              <w:tab/>
              <w:t>25</w:t>
            </w:r>
          </w:hyperlink>
        </w:p>
        <w:p>
          <w:pPr>
            <w:pStyle w:val="TOC2"/>
            <w:tabs>
              <w:tab w:val="left" w:pos="4970"/>
              <w:tab w:val="right" w:leader="dot" w:pos="14371"/>
            </w:tabs>
          </w:pPr>
          <w:r>
            <w:t>附表一</w:t>
            <w:tab/>
            <w:t>施工总体计划表…</w:t>
            <w:tab/>
            <w:t>29</w:t>
          </w:r>
        </w:p>
        <w:p>
          <w:pPr>
            <w:pStyle w:val="TOC2"/>
            <w:tabs>
              <w:tab w:val="left" w:pos="4970"/>
              <w:tab w:val="right" w:leader="dot" w:pos="14377"/>
            </w:tabs>
          </w:pPr>
          <w:hyperlink w:anchor="_TOC_250001" w:history="1">
            <w:r>
              <w:t>附表二</w:t>
              <w:tab/>
              <w:t>分项工程进度率计划(斜率图)…</w:t>
              <w:tab/>
              <w:t>30</w:t>
            </w:r>
          </w:hyperlink>
        </w:p>
        <w:p>
          <w:pPr>
            <w:pStyle w:val="TOC2"/>
            <w:tabs>
              <w:tab w:val="left" w:pos="4970"/>
              <w:tab w:val="right" w:leader="dot" w:pos="14371"/>
            </w:tabs>
          </w:pPr>
          <w:hyperlink w:anchor="_TOC_250000" w:history="1">
            <w:r>
              <w:t>附表三</w:t>
              <w:tab/>
              <w:t>工程管理曲线…</w:t>
              <w:tab/>
              <w:t>31</w:t>
            </w:r>
          </w:hyperlink>
        </w:p>
        <w:p>
          <w:pPr>
            <w:pStyle w:val="TOC2"/>
            <w:tabs>
              <w:tab w:val="left" w:pos="4970"/>
              <w:tab w:val="right" w:leader="dot" w:pos="14371"/>
            </w:tabs>
          </w:pPr>
          <w:r>
            <w:t>附表四</w:t>
            <w:tab/>
            <w:t>分项工程生产率和施工周期表…</w:t>
            <w:tab/>
            <w:t>32</w:t>
          </w:r>
        </w:p>
        <w:p>
          <w:pPr>
            <w:pStyle w:val="TOC2"/>
            <w:tabs>
              <w:tab w:val="left" w:pos="4970"/>
              <w:tab w:val="right" w:leader="dot" w:pos="14371"/>
            </w:tabs>
            <w:spacing w:before="397"/>
          </w:pPr>
          <w:r>
            <w:t>附表五</w:t>
            <w:tab/>
            <w:t>施工总平面图…</w:t>
            <w:tab/>
            <w:t>33</w:t>
          </w:r>
        </w:p>
        <w:p>
          <w:pPr>
            <w:pStyle w:val="TOC2"/>
            <w:tabs>
              <w:tab w:val="left" w:pos="4970"/>
              <w:tab w:val="right" w:leader="dot" w:pos="14391"/>
            </w:tabs>
          </w:pPr>
          <w:r>
            <w:t>附表六</w:t>
            <w:tab/>
            <w:t>劳动力计划表</w:t>
            <w:tab/>
            <w:t>34</w:t>
          </w:r>
        </w:p>
        <w:p>
          <w:pPr>
            <w:pStyle w:val="TOC2"/>
            <w:tabs>
              <w:tab w:val="left" w:pos="4970"/>
              <w:tab w:val="right" w:leader="dot" w:pos="14371"/>
            </w:tabs>
            <w:spacing w:before="399"/>
          </w:pPr>
          <w:r>
            <w:t>附表七</w:t>
            <w:tab/>
            <w:t>临时占地计划表…</w:t>
            <w:tab/>
            <w:t>35</w:t>
          </w:r>
        </w:p>
        <w:p>
          <w:pPr>
            <w:pStyle w:val="TOC2"/>
            <w:tabs>
              <w:tab w:val="left" w:pos="4970"/>
              <w:tab w:val="right" w:leader="dot" w:pos="14371"/>
            </w:tabs>
          </w:pPr>
          <w:r>
            <w:t>附表八</w:t>
            <w:tab/>
            <w:t>外供电力需求计划表…</w:t>
            <w:tab/>
            <w:t>36</w:t>
          </w:r>
        </w:p>
        <w:p>
          <w:pPr>
            <w:pStyle w:val="TOC2"/>
            <w:tabs>
              <w:tab w:val="left" w:pos="4970"/>
              <w:tab w:val="right" w:leader="dot" w:pos="14371"/>
            </w:tabs>
          </w:pPr>
          <w:r>
            <w:t>附表九</w:t>
            <w:tab/>
            <w:t>合同用款估算表…</w:t>
            <w:tab/>
            <w:t>37</w:t>
          </w:r>
        </w:p>
        <w:p>
          <w:pPr>
            <w:pStyle w:val="TOC2"/>
            <w:tabs>
              <w:tab w:val="left" w:pos="4959"/>
              <w:tab w:val="right" w:leader="dot" w:pos="14360"/>
            </w:tabs>
            <w:spacing w:before="397"/>
            <w:ind w:left="3519"/>
          </w:pPr>
          <w:r>
            <w:t>附表十</w:t>
            <w:tab/>
            <w:t>项目管理机构…</w:t>
            <w:tab/>
            <w:t>38</w:t>
          </w:r>
        </w:p>
      </w:sdtContent>
    </w:sdt>
    <w:p>
      <w:pPr>
        <w:spacing w:after="0"/>
        <w:sectPr>
          <w:headerReference w:type="default" r:id="rId8"/>
          <w:footerReference w:type="default" r:id="rId9"/>
          <w:pgSz w:w="17860" w:h="25260"/>
          <w:pgMar w:top="1260" w:right="0" w:bottom="2020" w:left="520" w:header="1083" w:footer="1831"/>
          <w:pgNumType w:start="3"/>
          <w:cols w:space="708"/>
        </w:sectPr>
      </w:pPr>
    </w:p>
    <w:p>
      <w:pPr>
        <w:pStyle w:val="BodyText"/>
        <w:spacing w:before="5"/>
        <w:rPr>
          <w:sz w:val="13"/>
        </w:rPr>
      </w:pPr>
    </w:p>
    <w:p>
      <w:pPr>
        <w:spacing w:after="0"/>
        <w:rPr>
          <w:sz w:val="13"/>
        </w:rPr>
        <w:sectPr>
          <w:headerReference w:type="default" r:id="rId10"/>
          <w:footerReference w:type="default" r:id="rId11"/>
          <w:pgSz w:w="17860" w:h="25260"/>
          <w:pgMar w:top="1380" w:right="0" w:bottom="2020" w:left="520" w:header="1083" w:footer="1831"/>
          <w:pgNumType w:start="4"/>
          <w:cols w:space="708"/>
        </w:sectPr>
      </w:pPr>
    </w:p>
    <w:p>
      <w:pPr>
        <w:pStyle w:val="Heading1"/>
        <w:spacing w:before="261"/>
        <w:ind w:right="518"/>
      </w:pPr>
      <w:bookmarkStart w:id="0" w:name="_TOC_250009"/>
      <w:bookmarkEnd w:id="0"/>
      <w:r>
        <w:t>笫一章、工程概况</w:t>
      </w:r>
    </w:p>
    <w:p>
      <w:pPr>
        <w:spacing w:before="220"/>
        <w:ind w:left="1640" w:right="0" w:firstLine="0"/>
        <w:jc w:val="left"/>
        <w:rPr>
          <w:b/>
          <w:sz w:val="42"/>
        </w:rPr>
      </w:pPr>
      <w:r>
        <w:rPr>
          <w:sz w:val="42"/>
        </w:rPr>
        <w:t>一、</w:t>
      </w:r>
      <w:r>
        <w:rPr>
          <w:b/>
          <w:sz w:val="42"/>
        </w:rPr>
        <w:t>工程介绍</w:t>
      </w:r>
    </w:p>
    <w:p>
      <w:pPr>
        <w:pStyle w:val="BodyText"/>
        <w:spacing w:before="100"/>
        <w:ind w:left="2180"/>
      </w:pPr>
      <w:r>
        <w:rPr>
          <w:spacing w:val="-1"/>
        </w:rPr>
        <w:t>1、工程名称：</w:t>
      </w:r>
    </w:p>
    <w:p>
      <w:pPr>
        <w:pStyle w:val="BodyText"/>
        <w:spacing w:before="63"/>
        <w:ind w:left="2180"/>
      </w:pPr>
      <w:r>
        <w:rPr>
          <w:spacing w:val="-1"/>
        </w:rPr>
        <w:t>2、工程地点：</w:t>
      </w:r>
    </w:p>
    <w:p>
      <w:pPr>
        <w:pStyle w:val="BodyText"/>
        <w:spacing w:before="63"/>
        <w:ind w:left="2180"/>
      </w:pPr>
      <w:r>
        <w:t>3、工程招标单位：</w:t>
      </w:r>
    </w:p>
    <w:p>
      <w:pPr>
        <w:pStyle w:val="BodyText"/>
        <w:spacing w:before="59"/>
        <w:ind w:left="2180"/>
      </w:pPr>
      <w:r>
        <w:t>4、质量要求：标段工程交工验收的质量评定：合格；竣工验收的质量评定：优良。</w:t>
      </w:r>
    </w:p>
    <w:p>
      <w:pPr>
        <w:pStyle w:val="BodyText"/>
        <w:spacing w:before="63" w:line="528" w:lineRule="exact"/>
        <w:ind w:left="2180"/>
      </w:pPr>
      <w:r>
        <w:t>5、工期要求：按招标文件要求，274 日历天。</w:t>
      </w:r>
    </w:p>
    <w:p>
      <w:pPr>
        <w:pStyle w:val="Heading2"/>
        <w:tabs>
          <w:tab w:val="left" w:pos="2691"/>
        </w:tabs>
        <w:spacing w:line="618" w:lineRule="exact"/>
        <w:ind w:left="1640"/>
      </w:pPr>
      <w:r>
        <w:t>二、</w:t>
        <w:tab/>
        <w:t>建设规模及绿化工程概况</w:t>
      </w:r>
    </w:p>
    <w:p>
      <w:pPr>
        <w:pStyle w:val="BodyText"/>
        <w:spacing w:before="162" w:line="295" w:lineRule="auto"/>
        <w:ind w:left="1640" w:right="1755" w:firstLine="720"/>
      </w:pPr>
      <w:r>
        <w:t>1</w:t>
      </w:r>
      <w:r>
        <w:rPr>
          <w:spacing w:val="-58"/>
        </w:rPr>
        <w:t>、</w:t>
      </w:r>
      <w:r>
        <w:rPr>
          <w:color w:val="FF0000"/>
          <w:spacing w:val="-6"/>
        </w:rPr>
        <w:t>本标段绿化工程位于，本次改扩建采用在原有路基基础上两侧加宽成标准八车道</w:t>
      </w:r>
      <w:r>
        <w:rPr>
          <w:color w:val="FF0000"/>
          <w:spacing w:val="-7"/>
        </w:rPr>
        <w:t xml:space="preserve">的形式，设计速度采用 </w:t>
      </w:r>
      <w:r>
        <w:rPr>
          <w:color w:val="FF0000"/>
        </w:rPr>
        <w:t>120</w:t>
      </w:r>
      <w:r>
        <w:rPr>
          <w:color w:val="FF0000"/>
          <w:spacing w:val="-2"/>
        </w:rPr>
        <w:t xml:space="preserve"> 公里</w:t>
      </w:r>
      <w:r>
        <w:rPr>
          <w:color w:val="FF0000"/>
        </w:rPr>
        <w:t>/</w:t>
      </w:r>
      <w:r>
        <w:rPr>
          <w:color w:val="FF0000"/>
          <w:spacing w:val="-1"/>
        </w:rPr>
        <w:t xml:space="preserve">小时，原路基宽 </w:t>
      </w:r>
      <w:r>
        <w:rPr>
          <w:color w:val="FF0000"/>
        </w:rPr>
        <w:t>26</w:t>
      </w:r>
      <w:r>
        <w:rPr>
          <w:color w:val="FF0000"/>
          <w:spacing w:val="-3"/>
        </w:rPr>
        <w:t xml:space="preserve"> 米，改扩建后整体式路基宽 </w:t>
      </w:r>
      <w:r>
        <w:rPr>
          <w:color w:val="FF0000"/>
        </w:rPr>
        <w:t>42</w:t>
      </w:r>
      <w:r>
        <w:rPr>
          <w:color w:val="FF0000"/>
          <w:spacing w:val="-6"/>
        </w:rPr>
        <w:t xml:space="preserve"> 米， </w:t>
      </w:r>
      <w:r>
        <w:rPr>
          <w:color w:val="FF0000"/>
        </w:rPr>
        <w:t>全长 118.586</w:t>
      </w:r>
      <w:r>
        <w:rPr>
          <w:color w:val="FF0000"/>
          <w:spacing w:val="-2"/>
        </w:rPr>
        <w:t xml:space="preserve"> 公里。</w:t>
      </w:r>
    </w:p>
    <w:p>
      <w:pPr>
        <w:pStyle w:val="BodyText"/>
        <w:spacing w:line="295" w:lineRule="auto"/>
        <w:ind w:left="1640" w:right="2016" w:firstLine="720"/>
        <w:jc w:val="both"/>
      </w:pPr>
      <w:r>
        <w:rPr>
          <w:color w:val="FF0000"/>
        </w:rPr>
        <w:t>本标段绿化工程包括：标段内主线路肩两侧和护坡道的部分绿化、以及互通区取土场、临时匝道、收费广场周边、张庄互通区中央分隔带和服务区恢复性绿化施工及缺陷责任期的绿化工程养护及缺陷责任期内的修复。</w:t>
      </w:r>
    </w:p>
    <w:p>
      <w:pPr>
        <w:spacing w:after="0" w:line="295" w:lineRule="auto"/>
        <w:jc w:val="both"/>
        <w:sectPr>
          <w:headerReference w:type="default" r:id="rId12"/>
          <w:footerReference w:type="default" r:id="rId13"/>
          <w:pgSz w:w="17860" w:h="25260"/>
          <w:pgMar w:top="1380" w:right="0" w:bottom="2020" w:left="520" w:header="1083" w:footer="1831"/>
          <w:pgNumType w:start="5"/>
          <w:cols w:space="708"/>
        </w:sectPr>
      </w:pPr>
    </w:p>
    <w:p>
      <w:pPr>
        <w:pStyle w:val="BodyText"/>
        <w:spacing w:before="2"/>
        <w:rPr>
          <w:sz w:val="11"/>
        </w:rPr>
      </w:pPr>
    </w:p>
    <w:p>
      <w:pPr>
        <w:pStyle w:val="Heading1"/>
      </w:pPr>
      <w:r>
        <w:t>笫二章、施工组织布置及规划</w:t>
      </w:r>
    </w:p>
    <w:p>
      <w:pPr>
        <w:pStyle w:val="BodyText"/>
        <w:spacing w:before="6"/>
        <w:rPr>
          <w:b/>
          <w:sz w:val="80"/>
        </w:rPr>
      </w:pPr>
    </w:p>
    <w:p>
      <w:pPr>
        <w:pStyle w:val="Heading2"/>
        <w:spacing w:before="1"/>
        <w:ind w:left="1640"/>
      </w:pPr>
      <w:r>
        <w:pict>
          <v:group id="_x0000_s1025" style="width:660.05pt;height:302pt;margin-top:36.15pt;margin-left:105pt;mso-position-horizontal-relative:page;mso-wrap-distance-left:0;mso-wrap-distance-right:0;position:absolute;z-index:-251658240" coordorigin="2100,723" coordsize="13201,6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140;height:6040;left:2100;position:absolute;top:722" stroked="f">
              <v:imagedata r:id="rId14" o:title=""/>
            </v:shape>
            <v:shapetype id="_x0000_t202" coordsize="21600,21600" o:spt="202" path="m,l,21600r21600,l21600,xe">
              <v:stroke joinstyle="miter"/>
              <v:path gradientshapeok="t" o:connecttype="rect"/>
            </v:shapetype>
            <v:shape id="_x0000_s1027" type="#_x0000_t202" style="width:13201;height:6040;left:2100;position:absolute;top:722" filled="f" stroked="f">
              <v:textbox inset="0,0,0,0">
                <w:txbxContent>
                  <w:p>
                    <w:pPr>
                      <w:spacing w:before="139" w:line="333" w:lineRule="auto"/>
                      <w:ind w:left="600" w:right="0" w:firstLine="359"/>
                      <w:jc w:val="left"/>
                      <w:rPr>
                        <w:sz w:val="36"/>
                      </w:rPr>
                    </w:pPr>
                    <w:r>
                      <w:rPr>
                        <w:spacing w:val="-9"/>
                        <w:sz w:val="36"/>
                      </w:rPr>
                      <w:t>为保证本工程在施工中有组织、有部署，自始自终的有条不紊进行，我公司将</w:t>
                    </w:r>
                    <w:r>
                      <w:rPr>
                        <w:spacing w:val="-15"/>
                        <w:sz w:val="36"/>
                      </w:rPr>
                      <w:t>成立项目部，将由公司领导直接督阵，委任本公司项目经理，项目总工全面监督</w:t>
                    </w:r>
                    <w:r>
                      <w:rPr>
                        <w:spacing w:val="-16"/>
                        <w:sz w:val="36"/>
                      </w:rPr>
                      <w:t>工程质量；协调整个工地的质量、进度，负责工地各环节的质量、规范、进度、</w:t>
                    </w:r>
                    <w:r>
                      <w:rPr>
                        <w:spacing w:val="-12"/>
                        <w:sz w:val="36"/>
                      </w:rPr>
                      <w:t>安全等，调集经验丰富的施工员、熟练技工长期驻扎工地现场。派驻专门负责管</w:t>
                    </w:r>
                    <w:r>
                      <w:rPr>
                        <w:spacing w:val="-13"/>
                        <w:sz w:val="36"/>
                      </w:rPr>
                      <w:t>理的人员，对本工程的施工技术、施工质量、进度控制、材料采购、安全生产与</w:t>
                    </w:r>
                    <w:r>
                      <w:rPr>
                        <w:spacing w:val="-10"/>
                        <w:sz w:val="36"/>
                      </w:rPr>
                      <w:t>文明施工等进行总体管理，公司领导及技术负责进行指挥，协助项目部在施工过程中的协调工作。</w:t>
                    </w:r>
                  </w:p>
                  <w:p>
                    <w:pPr>
                      <w:spacing w:before="0" w:line="514" w:lineRule="exact"/>
                      <w:ind w:left="60" w:right="0" w:firstLine="0"/>
                      <w:jc w:val="left"/>
                      <w:rPr>
                        <w:b/>
                        <w:sz w:val="42"/>
                      </w:rPr>
                    </w:pPr>
                    <w:r>
                      <w:rPr>
                        <w:b/>
                        <w:sz w:val="42"/>
                      </w:rPr>
                      <w:t>二、施工组织布置规划（附图示意）</w:t>
                    </w:r>
                  </w:p>
                </w:txbxContent>
              </v:textbox>
            </v:shape>
            <w10:wrap type="topAndBottom"/>
          </v:group>
        </w:pict>
      </w:r>
      <w:r>
        <w:t>一、施工组织布置原则</w:t>
      </w:r>
    </w:p>
    <w:p>
      <w:pPr>
        <w:pStyle w:val="BodyText"/>
        <w:rPr>
          <w:b/>
          <w:sz w:val="20"/>
        </w:rPr>
      </w:pPr>
    </w:p>
    <w:p>
      <w:pPr>
        <w:pStyle w:val="BodyText"/>
        <w:rPr>
          <w:b/>
          <w:sz w:val="20"/>
        </w:rPr>
      </w:pPr>
    </w:p>
    <w:p>
      <w:pPr>
        <w:pStyle w:val="BodyText"/>
        <w:spacing w:before="4"/>
        <w:rPr>
          <w:b/>
          <w:sz w:val="14"/>
        </w:rPr>
      </w:pPr>
      <w:r>
        <w:pict>
          <v:group id="_x0000_s1028" style="width:798pt;height:555pt;margin-top:12.65pt;margin-left:67pt;mso-position-horizontal-relative:page;mso-wrap-distance-left:0;mso-wrap-distance-right:0;position:absolute;z-index:-251657216" coordorigin="1340,253" coordsize="15960,11100">
            <v:shape id="_x0000_s1029" type="#_x0000_t75" style="width:15960;height:11100;left:1340;position:absolute;top:253" stroked="f">
              <v:imagedata r:id="rId15" o:title=""/>
            </v:shape>
            <v:shape id="_x0000_s1030" type="#_x0000_t202" style="width:1705;height:422;left:8256;position:absolute;top:57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项目经理</w:t>
                    </w:r>
                  </w:p>
                </w:txbxContent>
              </v:textbox>
            </v:shape>
            <v:shape id="_x0000_s1031" type="#_x0000_t202" style="width:1705;height:422;left:8483;position:absolute;top:2001"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项目总工</w:t>
                    </w:r>
                  </w:p>
                </w:txbxContent>
              </v:textbox>
            </v:shape>
            <v:shape id="_x0000_s1032" type="#_x0000_t202" style="width:2126;height:1358;left:2189;position:absolute;top:4107"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sz w:val="42"/>
                      </w:rPr>
                      <w:t>技术管理组</w:t>
                    </w:r>
                  </w:p>
                  <w:p>
                    <w:pPr>
                      <w:spacing w:before="0" w:line="240" w:lineRule="auto"/>
                      <w:rPr>
                        <w:rFonts w:ascii="宋体"/>
                        <w:sz w:val="31"/>
                      </w:rPr>
                    </w:pPr>
                  </w:p>
                  <w:p>
                    <w:pPr>
                      <w:spacing w:before="0" w:line="479" w:lineRule="exact"/>
                      <w:ind w:left="0" w:right="0" w:firstLine="0"/>
                      <w:jc w:val="left"/>
                      <w:rPr>
                        <w:rFonts w:ascii="宋体" w:eastAsia="宋体" w:hint="eastAsia"/>
                        <w:sz w:val="42"/>
                      </w:rPr>
                    </w:pPr>
                    <w:r>
                      <w:rPr>
                        <w:rFonts w:ascii="宋体" w:eastAsia="宋体" w:hint="eastAsia"/>
                        <w:sz w:val="42"/>
                      </w:rPr>
                      <w:t>（施工员）</w:t>
                    </w:r>
                  </w:p>
                </w:txbxContent>
              </v:textbox>
            </v:shape>
            <v:shape id="_x0000_s1033" type="#_x0000_t202" style="width:2126;height:1502;left:5159;position:absolute;top:3920" filled="f" stroked="f">
              <v:textbox inset="0,0,0,0">
                <w:txbxContent>
                  <w:p>
                    <w:pPr>
                      <w:spacing w:before="0" w:line="480" w:lineRule="exact"/>
                      <w:ind w:left="0" w:right="19" w:firstLine="0"/>
                      <w:jc w:val="center"/>
                      <w:rPr>
                        <w:rFonts w:ascii="宋体" w:eastAsia="宋体" w:hint="eastAsia"/>
                        <w:sz w:val="42"/>
                      </w:rPr>
                    </w:pPr>
                    <w:r>
                      <w:rPr>
                        <w:rFonts w:ascii="宋体" w:eastAsia="宋体" w:hint="eastAsia"/>
                        <w:sz w:val="42"/>
                      </w:rPr>
                      <w:t>质量</w:t>
                    </w:r>
                  </w:p>
                  <w:p>
                    <w:pPr>
                      <w:spacing w:before="2"/>
                      <w:ind w:left="0" w:right="18" w:firstLine="0"/>
                      <w:jc w:val="center"/>
                      <w:rPr>
                        <w:rFonts w:ascii="宋体" w:eastAsia="宋体" w:hint="eastAsia"/>
                        <w:sz w:val="42"/>
                      </w:rPr>
                    </w:pPr>
                    <w:r>
                      <w:rPr>
                        <w:rFonts w:ascii="宋体" w:eastAsia="宋体" w:hint="eastAsia"/>
                        <w:sz w:val="42"/>
                      </w:rPr>
                      <w:t>管理组</w:t>
                    </w:r>
                  </w:p>
                  <w:p>
                    <w:pPr>
                      <w:spacing w:before="1" w:line="479" w:lineRule="exact"/>
                      <w:ind w:left="0" w:right="18" w:firstLine="0"/>
                      <w:jc w:val="center"/>
                      <w:rPr>
                        <w:rFonts w:ascii="宋体" w:eastAsia="宋体" w:hint="eastAsia"/>
                        <w:sz w:val="42"/>
                      </w:rPr>
                    </w:pPr>
                    <w:r>
                      <w:rPr>
                        <w:rFonts w:ascii="宋体" w:eastAsia="宋体" w:hint="eastAsia"/>
                        <w:sz w:val="42"/>
                      </w:rPr>
                      <w:t>（质检员）</w:t>
                    </w:r>
                  </w:p>
                </w:txbxContent>
              </v:textbox>
            </v:shape>
            <v:shape id="_x0000_s1034" type="#_x0000_t202" style="width:2126;height:1502;left:8130;position:absolute;top:3920" filled="f" stroked="f">
              <v:textbox inset="0,0,0,0">
                <w:txbxContent>
                  <w:p>
                    <w:pPr>
                      <w:spacing w:before="0" w:line="480" w:lineRule="exact"/>
                      <w:ind w:left="0" w:right="21" w:firstLine="0"/>
                      <w:jc w:val="center"/>
                      <w:rPr>
                        <w:rFonts w:ascii="宋体" w:eastAsia="宋体" w:hint="eastAsia"/>
                        <w:sz w:val="42"/>
                      </w:rPr>
                    </w:pPr>
                    <w:r>
                      <w:rPr>
                        <w:rFonts w:ascii="宋体" w:eastAsia="宋体" w:hint="eastAsia"/>
                        <w:sz w:val="42"/>
                      </w:rPr>
                      <w:t>材料</w:t>
                    </w:r>
                  </w:p>
                  <w:p>
                    <w:pPr>
                      <w:spacing w:before="2"/>
                      <w:ind w:left="0" w:right="18" w:firstLine="0"/>
                      <w:jc w:val="center"/>
                      <w:rPr>
                        <w:rFonts w:ascii="宋体" w:eastAsia="宋体" w:hint="eastAsia"/>
                        <w:sz w:val="42"/>
                      </w:rPr>
                    </w:pPr>
                    <w:r>
                      <w:rPr>
                        <w:rFonts w:ascii="宋体" w:eastAsia="宋体" w:hint="eastAsia"/>
                        <w:sz w:val="42"/>
                      </w:rPr>
                      <w:t>管理组</w:t>
                    </w:r>
                  </w:p>
                  <w:p>
                    <w:pPr>
                      <w:spacing w:before="1" w:line="479" w:lineRule="exact"/>
                      <w:ind w:left="0" w:right="18" w:firstLine="0"/>
                      <w:jc w:val="center"/>
                      <w:rPr>
                        <w:rFonts w:ascii="宋体" w:eastAsia="宋体" w:hint="eastAsia"/>
                        <w:sz w:val="42"/>
                      </w:rPr>
                    </w:pPr>
                    <w:r>
                      <w:rPr>
                        <w:rFonts w:ascii="宋体" w:eastAsia="宋体" w:hint="eastAsia"/>
                        <w:sz w:val="42"/>
                      </w:rPr>
                      <w:t>（材料员）</w:t>
                    </w:r>
                  </w:p>
                </w:txbxContent>
              </v:textbox>
            </v:shape>
            <v:shape id="_x0000_s1035" type="#_x0000_t202" style="width:2126;height:1502;left:11028;position:absolute;top:3920" filled="f" stroked="f">
              <v:textbox inset="0,0,0,0">
                <w:txbxContent>
                  <w:p>
                    <w:pPr>
                      <w:spacing w:before="0" w:line="480" w:lineRule="exact"/>
                      <w:ind w:left="263" w:right="143" w:firstLine="0"/>
                      <w:jc w:val="center"/>
                      <w:rPr>
                        <w:rFonts w:ascii="宋体" w:eastAsia="宋体" w:hint="eastAsia"/>
                        <w:sz w:val="42"/>
                      </w:rPr>
                    </w:pPr>
                    <w:r>
                      <w:rPr>
                        <w:rFonts w:ascii="宋体" w:eastAsia="宋体" w:hint="eastAsia"/>
                        <w:sz w:val="42"/>
                      </w:rPr>
                      <w:t>安全文明</w:t>
                    </w:r>
                  </w:p>
                  <w:p>
                    <w:pPr>
                      <w:spacing w:before="2"/>
                      <w:ind w:left="263" w:right="140" w:firstLine="0"/>
                      <w:jc w:val="center"/>
                      <w:rPr>
                        <w:rFonts w:ascii="宋体" w:eastAsia="宋体" w:hint="eastAsia"/>
                        <w:sz w:val="42"/>
                      </w:rPr>
                    </w:pPr>
                    <w:r>
                      <w:rPr>
                        <w:rFonts w:ascii="宋体" w:eastAsia="宋体" w:hint="eastAsia"/>
                        <w:sz w:val="42"/>
                      </w:rPr>
                      <w:t>管理组</w:t>
                    </w:r>
                  </w:p>
                  <w:p>
                    <w:pPr>
                      <w:spacing w:before="1" w:line="479" w:lineRule="exact"/>
                      <w:ind w:left="0" w:right="18" w:firstLine="0"/>
                      <w:jc w:val="center"/>
                      <w:rPr>
                        <w:rFonts w:ascii="宋体" w:eastAsia="宋体" w:hint="eastAsia"/>
                        <w:sz w:val="42"/>
                      </w:rPr>
                    </w:pPr>
                    <w:r>
                      <w:rPr>
                        <w:rFonts w:ascii="宋体" w:eastAsia="宋体" w:hint="eastAsia"/>
                        <w:sz w:val="42"/>
                      </w:rPr>
                      <w:t>（安全员）</w:t>
                    </w:r>
                  </w:p>
                </w:txbxContent>
              </v:textbox>
            </v:shape>
            <v:shape id="_x0000_s1036" type="#_x0000_t202" style="width:2126;height:1502;left:14071;position:absolute;top:3920" filled="f" stroked="f">
              <v:textbox inset="0,0,0,0">
                <w:txbxContent>
                  <w:p>
                    <w:pPr>
                      <w:spacing w:before="0" w:line="480" w:lineRule="exact"/>
                      <w:ind w:left="0" w:right="21" w:firstLine="0"/>
                      <w:jc w:val="center"/>
                      <w:rPr>
                        <w:rFonts w:ascii="宋体" w:eastAsia="宋体" w:hint="eastAsia"/>
                        <w:sz w:val="42"/>
                      </w:rPr>
                    </w:pPr>
                    <w:r>
                      <w:rPr>
                        <w:rFonts w:ascii="宋体" w:eastAsia="宋体" w:hint="eastAsia"/>
                        <w:sz w:val="42"/>
                      </w:rPr>
                      <w:t>财务核算</w:t>
                    </w:r>
                  </w:p>
                  <w:p>
                    <w:pPr>
                      <w:spacing w:before="2"/>
                      <w:ind w:left="0" w:right="18" w:firstLine="0"/>
                      <w:jc w:val="center"/>
                      <w:rPr>
                        <w:rFonts w:ascii="宋体" w:eastAsia="宋体" w:hint="eastAsia"/>
                        <w:sz w:val="42"/>
                      </w:rPr>
                    </w:pPr>
                    <w:r>
                      <w:rPr>
                        <w:rFonts w:ascii="宋体" w:eastAsia="宋体" w:hint="eastAsia"/>
                        <w:sz w:val="42"/>
                      </w:rPr>
                      <w:t>管理组</w:t>
                    </w:r>
                  </w:p>
                  <w:p>
                    <w:pPr>
                      <w:spacing w:before="1" w:line="479" w:lineRule="exact"/>
                      <w:ind w:left="0" w:right="18" w:firstLine="0"/>
                      <w:jc w:val="center"/>
                      <w:rPr>
                        <w:rFonts w:ascii="宋体" w:eastAsia="宋体" w:hint="eastAsia"/>
                        <w:sz w:val="42"/>
                      </w:rPr>
                    </w:pPr>
                    <w:r>
                      <w:rPr>
                        <w:rFonts w:ascii="宋体" w:eastAsia="宋体" w:hint="eastAsia"/>
                        <w:sz w:val="42"/>
                      </w:rPr>
                      <w:t>（预算员）</w:t>
                    </w:r>
                  </w:p>
                </w:txbxContent>
              </v:textbox>
            </v:shape>
            <v:shape id="_x0000_s1037" type="#_x0000_t202" style="width:1705;height:422;left:3478;position:absolute;top:738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施工一队</w:t>
                    </w:r>
                  </w:p>
                </w:txbxContent>
              </v:textbox>
            </v:shape>
            <v:shape id="_x0000_s1038" type="#_x0000_t202" style="width:1705;height:422;left:12659;position:absolute;top:738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施工二队</w:t>
                    </w:r>
                  </w:p>
                </w:txbxContent>
              </v:textbox>
            </v:shape>
            <v:shape id="_x0000_s1039" type="#_x0000_t202" style="width:1284;height:422;left:1934;position:absolute;top:995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土方组</w:t>
                    </w:r>
                  </w:p>
                </w:txbxContent>
              </v:textbox>
            </v:shape>
            <v:shape id="_x0000_s1040" type="#_x0000_t202" style="width:1284;height:422;left:4770;position:absolute;top:995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铺装组</w:t>
                    </w:r>
                  </w:p>
                </w:txbxContent>
              </v:textbox>
            </v:shape>
            <v:shape id="_x0000_s1041" type="#_x0000_t202" style="width:1284;height:422;left:7471;position:absolute;top:995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小品组</w:t>
                    </w:r>
                  </w:p>
                </w:txbxContent>
              </v:textbox>
            </v:shape>
            <v:shape id="_x0000_s1042" type="#_x0000_t202" style="width:1284;height:422;left:10172;position:absolute;top:995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电工组</w:t>
                    </w:r>
                  </w:p>
                </w:txbxContent>
              </v:textbox>
            </v:shape>
            <v:shape id="_x0000_s1043" type="#_x0000_t202" style="width:1284;height:422;left:12872;position:absolute;top:995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机械组</w:t>
                    </w:r>
                  </w:p>
                </w:txbxContent>
              </v:textbox>
            </v:shape>
            <v:shape id="_x0000_s1044" type="#_x0000_t202" style="width:1284;height:422;left:15573;position:absolute;top:995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绿化组</w:t>
                    </w:r>
                  </w:p>
                </w:txbxContent>
              </v:textbox>
            </v:shape>
            <w10:wrap type="topAndBottom"/>
          </v:group>
        </w:pict>
      </w:r>
    </w:p>
    <w:p>
      <w:pPr>
        <w:spacing w:after="0"/>
        <w:rPr>
          <w:sz w:val="14"/>
        </w:rPr>
        <w:sectPr>
          <w:headerReference w:type="default" r:id="rId16"/>
          <w:footerReference w:type="default" r:id="rId17"/>
          <w:pgSz w:w="17860" w:h="25260"/>
          <w:pgMar w:top="1380" w:right="0" w:bottom="2020" w:left="520" w:header="1083" w:footer="1831"/>
          <w:pgNumType w:start="6"/>
          <w:cols w:space="708"/>
        </w:sectPr>
      </w:pPr>
    </w:p>
    <w:p>
      <w:pPr>
        <w:pStyle w:val="BodyText"/>
        <w:rPr>
          <w:b/>
          <w:sz w:val="29"/>
        </w:rPr>
      </w:pPr>
    </w:p>
    <w:p>
      <w:pPr>
        <w:spacing w:before="98"/>
        <w:ind w:left="2191" w:right="0" w:firstLine="0"/>
        <w:jc w:val="left"/>
        <w:rPr>
          <w:b/>
          <w:sz w:val="29"/>
        </w:rPr>
      </w:pPr>
      <w:r>
        <w:rPr>
          <w:b/>
          <w:sz w:val="29"/>
        </w:rPr>
        <w:t>笫三章、主要工程项目的施工方案、方法与技术措施</w:t>
      </w:r>
    </w:p>
    <w:p>
      <w:pPr>
        <w:spacing w:before="345"/>
        <w:ind w:left="2231" w:right="0" w:firstLine="0"/>
        <w:jc w:val="left"/>
        <w:rPr>
          <w:sz w:val="48"/>
        </w:rPr>
      </w:pPr>
      <w:r>
        <w:rPr>
          <w:sz w:val="48"/>
        </w:rPr>
        <w:t>(尤其对重点、关键和难点工程的施工方案、方法及其措施)</w:t>
      </w:r>
    </w:p>
    <w:p>
      <w:pPr>
        <w:pStyle w:val="BodyText"/>
        <w:spacing w:before="13"/>
        <w:rPr>
          <w:sz w:val="79"/>
        </w:rPr>
      </w:pPr>
    </w:p>
    <w:p>
      <w:pPr>
        <w:pStyle w:val="BodyText"/>
        <w:spacing w:before="1" w:line="333" w:lineRule="auto"/>
        <w:ind w:left="2180" w:right="2700" w:firstLine="719"/>
        <w:jc w:val="both"/>
      </w:pPr>
      <w:r>
        <w:rPr>
          <w:spacing w:val="-12"/>
        </w:rPr>
        <w:t>主要针对工程重点、关键和难点分析中列出的细节，从技术和组织方面明确</w:t>
      </w:r>
      <w:r>
        <w:rPr>
          <w:spacing w:val="-14"/>
        </w:rPr>
        <w:t>其施工方法，具体操作程序、要点和要求等在实施工作中编写相应的工艺标准作</w:t>
      </w:r>
      <w:r>
        <w:t>为指导依据。</w:t>
      </w:r>
    </w:p>
    <w:p>
      <w:pPr>
        <w:pStyle w:val="Heading2"/>
        <w:spacing w:line="503" w:lineRule="exact"/>
      </w:pPr>
      <w:r>
        <w:t>一、本工程关键和难点工程的施工方案、方法及其措施</w:t>
      </w:r>
    </w:p>
    <w:p>
      <w:pPr>
        <w:pStyle w:val="BodyText"/>
        <w:tabs>
          <w:tab w:val="left" w:pos="11027"/>
        </w:tabs>
        <w:spacing w:before="255" w:line="333" w:lineRule="auto"/>
        <w:ind w:left="2180" w:right="2556" w:firstLine="539"/>
      </w:pPr>
      <w:r>
        <w:t>苗木定植前，先浇好底墒水，待水渗后栽植，培土踏实，大树采用三角架固定。苗木定植后，按照设计要求，对苗木进行定干和适当修剪，使同类苗木整</w:t>
      </w:r>
      <w:r>
        <w:rPr>
          <w:spacing w:val="-17"/>
        </w:rPr>
        <w:t>齐</w:t>
      </w:r>
      <w:r>
        <w:t>一致。加强养护管理，及时追肥、浇水、松土、锄草、</w:t>
        <w:tab/>
        <w:t>防治病虫害确保绿化效果。</w:t>
      </w:r>
    </w:p>
    <w:p>
      <w:pPr>
        <w:pStyle w:val="BodyText"/>
        <w:spacing w:before="6" w:line="333" w:lineRule="auto"/>
        <w:ind w:left="2180" w:right="2702" w:firstLine="539"/>
      </w:pPr>
      <w:r>
        <w:rPr>
          <w:spacing w:val="-6"/>
        </w:rPr>
        <w:t>边坡绿化涉及到高速公路的维护</w:t>
      </w:r>
      <w:r>
        <w:t>（边坡</w:t>
      </w:r>
      <w:r>
        <w:rPr>
          <w:spacing w:val="-180"/>
        </w:rPr>
        <w:t>）</w:t>
      </w:r>
      <w:r>
        <w:rPr>
          <w:spacing w:val="-10"/>
        </w:rPr>
        <w:t>、行道树及花灌木涉及到整条路的美</w:t>
      </w:r>
      <w:r>
        <w:t>化都是非常重要的，总结起来要注意以下几点：</w:t>
      </w:r>
    </w:p>
    <w:p>
      <w:pPr>
        <w:pStyle w:val="ListParagraph"/>
        <w:numPr>
          <w:ilvl w:val="0"/>
          <w:numId w:val="13"/>
        </w:numPr>
        <w:tabs>
          <w:tab w:val="left" w:pos="3021"/>
        </w:tabs>
        <w:spacing w:before="5" w:after="0" w:line="333" w:lineRule="auto"/>
        <w:ind w:left="2180" w:right="2671" w:firstLine="539"/>
        <w:jc w:val="left"/>
        <w:rPr>
          <w:sz w:val="36"/>
        </w:rPr>
      </w:pPr>
      <w:r>
        <w:rPr>
          <w:sz w:val="36"/>
        </w:rPr>
        <w:t>注意特殊的气候条件（如台风、洪水等恶劣天气</w:t>
      </w:r>
      <w:r>
        <w:rPr>
          <w:spacing w:val="-234"/>
          <w:sz w:val="36"/>
        </w:rPr>
        <w:t>）</w:t>
      </w:r>
      <w:r>
        <w:rPr>
          <w:spacing w:val="-2"/>
          <w:sz w:val="36"/>
        </w:rPr>
        <w:t>，充分利用各种苗木栽植</w:t>
      </w:r>
      <w:r>
        <w:rPr>
          <w:sz w:val="36"/>
        </w:rPr>
        <w:t>的适宜时间；</w:t>
      </w:r>
    </w:p>
    <w:p>
      <w:pPr>
        <w:pStyle w:val="ListParagraph"/>
        <w:numPr>
          <w:ilvl w:val="0"/>
          <w:numId w:val="13"/>
        </w:numPr>
        <w:tabs>
          <w:tab w:val="left" w:pos="3021"/>
        </w:tabs>
        <w:spacing w:before="2" w:after="0" w:line="240" w:lineRule="auto"/>
        <w:ind w:left="3020" w:right="0" w:hanging="301"/>
        <w:jc w:val="left"/>
        <w:rPr>
          <w:sz w:val="36"/>
        </w:rPr>
      </w:pPr>
      <w:r>
        <w:rPr>
          <w:sz w:val="36"/>
        </w:rPr>
        <w:t>高速公路施工难度大、取水靠运输，要提前做好运输车辆的安排；</w:t>
      </w:r>
    </w:p>
    <w:p>
      <w:pPr>
        <w:pStyle w:val="ListParagraph"/>
        <w:numPr>
          <w:ilvl w:val="0"/>
          <w:numId w:val="13"/>
        </w:numPr>
        <w:tabs>
          <w:tab w:val="left" w:pos="3021"/>
        </w:tabs>
        <w:spacing w:before="215" w:after="0" w:line="240" w:lineRule="auto"/>
        <w:ind w:left="3020" w:right="0" w:hanging="301"/>
        <w:jc w:val="left"/>
        <w:rPr>
          <w:sz w:val="36"/>
        </w:rPr>
      </w:pPr>
      <w:r>
        <w:rPr>
          <w:sz w:val="36"/>
        </w:rPr>
        <w:t>苗木的后期养护十分重要，应设专门养护队伍进行跟踪式管护；</w:t>
      </w:r>
    </w:p>
    <w:p>
      <w:pPr>
        <w:pStyle w:val="Heading2"/>
        <w:spacing w:before="80"/>
      </w:pPr>
      <w:r>
        <w:t>二、项目重点工程的施工方案、技术措施（绿化种植工程）</w:t>
      </w:r>
    </w:p>
    <w:p>
      <w:pPr>
        <w:pStyle w:val="Heading3"/>
        <w:numPr>
          <w:ilvl w:val="0"/>
          <w:numId w:val="12"/>
        </w:numPr>
        <w:tabs>
          <w:tab w:val="left" w:pos="2809"/>
        </w:tabs>
        <w:spacing w:before="251" w:after="0" w:line="240" w:lineRule="auto"/>
        <w:ind w:left="2808" w:right="0" w:hanging="301"/>
        <w:jc w:val="left"/>
      </w:pPr>
      <w:r>
        <w:t>种植前的准备工程</w:t>
      </w:r>
    </w:p>
    <w:p>
      <w:pPr>
        <w:pStyle w:val="BodyText"/>
        <w:spacing w:before="214" w:line="333" w:lineRule="auto"/>
        <w:ind w:left="2180" w:right="2520" w:firstLine="327"/>
        <w:jc w:val="both"/>
      </w:pPr>
      <w:r>
        <w:t xml:space="preserve">土壤的整理：植被层土壤不应含有重金属、机油和其它影响植物生长的成分， </w:t>
      </w:r>
      <w:r>
        <w:rPr>
          <w:spacing w:val="-18"/>
        </w:rPr>
        <w:t xml:space="preserve">乔木的树穴不能有任何建筑垃圾。改良用土壤及基肥：所有栽植场地必须下基肥， </w:t>
      </w:r>
      <w:r>
        <w:t>用于增强土壤肥力。基肥优先采用农家肥，其次采用化肥或混合肥。</w:t>
      </w:r>
    </w:p>
    <w:p>
      <w:pPr>
        <w:pStyle w:val="Heading3"/>
        <w:numPr>
          <w:ilvl w:val="0"/>
          <w:numId w:val="12"/>
        </w:numPr>
        <w:tabs>
          <w:tab w:val="left" w:pos="2811"/>
        </w:tabs>
        <w:spacing w:before="7" w:after="0" w:line="240" w:lineRule="auto"/>
        <w:ind w:left="2810" w:right="0" w:hanging="303"/>
        <w:jc w:val="left"/>
      </w:pPr>
      <w:r>
        <w:t>定点与放线</w:t>
      </w:r>
    </w:p>
    <w:p>
      <w:pPr>
        <w:pStyle w:val="BodyText"/>
        <w:spacing w:before="211" w:line="333" w:lineRule="auto"/>
        <w:ind w:left="2180" w:right="2697" w:firstLine="1007"/>
        <w:jc w:val="both"/>
      </w:pPr>
      <w:r>
        <w:t>孤植树或单植树：应完全按设计图纸进行定位，其允许偏差为 3cm。群植树：应符合设计所在位置，允许偏差 l0cm。所有乔木的定点都应标明中心位置，并注明所植树木名称及树木规格。种植槽放线。</w:t>
      </w:r>
    </w:p>
    <w:p>
      <w:pPr>
        <w:pStyle w:val="Heading3"/>
        <w:numPr>
          <w:ilvl w:val="0"/>
          <w:numId w:val="12"/>
        </w:numPr>
        <w:tabs>
          <w:tab w:val="left" w:pos="2811"/>
        </w:tabs>
        <w:spacing w:before="5" w:after="0" w:line="240" w:lineRule="auto"/>
        <w:ind w:left="2810" w:right="0" w:hanging="303"/>
        <w:jc w:val="left"/>
      </w:pPr>
      <w:r>
        <w:t>种植穴和种植槽的开挖</w:t>
      </w:r>
    </w:p>
    <w:p>
      <w:pPr>
        <w:spacing w:after="0" w:line="240" w:lineRule="auto"/>
        <w:jc w:val="left"/>
        <w:sectPr>
          <w:headerReference w:type="default" r:id="rId18"/>
          <w:footerReference w:type="default" r:id="rId19"/>
          <w:pgSz w:w="17860" w:h="25260"/>
          <w:pgMar w:top="1380" w:right="0" w:bottom="2020" w:left="520" w:header="1083" w:footer="1831"/>
          <w:pgNumType w:start="7"/>
          <w:cols w:space="708"/>
        </w:sectPr>
      </w:pPr>
    </w:p>
    <w:p>
      <w:pPr>
        <w:pStyle w:val="BodyText"/>
        <w:rPr>
          <w:b/>
          <w:sz w:val="20"/>
        </w:rPr>
      </w:pPr>
    </w:p>
    <w:p>
      <w:pPr>
        <w:pStyle w:val="BodyText"/>
        <w:spacing w:before="11"/>
        <w:rPr>
          <w:b/>
          <w:sz w:val="13"/>
        </w:rPr>
      </w:pPr>
    </w:p>
    <w:p>
      <w:pPr>
        <w:pStyle w:val="BodyText"/>
        <w:spacing w:before="97" w:line="333" w:lineRule="auto"/>
        <w:ind w:left="2180" w:right="2630" w:firstLine="1007"/>
      </w:pPr>
      <w:r>
        <w:rPr>
          <w:spacing w:val="-1"/>
        </w:rPr>
        <w:t>植物带土为球状的，应挖成圆桶形；植物带土为方形的，应挖成方形；其</w:t>
      </w:r>
      <w:r>
        <w:t>穴壁必须直上直下，不得放坡。</w:t>
      </w:r>
    </w:p>
    <w:p>
      <w:pPr>
        <w:pStyle w:val="Heading3"/>
        <w:numPr>
          <w:ilvl w:val="0"/>
          <w:numId w:val="12"/>
        </w:numPr>
        <w:tabs>
          <w:tab w:val="left" w:pos="2811"/>
        </w:tabs>
        <w:spacing w:before="5" w:after="0" w:line="240" w:lineRule="auto"/>
        <w:ind w:left="2810" w:right="0" w:hanging="303"/>
        <w:jc w:val="left"/>
      </w:pPr>
      <w:r>
        <w:rPr>
          <w:w w:val="95"/>
        </w:rPr>
        <w:t>乔木种植</w:t>
      </w:r>
    </w:p>
    <w:p>
      <w:pPr>
        <w:pStyle w:val="BodyText"/>
        <w:spacing w:before="211" w:line="333" w:lineRule="auto"/>
        <w:ind w:left="2180" w:right="2657" w:firstLine="979"/>
      </w:pPr>
      <w:r>
        <w:t>就近准备苗源，起苗时挖大土球并做好栽植前的各种工作；栽后一周内， 在白天每隔 2 小时给苗木喷水以提高该苗木的成活率。</w:t>
      </w:r>
    </w:p>
    <w:p>
      <w:pPr>
        <w:pStyle w:val="ListParagraph"/>
        <w:numPr>
          <w:ilvl w:val="0"/>
          <w:numId w:val="11"/>
        </w:numPr>
        <w:tabs>
          <w:tab w:val="left" w:pos="3428"/>
        </w:tabs>
        <w:spacing w:before="5" w:after="0" w:line="240" w:lineRule="auto"/>
        <w:ind w:left="3427" w:right="0" w:hanging="920"/>
        <w:jc w:val="left"/>
        <w:rPr>
          <w:sz w:val="36"/>
        </w:rPr>
      </w:pPr>
      <w:r>
        <w:rPr>
          <w:sz w:val="36"/>
        </w:rPr>
        <w:t>苗木要注意土球的大小及完整，保证土球不松散。</w:t>
      </w:r>
    </w:p>
    <w:p>
      <w:pPr>
        <w:pStyle w:val="ListParagraph"/>
        <w:numPr>
          <w:ilvl w:val="0"/>
          <w:numId w:val="11"/>
        </w:numPr>
        <w:tabs>
          <w:tab w:val="left" w:pos="3428"/>
        </w:tabs>
        <w:spacing w:before="210" w:after="0" w:line="240" w:lineRule="auto"/>
        <w:ind w:left="3427" w:right="0" w:hanging="920"/>
        <w:jc w:val="left"/>
        <w:rPr>
          <w:sz w:val="36"/>
        </w:rPr>
      </w:pPr>
      <w:r>
        <w:rPr>
          <w:sz w:val="36"/>
        </w:rPr>
        <w:t>落叶树种在起、挖、运输苗木时注意保护好根系和枝干防止机械损伤。</w:t>
      </w:r>
    </w:p>
    <w:p>
      <w:pPr>
        <w:pStyle w:val="ListParagraph"/>
        <w:numPr>
          <w:ilvl w:val="0"/>
          <w:numId w:val="11"/>
        </w:numPr>
        <w:tabs>
          <w:tab w:val="left" w:pos="3428"/>
        </w:tabs>
        <w:spacing w:before="211" w:after="0" w:line="240" w:lineRule="auto"/>
        <w:ind w:left="3427" w:right="0" w:hanging="920"/>
        <w:jc w:val="left"/>
        <w:rPr>
          <w:sz w:val="36"/>
        </w:rPr>
      </w:pPr>
      <w:r>
        <w:rPr>
          <w:sz w:val="36"/>
        </w:rPr>
        <w:t>栽植时，坑穴要严格按要求挖，以保证苗木栽植深度。</w:t>
      </w:r>
    </w:p>
    <w:p>
      <w:pPr>
        <w:pStyle w:val="ListParagraph"/>
        <w:numPr>
          <w:ilvl w:val="0"/>
          <w:numId w:val="11"/>
        </w:numPr>
        <w:tabs>
          <w:tab w:val="left" w:pos="3428"/>
        </w:tabs>
        <w:spacing w:before="215" w:after="0" w:line="240" w:lineRule="auto"/>
        <w:ind w:left="3427" w:right="0" w:hanging="920"/>
        <w:jc w:val="left"/>
        <w:rPr>
          <w:sz w:val="36"/>
        </w:rPr>
      </w:pPr>
      <w:r>
        <w:rPr>
          <w:sz w:val="36"/>
        </w:rPr>
        <w:t>浇水第一遍水一定要浇透，可连续浇两遍水以保证土球被水浸透。</w:t>
      </w:r>
    </w:p>
    <w:p>
      <w:pPr>
        <w:pStyle w:val="BodyText"/>
        <w:spacing w:before="211" w:line="333" w:lineRule="auto"/>
        <w:ind w:left="2180" w:right="2556" w:firstLine="327"/>
      </w:pPr>
      <w:r>
        <w:rPr>
          <w:spacing w:val="-10"/>
        </w:rPr>
        <w:t>花灌木种植：严格按图纸设计的规格要求订购苗木。栽植时要依照业主要求时</w:t>
      </w:r>
      <w:r>
        <w:rPr>
          <w:spacing w:val="-11"/>
        </w:rPr>
        <w:t>间和自己的栽植能力综合考虑，限制因素有自己的人力包括技术人员及劳动力、</w:t>
      </w:r>
      <w:r>
        <w:rPr>
          <w:spacing w:val="-8"/>
        </w:rPr>
        <w:t>浇水能力保证做到苗木“随起、随运、随栽、随浇水”。</w:t>
      </w:r>
    </w:p>
    <w:p>
      <w:pPr>
        <w:pStyle w:val="ListParagraph"/>
        <w:numPr>
          <w:ilvl w:val="0"/>
          <w:numId w:val="11"/>
        </w:numPr>
        <w:tabs>
          <w:tab w:val="left" w:pos="3428"/>
        </w:tabs>
        <w:spacing w:before="5" w:after="0" w:line="240" w:lineRule="auto"/>
        <w:ind w:left="3427" w:right="0" w:hanging="920"/>
        <w:jc w:val="left"/>
        <w:rPr>
          <w:sz w:val="36"/>
        </w:rPr>
      </w:pPr>
      <w:r>
        <w:rPr>
          <w:sz w:val="36"/>
        </w:rPr>
        <w:t>草坪的栽植：草坪在栽植前应施足底肥并浇水浸地。</w:t>
      </w:r>
    </w:p>
    <w:p>
      <w:pPr>
        <w:pStyle w:val="Heading2"/>
        <w:spacing w:before="81"/>
      </w:pPr>
      <w:r>
        <w:t>三、项目难点工程相关施工方案、技术措施（养护工程）</w:t>
      </w:r>
    </w:p>
    <w:p>
      <w:pPr>
        <w:pStyle w:val="ListParagraph"/>
        <w:numPr>
          <w:ilvl w:val="0"/>
          <w:numId w:val="10"/>
        </w:numPr>
        <w:tabs>
          <w:tab w:val="left" w:pos="2809"/>
          <w:tab w:val="left" w:pos="14102"/>
        </w:tabs>
        <w:spacing w:before="120" w:after="0" w:line="321" w:lineRule="auto"/>
        <w:ind w:left="2180" w:right="2516" w:firstLine="327"/>
        <w:jc w:val="left"/>
        <w:rPr>
          <w:sz w:val="36"/>
        </w:rPr>
      </w:pPr>
      <w:r>
        <w:rPr>
          <w:b/>
          <w:sz w:val="36"/>
        </w:rPr>
        <w:t>浇</w:t>
      </w:r>
      <w:r>
        <w:rPr>
          <w:b/>
          <w:spacing w:val="3"/>
          <w:sz w:val="36"/>
        </w:rPr>
        <w:t>水</w:t>
      </w:r>
      <w:r>
        <w:rPr>
          <w:spacing w:val="-155"/>
          <w:position w:val="7"/>
          <w:sz w:val="42"/>
        </w:rPr>
        <w:t>：</w:t>
      </w:r>
      <w:r>
        <w:rPr>
          <w:sz w:val="36"/>
        </w:rPr>
        <w:t>新植的乔木</w:t>
      </w:r>
      <w:r>
        <w:rPr>
          <w:spacing w:val="-123"/>
          <w:sz w:val="36"/>
        </w:rPr>
        <w:t>、</w:t>
      </w:r>
      <w:r>
        <w:rPr>
          <w:sz w:val="36"/>
        </w:rPr>
        <w:t>灌木</w:t>
      </w:r>
      <w:r>
        <w:rPr>
          <w:spacing w:val="-126"/>
          <w:sz w:val="36"/>
        </w:rPr>
        <w:t>、</w:t>
      </w:r>
      <w:r>
        <w:rPr>
          <w:sz w:val="36"/>
        </w:rPr>
        <w:t>草皮等</w:t>
      </w:r>
      <w:r>
        <w:rPr>
          <w:spacing w:val="-123"/>
          <w:sz w:val="36"/>
        </w:rPr>
        <w:t>，</w:t>
      </w:r>
      <w:r>
        <w:rPr>
          <w:sz w:val="36"/>
        </w:rPr>
        <w:t>必须及时浇足透水</w:t>
      </w:r>
      <w:r>
        <w:rPr>
          <w:spacing w:val="-126"/>
          <w:sz w:val="36"/>
        </w:rPr>
        <w:t>，</w:t>
      </w:r>
      <w:r>
        <w:rPr>
          <w:sz w:val="36"/>
        </w:rPr>
        <w:t>以后根据实际情</w:t>
        <w:tab/>
        <w:t>况</w:t>
      </w:r>
      <w:r>
        <w:rPr>
          <w:spacing w:val="-19"/>
          <w:sz w:val="36"/>
        </w:rPr>
        <w:t xml:space="preserve">， </w:t>
      </w:r>
      <w:r>
        <w:rPr>
          <w:sz w:val="36"/>
        </w:rPr>
        <w:t>适当浇水，每次浇水应浇透。</w:t>
      </w:r>
    </w:p>
    <w:p>
      <w:pPr>
        <w:pStyle w:val="ListParagraph"/>
        <w:numPr>
          <w:ilvl w:val="0"/>
          <w:numId w:val="10"/>
        </w:numPr>
        <w:tabs>
          <w:tab w:val="left" w:pos="2809"/>
        </w:tabs>
        <w:spacing w:before="0" w:after="0" w:line="563" w:lineRule="exact"/>
        <w:ind w:left="2808" w:right="0" w:hanging="301"/>
        <w:jc w:val="left"/>
        <w:rPr>
          <w:sz w:val="36"/>
        </w:rPr>
      </w:pPr>
      <w:r>
        <w:rPr>
          <w:b/>
          <w:spacing w:val="1"/>
          <w:sz w:val="36"/>
        </w:rPr>
        <w:t>施肥</w:t>
      </w:r>
      <w:r>
        <w:rPr>
          <w:spacing w:val="-116"/>
          <w:position w:val="7"/>
          <w:sz w:val="42"/>
        </w:rPr>
        <w:t>：</w:t>
      </w:r>
      <w:r>
        <w:rPr>
          <w:spacing w:val="-10"/>
          <w:sz w:val="36"/>
        </w:rPr>
        <w:t>一般按植物的生理需求进行合理施肥，春季施萌芽肥，夏季施促梢肥，</w:t>
      </w:r>
    </w:p>
    <w:p>
      <w:pPr>
        <w:pStyle w:val="BodyText"/>
        <w:spacing w:before="214"/>
        <w:ind w:left="2180"/>
      </w:pPr>
      <w:r>
        <w:t>秋季施越冬肥。对于时令花或观赏花灌木，应及时施促花肥和增花肥。</w:t>
      </w:r>
    </w:p>
    <w:p>
      <w:pPr>
        <w:pStyle w:val="ListParagraph"/>
        <w:numPr>
          <w:ilvl w:val="0"/>
          <w:numId w:val="10"/>
        </w:numPr>
        <w:tabs>
          <w:tab w:val="left" w:pos="2809"/>
        </w:tabs>
        <w:spacing w:before="76" w:after="0" w:line="321" w:lineRule="auto"/>
        <w:ind w:left="2180" w:right="2582" w:firstLine="327"/>
        <w:jc w:val="left"/>
        <w:rPr>
          <w:sz w:val="36"/>
        </w:rPr>
      </w:pPr>
      <w:r>
        <w:rPr>
          <w:b/>
          <w:spacing w:val="1"/>
          <w:sz w:val="36"/>
        </w:rPr>
        <w:t>病虫害预防</w:t>
      </w:r>
      <w:r>
        <w:rPr>
          <w:position w:val="7"/>
          <w:sz w:val="42"/>
        </w:rPr>
        <w:t>：</w:t>
      </w:r>
      <w:r>
        <w:rPr>
          <w:spacing w:val="-1"/>
          <w:sz w:val="36"/>
        </w:rPr>
        <w:t xml:space="preserve">根据植物生长习性，科学把握植物病虫多发季节的病虫预防， </w:t>
      </w:r>
      <w:r>
        <w:rPr>
          <w:sz w:val="36"/>
        </w:rPr>
        <w:t>建立植物病虫害的初发档案，及时喷洒农药，防止病虫害的发生。</w:t>
      </w:r>
    </w:p>
    <w:p>
      <w:pPr>
        <w:pStyle w:val="ListParagraph"/>
        <w:numPr>
          <w:ilvl w:val="0"/>
          <w:numId w:val="10"/>
        </w:numPr>
        <w:tabs>
          <w:tab w:val="left" w:pos="2809"/>
        </w:tabs>
        <w:spacing w:before="0" w:after="0" w:line="567" w:lineRule="exact"/>
        <w:ind w:left="2808" w:right="0" w:hanging="301"/>
        <w:jc w:val="left"/>
        <w:rPr>
          <w:sz w:val="36"/>
        </w:rPr>
      </w:pPr>
      <w:r>
        <w:rPr>
          <w:b/>
          <w:spacing w:val="1"/>
          <w:sz w:val="36"/>
        </w:rPr>
        <w:t>树木支撑</w:t>
      </w:r>
      <w:r>
        <w:rPr>
          <w:spacing w:val="-58"/>
          <w:position w:val="7"/>
          <w:sz w:val="42"/>
        </w:rPr>
        <w:t>：</w:t>
      </w:r>
      <w:r>
        <w:rPr>
          <w:sz w:val="36"/>
        </w:rPr>
        <w:t>对于新植的高大乔木，必须进行树干支撑，支撑一般采用三脚支</w:t>
      </w:r>
    </w:p>
    <w:p>
      <w:pPr>
        <w:pStyle w:val="BodyText"/>
        <w:spacing w:before="210"/>
        <w:ind w:left="2180"/>
      </w:pPr>
      <w:r>
        <w:t>撑方式，具体方式按施工情况具体而定。</w:t>
      </w:r>
    </w:p>
    <w:p>
      <w:pPr>
        <w:pStyle w:val="ListParagraph"/>
        <w:numPr>
          <w:ilvl w:val="0"/>
          <w:numId w:val="10"/>
        </w:numPr>
        <w:tabs>
          <w:tab w:val="left" w:pos="2809"/>
        </w:tabs>
        <w:spacing w:before="77" w:after="0" w:line="321" w:lineRule="auto"/>
        <w:ind w:left="2180" w:right="2585" w:firstLine="327"/>
        <w:jc w:val="left"/>
        <w:rPr>
          <w:sz w:val="36"/>
        </w:rPr>
      </w:pPr>
      <w:r>
        <w:rPr>
          <w:b/>
          <w:sz w:val="36"/>
        </w:rPr>
        <w:t>乔木修剪</w:t>
      </w:r>
      <w:r>
        <w:rPr>
          <w:position w:val="7"/>
          <w:sz w:val="42"/>
        </w:rPr>
        <w:t>：</w:t>
      </w:r>
      <w:r>
        <w:rPr>
          <w:spacing w:val="-1"/>
          <w:sz w:val="36"/>
        </w:rPr>
        <w:t>对于落叶乔木，北方风大，故在落叶后北风未起之前，将枯枝、</w:t>
      </w:r>
      <w:r>
        <w:rPr>
          <w:sz w:val="36"/>
        </w:rPr>
        <w:t>病虫枝、易落叶枝剪除，防止掉下伤人。</w:t>
      </w:r>
    </w:p>
    <w:p>
      <w:pPr>
        <w:pStyle w:val="ListParagraph"/>
        <w:numPr>
          <w:ilvl w:val="0"/>
          <w:numId w:val="10"/>
        </w:numPr>
        <w:tabs>
          <w:tab w:val="left" w:pos="2809"/>
        </w:tabs>
        <w:spacing w:before="0" w:after="0" w:line="567" w:lineRule="exact"/>
        <w:ind w:left="2808" w:right="0" w:hanging="301"/>
        <w:jc w:val="left"/>
        <w:rPr>
          <w:sz w:val="36"/>
        </w:rPr>
      </w:pPr>
      <w:r>
        <w:rPr>
          <w:b/>
          <w:spacing w:val="1"/>
          <w:sz w:val="36"/>
        </w:rPr>
        <w:t>花灌木修剪</w:t>
      </w:r>
      <w:r>
        <w:rPr>
          <w:spacing w:val="-58"/>
          <w:position w:val="7"/>
          <w:sz w:val="42"/>
        </w:rPr>
        <w:t>：</w:t>
      </w:r>
      <w:r>
        <w:rPr>
          <w:sz w:val="36"/>
        </w:rPr>
        <w:t>为了第二年形成更好的树冠，萌生更多新枝，可对部分分茬灌</w:t>
      </w:r>
    </w:p>
    <w:p>
      <w:pPr>
        <w:pStyle w:val="BodyText"/>
        <w:spacing w:before="211" w:line="336" w:lineRule="auto"/>
        <w:ind w:left="2180" w:right="2697"/>
      </w:pPr>
      <w:r>
        <w:rPr>
          <w:spacing w:val="-12"/>
        </w:rPr>
        <w:t>木做平茬处理，将当年生长的部分枝条进行修剪，剪除部分枝条，一般按圆头树</w:t>
      </w:r>
      <w:r>
        <w:t>形进行修剪。</w:t>
      </w:r>
    </w:p>
    <w:p>
      <w:pPr>
        <w:spacing w:after="0" w:line="336" w:lineRule="auto"/>
        <w:sectPr>
          <w:headerReference w:type="default" r:id="rId20"/>
          <w:footerReference w:type="default" r:id="rId21"/>
          <w:pgSz w:w="17860" w:h="25260"/>
          <w:pgMar w:top="1380" w:right="0" w:bottom="2020" w:left="520" w:header="1083" w:footer="1831"/>
          <w:pgNumType w:start="8"/>
          <w:cols w:space="708"/>
        </w:sectPr>
      </w:pPr>
    </w:p>
    <w:p>
      <w:pPr>
        <w:pStyle w:val="BodyText"/>
        <w:rPr>
          <w:sz w:val="20"/>
        </w:rPr>
      </w:pPr>
    </w:p>
    <w:p>
      <w:pPr>
        <w:pStyle w:val="BodyText"/>
        <w:spacing w:before="11"/>
        <w:rPr>
          <w:sz w:val="13"/>
        </w:rPr>
      </w:pPr>
    </w:p>
    <w:p>
      <w:pPr>
        <w:pStyle w:val="ListParagraph"/>
        <w:numPr>
          <w:ilvl w:val="0"/>
          <w:numId w:val="10"/>
        </w:numPr>
        <w:tabs>
          <w:tab w:val="left" w:pos="2809"/>
        </w:tabs>
        <w:spacing w:before="97" w:after="0" w:line="333" w:lineRule="auto"/>
        <w:ind w:left="2180" w:right="2640" w:firstLine="327"/>
        <w:jc w:val="left"/>
        <w:rPr>
          <w:sz w:val="36"/>
        </w:rPr>
      </w:pPr>
      <w:r>
        <w:rPr>
          <w:b/>
          <w:spacing w:val="1"/>
          <w:sz w:val="36"/>
        </w:rPr>
        <w:t>部分花卉的修剪</w:t>
      </w:r>
      <w:r>
        <w:rPr>
          <w:spacing w:val="-1"/>
          <w:position w:val="7"/>
          <w:sz w:val="29"/>
        </w:rPr>
        <w:t xml:space="preserve">： </w:t>
      </w:r>
      <w:r>
        <w:rPr>
          <w:spacing w:val="-1"/>
          <w:sz w:val="36"/>
        </w:rPr>
        <w:t>在夏秋生长的旺季，应适时进行修剪，以保证苗木尽快达</w:t>
      </w:r>
      <w:r>
        <w:rPr>
          <w:sz w:val="36"/>
        </w:rPr>
        <w:t>到设计的景现效果。</w:t>
      </w:r>
    </w:p>
    <w:p>
      <w:pPr>
        <w:spacing w:after="0" w:line="333" w:lineRule="auto"/>
        <w:jc w:val="left"/>
        <w:rPr>
          <w:sz w:val="36"/>
        </w:rPr>
        <w:sectPr>
          <w:headerReference w:type="default" r:id="rId22"/>
          <w:footerReference w:type="default" r:id="rId23"/>
          <w:pgSz w:w="17860" w:h="25260"/>
          <w:pgMar w:top="1380" w:right="0" w:bottom="2020" w:left="520" w:header="1083" w:footer="1831"/>
          <w:pgNumType w:start="9"/>
          <w:cols w:space="708"/>
        </w:sectPr>
      </w:pPr>
    </w:p>
    <w:p>
      <w:pPr>
        <w:pStyle w:val="BodyText"/>
        <w:spacing w:before="2"/>
        <w:rPr>
          <w:sz w:val="11"/>
        </w:rPr>
      </w:pPr>
    </w:p>
    <w:p>
      <w:pPr>
        <w:pStyle w:val="Heading1"/>
      </w:pPr>
      <w:bookmarkStart w:id="1" w:name="_TOC_250008"/>
      <w:bookmarkEnd w:id="1"/>
      <w:r>
        <w:rPr>
          <w:w w:val="95"/>
        </w:rPr>
        <w:t>笫四章、工期保证体系及保证措施</w:t>
      </w:r>
    </w:p>
    <w:p>
      <w:pPr>
        <w:pStyle w:val="BodyText"/>
        <w:spacing w:before="4"/>
        <w:rPr>
          <w:b/>
          <w:sz w:val="67"/>
        </w:rPr>
      </w:pPr>
    </w:p>
    <w:p>
      <w:pPr>
        <w:pStyle w:val="BodyText"/>
        <w:spacing w:line="750" w:lineRule="atLeast"/>
        <w:ind w:left="2180" w:right="2699" w:firstLine="719"/>
      </w:pPr>
      <w:r>
        <w:rPr>
          <w:spacing w:val="3"/>
        </w:rPr>
        <w:t xml:space="preserve">根据招标文件的要求，本标段的工期要求为计划工期 </w:t>
      </w:r>
      <w:r>
        <w:t>365</w:t>
      </w:r>
      <w:r>
        <w:rPr>
          <w:spacing w:val="6"/>
        </w:rPr>
        <w:t xml:space="preserve"> 个日历天，计划</w:t>
      </w:r>
      <w:r>
        <w:t>开工日期：2014</w:t>
      </w:r>
      <w:r>
        <w:rPr>
          <w:spacing w:val="-1"/>
        </w:rPr>
        <w:t xml:space="preserve"> 年 </w:t>
      </w:r>
      <w:r>
        <w:t>6 月 30</w:t>
      </w:r>
      <w:r>
        <w:rPr>
          <w:spacing w:val="-2"/>
        </w:rPr>
        <w:t xml:space="preserve"> 日，计划交工日期：</w:t>
      </w:r>
      <w:r>
        <w:t>2015</w:t>
      </w:r>
      <w:r>
        <w:rPr>
          <w:spacing w:val="-2"/>
        </w:rPr>
        <w:t xml:space="preserve"> 年 </w:t>
      </w:r>
      <w:r>
        <w:t>6</w:t>
      </w:r>
      <w:r>
        <w:rPr>
          <w:spacing w:val="-1"/>
        </w:rPr>
        <w:t xml:space="preserve"> 月 </w:t>
      </w:r>
      <w:r>
        <w:t>30 日</w:t>
      </w:r>
    </w:p>
    <w:p>
      <w:pPr>
        <w:pStyle w:val="Heading2"/>
        <w:spacing w:before="83"/>
      </w:pPr>
      <w:r>
        <w:t>一、工期保证体系</w:t>
      </w:r>
    </w:p>
    <w:p>
      <w:pPr>
        <w:pStyle w:val="BodyText"/>
        <w:spacing w:before="237" w:line="417" w:lineRule="auto"/>
        <w:ind w:left="2180" w:right="2585" w:firstLine="691"/>
      </w:pPr>
      <w:r>
        <w:t>为了保证工程在计划工期内完成，需要在施工组织与技术管理、材料、设备上采取相应的措施，方能确保施工进度的实现。</w:t>
      </w:r>
    </w:p>
    <w:p>
      <w:pPr>
        <w:pStyle w:val="BodyText"/>
        <w:ind w:left="2900"/>
      </w:pPr>
      <w:r>
        <w:rPr>
          <w:b/>
        </w:rPr>
        <w:t>1、</w:t>
      </w:r>
      <w:r>
        <w:t>指挥体系坚强有力</w:t>
      </w:r>
    </w:p>
    <w:p>
      <w:pPr>
        <w:pStyle w:val="BodyText"/>
        <w:spacing w:before="397" w:line="417" w:lineRule="auto"/>
        <w:ind w:left="2180" w:right="2697" w:firstLine="691"/>
        <w:jc w:val="both"/>
      </w:pPr>
      <w:r>
        <w:rPr>
          <w:spacing w:val="-8"/>
        </w:rPr>
        <w:t>建立强有力的现场项目管理部，选择获技术力量强的人员组成管理层，整个</w:t>
      </w:r>
      <w:r>
        <w:rPr>
          <w:spacing w:val="-10"/>
        </w:rPr>
        <w:t>指挥体系从上到下精明强干、职责分明。既保证项目经理的领导权威性，又注意</w:t>
      </w:r>
      <w:r>
        <w:t>发挥各职能部门的主观能动性，齐心协力作好本工程施工每一个阶段的工作。</w:t>
      </w:r>
    </w:p>
    <w:p>
      <w:pPr>
        <w:pStyle w:val="BodyText"/>
        <w:spacing w:line="537" w:lineRule="exact"/>
        <w:ind w:left="2900"/>
      </w:pPr>
      <w:r>
        <w:rPr>
          <w:b/>
        </w:rPr>
        <w:t>2、</w:t>
      </w:r>
      <w:r>
        <w:t>管理制度，严格规范</w:t>
      </w:r>
    </w:p>
    <w:p>
      <w:pPr>
        <w:pStyle w:val="BodyText"/>
        <w:spacing w:before="398" w:line="417" w:lineRule="auto"/>
        <w:ind w:left="2180" w:right="2585" w:firstLine="691"/>
        <w:jc w:val="both"/>
      </w:pPr>
      <w:r>
        <w:rPr>
          <w:spacing w:val="-1"/>
        </w:rPr>
        <w:t>为了打好每一仗，必须使整个管理工作制度化、规范化，做到有章可循，有</w:t>
      </w:r>
      <w:r>
        <w:rPr>
          <w:spacing w:val="-12"/>
        </w:rPr>
        <w:t>法可依，保证整个集体的强大战斗力，现场制定严格的岗位责任制度、质量和安全保证制度以及作息时间制度、分配制度、综合治理制度等。</w:t>
      </w:r>
    </w:p>
    <w:p>
      <w:pPr>
        <w:pStyle w:val="BodyText"/>
        <w:spacing w:line="538" w:lineRule="exact"/>
        <w:ind w:left="2900"/>
      </w:pPr>
      <w:r>
        <w:rPr>
          <w:b/>
        </w:rPr>
        <w:t>3、</w:t>
      </w:r>
      <w:r>
        <w:t>施工计划、有条不紊</w:t>
      </w:r>
    </w:p>
    <w:p>
      <w:pPr>
        <w:pStyle w:val="BodyText"/>
        <w:spacing w:before="398" w:line="417" w:lineRule="auto"/>
        <w:ind w:left="2180" w:right="2556" w:firstLine="691"/>
      </w:pPr>
      <w:r>
        <w:t>计划是龙头，加强计划的指导作用是控制进度的必要手段。施工中，在严密</w:t>
      </w:r>
      <w:r>
        <w:rPr>
          <w:spacing w:val="-7"/>
        </w:rPr>
        <w:t>的施工总体控制性进度计划控制下，制定分项工程的作业计划，将计划按月、周</w:t>
      </w:r>
      <w:r>
        <w:rPr>
          <w:spacing w:val="-8"/>
        </w:rPr>
        <w:t>分解到等每个作业班组，特别是要注重保证日计划的实现。为保证计划的实现， 可采取各式各样种形式的承包制，将生产和职工的切身利益挂钩。施工中要经常</w:t>
      </w:r>
      <w:r>
        <w:rPr>
          <w:spacing w:val="-16"/>
        </w:rPr>
        <w:t>检查计划的执行情况，及时解决存在问题，使施工按照预订计划要求有条不紊的进行。</w:t>
      </w:r>
    </w:p>
    <w:p>
      <w:pPr>
        <w:pStyle w:val="BodyText"/>
        <w:spacing w:line="536" w:lineRule="exact"/>
        <w:ind w:left="2897"/>
      </w:pPr>
      <w:r>
        <w:rPr>
          <w:b/>
        </w:rPr>
        <w:t>4</w:t>
      </w:r>
      <w:r>
        <w:rPr>
          <w:b/>
          <w:spacing w:val="-76"/>
        </w:rPr>
        <w:t>、</w:t>
      </w:r>
      <w:r>
        <w:rPr>
          <w:spacing w:val="-5"/>
        </w:rPr>
        <w:t>为了保证本工程总体进度计划的实现，在施工过程中要编制详细的每月、</w:t>
      </w:r>
    </w:p>
    <w:p>
      <w:pPr>
        <w:spacing w:after="0" w:line="536" w:lineRule="exact"/>
        <w:sectPr>
          <w:headerReference w:type="default" r:id="rId24"/>
          <w:footerReference w:type="default" r:id="rId25"/>
          <w:pgSz w:w="17860" w:h="25260"/>
          <w:pgMar w:top="1380" w:right="0" w:bottom="2020" w:left="520" w:header="1083" w:footer="1831"/>
          <w:pgNumType w:start="10"/>
          <w:cols w:space="708"/>
        </w:sectPr>
      </w:pPr>
    </w:p>
    <w:p>
      <w:pPr>
        <w:pStyle w:val="BodyText"/>
        <w:rPr>
          <w:sz w:val="20"/>
        </w:rPr>
      </w:pPr>
    </w:p>
    <w:p>
      <w:pPr>
        <w:pStyle w:val="BodyText"/>
        <w:spacing w:before="12"/>
        <w:rPr>
          <w:sz w:val="12"/>
        </w:rPr>
      </w:pPr>
    </w:p>
    <w:p>
      <w:pPr>
        <w:pStyle w:val="BodyText"/>
        <w:spacing w:before="97"/>
        <w:ind w:left="2180"/>
      </w:pPr>
      <w:r>
        <w:t>每周作业计划，各分部项施工的进度控制计划。</w:t>
      </w:r>
    </w:p>
    <w:p>
      <w:pPr>
        <w:pStyle w:val="Heading2"/>
        <w:spacing w:before="282"/>
      </w:pPr>
      <w:r>
        <w:t>二、工期保证措施</w:t>
      </w:r>
    </w:p>
    <w:p>
      <w:pPr>
        <w:pStyle w:val="Heading3"/>
        <w:spacing w:before="236"/>
        <w:ind w:left="2810"/>
      </w:pPr>
      <w:r>
        <w:t>1、组织措施</w:t>
      </w:r>
    </w:p>
    <w:p>
      <w:pPr>
        <w:pStyle w:val="BodyText"/>
        <w:spacing w:before="398" w:line="417" w:lineRule="auto"/>
        <w:ind w:left="2180" w:right="2558" w:firstLine="719"/>
      </w:pPr>
      <w:r>
        <w:rPr>
          <w:spacing w:val="-1"/>
        </w:rPr>
        <w:t>①公司将本工程作为重点形象工程组织施工，集中公司人、财、物，全力以</w:t>
      </w:r>
      <w:r>
        <w:t>赴，确保项目所需绿化苗木、施工设备、人力及其他材料及时到位。</w:t>
      </w:r>
    </w:p>
    <w:p>
      <w:pPr>
        <w:pStyle w:val="BodyText"/>
        <w:spacing w:line="417" w:lineRule="auto"/>
        <w:ind w:left="2180" w:right="2556" w:firstLine="719"/>
        <w:jc w:val="both"/>
      </w:pPr>
      <w:r>
        <w:rPr>
          <w:spacing w:val="-1"/>
        </w:rPr>
        <w:t>②公司与项目经理部、项目经理部与施工队组签订责任状，确保如期竣工， 实行奖罚制度，充分调动全体员工的积极性。施工过程中，加强跟踪检查，如发</w:t>
      </w:r>
      <w:r>
        <w:t>现拖延工期现象，及时采取整改措施，直到撤换责任人或作业队伍。</w:t>
      </w:r>
    </w:p>
    <w:p>
      <w:pPr>
        <w:pStyle w:val="BodyText"/>
        <w:spacing w:line="417" w:lineRule="auto"/>
        <w:ind w:left="2180" w:right="2695" w:firstLine="719"/>
      </w:pPr>
      <w:r>
        <w:rPr>
          <w:spacing w:val="-10"/>
        </w:rPr>
        <w:t>③项目经理部统筹兼顾，确保苗木及其他物资及时到，保证现场不缺料，杜</w:t>
      </w:r>
      <w:r>
        <w:t>绝停工待料现象。</w:t>
      </w:r>
    </w:p>
    <w:p>
      <w:pPr>
        <w:pStyle w:val="Heading3"/>
        <w:spacing w:line="537" w:lineRule="exact"/>
        <w:ind w:left="2810"/>
      </w:pPr>
      <w:r>
        <w:t>2、技术措施</w:t>
      </w:r>
    </w:p>
    <w:p>
      <w:pPr>
        <w:pStyle w:val="ListParagraph"/>
        <w:numPr>
          <w:ilvl w:val="1"/>
          <w:numId w:val="14"/>
        </w:numPr>
        <w:tabs>
          <w:tab w:val="left" w:pos="3820"/>
        </w:tabs>
        <w:spacing w:before="396" w:after="0" w:line="240" w:lineRule="auto"/>
        <w:ind w:left="3819" w:right="0" w:hanging="920"/>
        <w:jc w:val="left"/>
        <w:rPr>
          <w:sz w:val="36"/>
        </w:rPr>
      </w:pPr>
      <w:r>
        <w:rPr>
          <w:sz w:val="36"/>
        </w:rPr>
        <w:t>充分发挥本工程施工面广的有利条件，实行多段同时施工。</w:t>
      </w:r>
    </w:p>
    <w:p>
      <w:pPr>
        <w:pStyle w:val="ListParagraph"/>
        <w:numPr>
          <w:ilvl w:val="1"/>
          <w:numId w:val="14"/>
        </w:numPr>
        <w:tabs>
          <w:tab w:val="left" w:pos="3820"/>
        </w:tabs>
        <w:spacing w:before="399" w:after="0" w:line="240" w:lineRule="auto"/>
        <w:ind w:left="3819" w:right="0" w:hanging="920"/>
        <w:jc w:val="left"/>
        <w:rPr>
          <w:sz w:val="36"/>
        </w:rPr>
      </w:pPr>
      <w:r>
        <w:rPr>
          <w:sz w:val="36"/>
        </w:rPr>
        <w:t>应用新技术、新工艺、新材料、以科技保进度。</w:t>
      </w:r>
    </w:p>
    <w:p>
      <w:pPr>
        <w:pStyle w:val="ListParagraph"/>
        <w:numPr>
          <w:ilvl w:val="1"/>
          <w:numId w:val="14"/>
        </w:numPr>
        <w:tabs>
          <w:tab w:val="left" w:pos="3820"/>
        </w:tabs>
        <w:spacing w:before="398" w:after="0" w:line="417" w:lineRule="auto"/>
        <w:ind w:left="2180" w:right="2556" w:firstLine="719"/>
        <w:jc w:val="left"/>
        <w:rPr>
          <w:sz w:val="36"/>
        </w:rPr>
      </w:pPr>
      <w:r>
        <w:rPr>
          <w:sz w:val="36"/>
        </w:rPr>
        <w:t xml:space="preserve">编制施工进度计划时，应充分考虑本工程的要求，并结合具体情况， </w:t>
      </w:r>
      <w:r>
        <w:rPr>
          <w:spacing w:val="-1"/>
          <w:sz w:val="36"/>
        </w:rPr>
        <w:t>统筹安排，合理组织流水和立体交叉作业，使施工进度计划具有较强的科学性、</w:t>
      </w:r>
      <w:r>
        <w:rPr>
          <w:sz w:val="36"/>
        </w:rPr>
        <w:t>合理性、预见性、可行性和适应性。</w:t>
      </w:r>
    </w:p>
    <w:p>
      <w:pPr>
        <w:pStyle w:val="ListParagraph"/>
        <w:numPr>
          <w:ilvl w:val="1"/>
          <w:numId w:val="14"/>
        </w:numPr>
        <w:tabs>
          <w:tab w:val="left" w:pos="3820"/>
        </w:tabs>
        <w:spacing w:before="0" w:after="0" w:line="417" w:lineRule="auto"/>
        <w:ind w:left="2180" w:right="2720" w:firstLine="719"/>
        <w:jc w:val="left"/>
        <w:rPr>
          <w:sz w:val="36"/>
        </w:rPr>
      </w:pPr>
      <w:r>
        <w:rPr>
          <w:spacing w:val="-1"/>
          <w:sz w:val="36"/>
        </w:rPr>
        <w:t>尽最大可能提高工程的机械化施工程度，较高的劳动效率，最佳的工</w:t>
      </w:r>
      <w:r>
        <w:rPr>
          <w:sz w:val="36"/>
        </w:rPr>
        <w:t>程质量，保证按时完成预定任务。</w:t>
      </w:r>
    </w:p>
    <w:p>
      <w:pPr>
        <w:pStyle w:val="ListParagraph"/>
        <w:numPr>
          <w:ilvl w:val="1"/>
          <w:numId w:val="14"/>
        </w:numPr>
        <w:tabs>
          <w:tab w:val="left" w:pos="3820"/>
        </w:tabs>
        <w:spacing w:before="0" w:after="0" w:line="417" w:lineRule="auto"/>
        <w:ind w:left="2180" w:right="2556" w:firstLine="719"/>
        <w:jc w:val="left"/>
        <w:rPr>
          <w:sz w:val="36"/>
        </w:rPr>
      </w:pPr>
      <w:r>
        <w:rPr>
          <w:sz w:val="36"/>
        </w:rPr>
        <w:t>应用质量管理与质量统计技术，发挥验证过程能力和工程质量保证能</w:t>
      </w:r>
      <w:r>
        <w:rPr>
          <w:spacing w:val="-1"/>
          <w:sz w:val="36"/>
        </w:rPr>
        <w:t>力，及时发现潜在的不合格因素，分析原因，并制定和采取预防措施，避免不合</w:t>
      </w:r>
      <w:r>
        <w:rPr>
          <w:sz w:val="36"/>
        </w:rPr>
        <w:t>格的工程出现。</w:t>
      </w:r>
    </w:p>
    <w:p>
      <w:pPr>
        <w:pStyle w:val="Heading3"/>
        <w:spacing w:line="537" w:lineRule="exact"/>
        <w:ind w:left="2900"/>
      </w:pPr>
      <w:r>
        <w:t>3、管理措施</w:t>
      </w:r>
    </w:p>
    <w:p>
      <w:pPr>
        <w:spacing w:after="0" w:line="537" w:lineRule="exact"/>
        <w:sectPr>
          <w:headerReference w:type="default" r:id="rId26"/>
          <w:footerReference w:type="default" r:id="rId27"/>
          <w:pgSz w:w="17860" w:h="25260"/>
          <w:pgMar w:top="1380" w:right="0" w:bottom="2020" w:left="520" w:header="1083" w:footer="1831"/>
          <w:pgNumType w:start="11"/>
          <w:cols w:space="708"/>
        </w:sectPr>
      </w:pPr>
    </w:p>
    <w:p>
      <w:pPr>
        <w:pStyle w:val="BodyText"/>
        <w:rPr>
          <w:b/>
          <w:sz w:val="20"/>
        </w:rPr>
      </w:pPr>
    </w:p>
    <w:p>
      <w:pPr>
        <w:pStyle w:val="BodyText"/>
        <w:spacing w:before="12"/>
        <w:rPr>
          <w:b/>
          <w:sz w:val="12"/>
        </w:rPr>
      </w:pPr>
    </w:p>
    <w:p>
      <w:pPr>
        <w:pStyle w:val="ListParagraph"/>
        <w:numPr>
          <w:ilvl w:val="0"/>
          <w:numId w:val="9"/>
        </w:numPr>
        <w:tabs>
          <w:tab w:val="left" w:pos="3820"/>
        </w:tabs>
        <w:spacing w:before="97" w:after="0" w:line="417" w:lineRule="auto"/>
        <w:ind w:left="2180" w:right="2720" w:firstLine="719"/>
        <w:jc w:val="left"/>
        <w:rPr>
          <w:sz w:val="36"/>
        </w:rPr>
      </w:pPr>
      <w:r>
        <w:rPr>
          <w:spacing w:val="-1"/>
          <w:sz w:val="36"/>
        </w:rPr>
        <w:t xml:space="preserve">本项目实施合同质量管理，工作责任到确保工程全过程得有效控制， </w:t>
      </w:r>
      <w:r>
        <w:rPr>
          <w:sz w:val="36"/>
        </w:rPr>
        <w:t>以质量保工期。</w:t>
      </w:r>
    </w:p>
    <w:p>
      <w:pPr>
        <w:pStyle w:val="ListParagraph"/>
        <w:numPr>
          <w:ilvl w:val="0"/>
          <w:numId w:val="9"/>
        </w:numPr>
        <w:tabs>
          <w:tab w:val="left" w:pos="3820"/>
        </w:tabs>
        <w:spacing w:before="0" w:after="0" w:line="417" w:lineRule="auto"/>
        <w:ind w:left="2180" w:right="2556" w:firstLine="719"/>
        <w:jc w:val="left"/>
        <w:rPr>
          <w:sz w:val="36"/>
        </w:rPr>
      </w:pPr>
      <w:r>
        <w:rPr>
          <w:sz w:val="36"/>
        </w:rPr>
        <w:t>以业主及监理工程师确认的施工总进度计划为目标，控制关键线路的</w:t>
      </w:r>
      <w:r>
        <w:rPr>
          <w:spacing w:val="-1"/>
          <w:sz w:val="36"/>
        </w:rPr>
        <w:t>节点日期，以滚动计划为链条，做好调度工作确保计划的衔接、稳定与均衡，对</w:t>
      </w:r>
      <w:r>
        <w:rPr>
          <w:sz w:val="36"/>
        </w:rPr>
        <w:t>计划实行全过程、全方位、全天候的有效控制。</w:t>
      </w:r>
    </w:p>
    <w:p>
      <w:pPr>
        <w:pStyle w:val="ListParagraph"/>
        <w:numPr>
          <w:ilvl w:val="0"/>
          <w:numId w:val="9"/>
        </w:numPr>
        <w:tabs>
          <w:tab w:val="left" w:pos="3820"/>
        </w:tabs>
        <w:spacing w:before="0" w:after="0" w:line="417" w:lineRule="auto"/>
        <w:ind w:left="2180" w:right="2556" w:firstLine="719"/>
        <w:jc w:val="left"/>
        <w:rPr>
          <w:sz w:val="36"/>
        </w:rPr>
      </w:pPr>
      <w:r>
        <w:rPr>
          <w:sz w:val="36"/>
        </w:rPr>
        <w:t>项目经理部需根据已编制且经业主、监理工程师确认的施工总进度计</w:t>
      </w:r>
      <w:r>
        <w:rPr>
          <w:spacing w:val="-1"/>
          <w:sz w:val="36"/>
        </w:rPr>
        <w:t>划，并结合实际情况编制详细的劳动力、苗木及草皮、机具设备的周、日需用计</w:t>
      </w:r>
      <w:r>
        <w:rPr>
          <w:spacing w:val="-12"/>
          <w:sz w:val="36"/>
        </w:rPr>
        <w:t>划，并绘制劳动力需用动态图，制定日作业卡，明确次日要进行的各项具体工作</w:t>
      </w:r>
      <w:r>
        <w:rPr>
          <w:spacing w:val="-11"/>
          <w:sz w:val="36"/>
        </w:rPr>
        <w:t xml:space="preserve">和要求。每日下午 </w:t>
      </w:r>
      <w:r>
        <w:rPr>
          <w:sz w:val="36"/>
        </w:rPr>
        <w:t>5 时将作业卡分发给各部门负责跟踪检查，针对进度滞后于</w:t>
      </w:r>
      <w:r>
        <w:rPr>
          <w:spacing w:val="-10"/>
          <w:sz w:val="36"/>
        </w:rPr>
        <w:t>计划的情况通过调整作业计划，合理资源配置，增添作业人员和设备等办法来保</w:t>
      </w:r>
      <w:r>
        <w:rPr>
          <w:spacing w:val="-17"/>
          <w:sz w:val="36"/>
        </w:rPr>
        <w:t>证计划实施所需的施工条件和资源得到满足，使施工进度始终与计划保持动态平衡，确保合同工期目标的最终实现。</w:t>
      </w:r>
    </w:p>
    <w:p>
      <w:pPr>
        <w:pStyle w:val="ListParagraph"/>
        <w:numPr>
          <w:ilvl w:val="0"/>
          <w:numId w:val="9"/>
        </w:numPr>
        <w:tabs>
          <w:tab w:val="left" w:pos="3640"/>
        </w:tabs>
        <w:spacing w:before="0" w:after="0" w:line="417" w:lineRule="auto"/>
        <w:ind w:left="2180" w:right="2697" w:firstLine="539"/>
        <w:jc w:val="left"/>
        <w:rPr>
          <w:sz w:val="36"/>
        </w:rPr>
      </w:pPr>
      <w:r>
        <w:rPr>
          <w:spacing w:val="-10"/>
          <w:sz w:val="36"/>
        </w:rPr>
        <w:t>建立周例会制度，及时解决施工中出现的问题，力求把阻滞进度的各</w:t>
      </w:r>
      <w:r>
        <w:rPr>
          <w:spacing w:val="-4"/>
          <w:sz w:val="36"/>
        </w:rPr>
        <w:t>种因素消除在萌芽状态之中。</w:t>
      </w:r>
    </w:p>
    <w:p>
      <w:pPr>
        <w:pStyle w:val="ListParagraph"/>
        <w:numPr>
          <w:ilvl w:val="0"/>
          <w:numId w:val="9"/>
        </w:numPr>
        <w:tabs>
          <w:tab w:val="left" w:pos="3640"/>
        </w:tabs>
        <w:spacing w:before="0" w:after="0" w:line="417" w:lineRule="auto"/>
        <w:ind w:left="2180" w:right="2540" w:firstLine="539"/>
        <w:jc w:val="left"/>
        <w:rPr>
          <w:sz w:val="36"/>
        </w:rPr>
      </w:pPr>
      <w:r>
        <w:rPr>
          <w:spacing w:val="-1"/>
          <w:sz w:val="36"/>
        </w:rPr>
        <w:t>加强冬、夏季施工管理，采取相应技术组织措施，为确保工期质量目标</w:t>
      </w:r>
      <w:r>
        <w:rPr>
          <w:sz w:val="36"/>
        </w:rPr>
        <w:t>提供保证。</w:t>
      </w:r>
    </w:p>
    <w:p>
      <w:pPr>
        <w:spacing w:after="0" w:line="417" w:lineRule="auto"/>
        <w:jc w:val="left"/>
        <w:rPr>
          <w:sz w:val="36"/>
        </w:rPr>
        <w:sectPr>
          <w:headerReference w:type="default" r:id="rId28"/>
          <w:footerReference w:type="default" r:id="rId29"/>
          <w:pgSz w:w="17860" w:h="25260"/>
          <w:pgMar w:top="1380" w:right="0" w:bottom="2020" w:left="520" w:header="1083" w:footer="1831"/>
          <w:pgNumType w:start="12"/>
          <w:cols w:space="708"/>
        </w:sectPr>
      </w:pPr>
    </w:p>
    <w:p>
      <w:pPr>
        <w:pStyle w:val="BodyText"/>
        <w:spacing w:before="2"/>
        <w:rPr>
          <w:sz w:val="11"/>
        </w:rPr>
      </w:pPr>
    </w:p>
    <w:p>
      <w:pPr>
        <w:pStyle w:val="Heading1"/>
      </w:pPr>
      <w:bookmarkStart w:id="2" w:name="_TOC_250007"/>
      <w:bookmarkEnd w:id="2"/>
      <w:r>
        <w:t>笫五章、工程质量管理体系及保证措施</w:t>
      </w:r>
    </w:p>
    <w:p>
      <w:pPr>
        <w:pStyle w:val="BodyText"/>
        <w:spacing w:before="454" w:line="417" w:lineRule="auto"/>
        <w:ind w:left="2180" w:right="2556" w:firstLine="719"/>
      </w:pPr>
      <w:r>
        <w:drawing>
          <wp:anchor distT="0" distB="0" distL="0" distR="0" simplePos="0" relativeHeight="251660288" behindDoc="1" locked="0" layoutInCell="1" allowOverlap="1">
            <wp:simplePos x="0" y="0"/>
            <wp:positionH relativeFrom="page">
              <wp:posOffset>3543300</wp:posOffset>
            </wp:positionH>
            <wp:positionV relativeFrom="paragraph">
              <wp:posOffset>1221891</wp:posOffset>
            </wp:positionV>
            <wp:extent cx="711200" cy="381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30" cstate="print"/>
                    <a:stretch>
                      <a:fillRect/>
                    </a:stretch>
                  </pic:blipFill>
                  <pic:spPr>
                    <a:xfrm>
                      <a:off x="0" y="0"/>
                      <a:ext cx="711200" cy="38100"/>
                    </a:xfrm>
                    <a:prstGeom prst="rect">
                      <a:avLst/>
                    </a:prstGeom>
                  </pic:spPr>
                </pic:pic>
              </a:graphicData>
            </a:graphic>
          </wp:anchor>
        </w:drawing>
      </w:r>
      <w:r>
        <w:rPr>
          <w:spacing w:val="-8"/>
        </w:rPr>
        <w:t>为了确保本合同标段工程目标的实现，我公司将列为重点项目，由公司富有经验的园林工程师</w:t>
      </w:r>
      <w:r>
        <w:rPr>
          <w:b/>
          <w:spacing w:val="-4"/>
        </w:rPr>
        <w:t>胡清坡</w:t>
      </w:r>
      <w:r>
        <w:rPr>
          <w:spacing w:val="-14"/>
        </w:rPr>
        <w:t>为项目经理，深入现场检查工作。我们将全力协助项目</w:t>
      </w:r>
      <w:r>
        <w:rPr>
          <w:spacing w:val="-15"/>
        </w:rPr>
        <w:t xml:space="preserve">部搞好各项目标实施的安全、质量控制工作，本公司将以安全第一、控制为主， </w:t>
      </w:r>
      <w:r>
        <w:t>加强事前、事中、事后的控制工作，确保工程顺利实施。</w:t>
      </w:r>
    </w:p>
    <w:p>
      <w:pPr>
        <w:pStyle w:val="Heading2"/>
        <w:spacing w:line="517" w:lineRule="exact"/>
      </w:pPr>
      <w:r>
        <w:t>一、工程质量管理体系</w:t>
      </w:r>
    </w:p>
    <w:p>
      <w:pPr>
        <w:pStyle w:val="BodyText"/>
        <w:spacing w:before="418"/>
        <w:ind w:left="2180"/>
        <w:rPr>
          <w:b/>
        </w:rPr>
      </w:pPr>
      <w:r>
        <w:pict>
          <v:group id="_x0000_s1045" style="width:693pt;height:820pt;margin-top:42.37pt;margin-left:76pt;mso-position-horizontal-relative:page;position:absolute;z-index:-251655168" coordorigin="1520,847" coordsize="13860,16400">
            <v:shape id="_x0000_s1046" type="#_x0000_t75" style="width:4880;height:640;left:6020;position:absolute;top:1947" stroked="f">
              <v:imagedata r:id="rId31" o:title=""/>
            </v:shape>
            <v:shape id="_x0000_s1047" type="#_x0000_t75" style="width:4880;height:1040;left:6020;position:absolute;top:847" stroked="f">
              <v:imagedata r:id="rId32" o:title=""/>
            </v:shape>
            <v:shape id="_x0000_s1048" type="#_x0000_t75" style="width:13860;height:14600;left:1520;position:absolute;top:2647" stroked="f">
              <v:imagedata r:id="rId33" o:title=""/>
            </v:shape>
          </v:group>
        </w:pict>
      </w:r>
      <w:r>
        <w:rPr>
          <w:w w:val="95"/>
        </w:rPr>
        <w:t>本标段工程质量目标：</w:t>
      </w:r>
      <w:r>
        <w:rPr>
          <w:b/>
          <w:w w:val="95"/>
        </w:rPr>
        <w:t>合格</w:t>
      </w:r>
    </w:p>
    <w:p>
      <w:pPr>
        <w:pStyle w:val="BodyText"/>
        <w:spacing w:line="413" w:lineRule="exact"/>
        <w:ind w:right="1490"/>
        <w:jc w:val="center"/>
        <w:rPr>
          <w:rFonts w:ascii="宋体" w:eastAsia="宋体" w:hint="eastAsia"/>
        </w:rPr>
      </w:pPr>
      <w:r>
        <w:rPr>
          <w:rFonts w:ascii="宋体" w:eastAsia="宋体" w:hint="eastAsia"/>
        </w:rPr>
        <w:t>项目经理</w:t>
      </w:r>
    </w:p>
    <w:p>
      <w:pPr>
        <w:pStyle w:val="BodyText"/>
        <w:rPr>
          <w:rFonts w:ascii="宋体"/>
          <w:sz w:val="20"/>
        </w:rPr>
      </w:pPr>
    </w:p>
    <w:p>
      <w:pPr>
        <w:pStyle w:val="BodyText"/>
        <w:rPr>
          <w:rFonts w:ascii="宋体"/>
          <w:sz w:val="23"/>
        </w:rPr>
      </w:pPr>
    </w:p>
    <w:p>
      <w:pPr>
        <w:pStyle w:val="BodyText"/>
        <w:spacing w:before="50"/>
        <w:ind w:right="1490"/>
        <w:jc w:val="center"/>
        <w:rPr>
          <w:rFonts w:ascii="宋体" w:eastAsia="宋体" w:hint="eastAsia"/>
        </w:rPr>
      </w:pPr>
      <w:r>
        <w:rPr>
          <w:rFonts w:ascii="宋体" w:eastAsia="宋体" w:hint="eastAsia"/>
        </w:rPr>
        <w:t>总工程师</w: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rPr>
          <w:rFonts w:ascii="宋体"/>
          <w:sz w:val="16"/>
        </w:rPr>
      </w:pPr>
    </w:p>
    <w:p>
      <w:pPr>
        <w:spacing w:after="0"/>
        <w:rPr>
          <w:rFonts w:ascii="宋体"/>
          <w:sz w:val="16"/>
        </w:rPr>
        <w:sectPr>
          <w:headerReference w:type="default" r:id="rId34"/>
          <w:footerReference w:type="default" r:id="rId35"/>
          <w:pgSz w:w="17860" w:h="25260"/>
          <w:pgMar w:top="1380" w:right="0" w:bottom="280" w:left="520" w:header="1083" w:footer="0"/>
          <w:pgNumType w:start="13"/>
          <w:cols w:space="708"/>
        </w:sectPr>
      </w:pPr>
    </w:p>
    <w:p>
      <w:pPr>
        <w:tabs>
          <w:tab w:val="left" w:pos="2205"/>
        </w:tabs>
        <w:spacing w:before="91" w:line="218" w:lineRule="auto"/>
        <w:ind w:left="1572" w:right="38" w:firstLine="0"/>
        <w:jc w:val="left"/>
        <w:rPr>
          <w:rFonts w:ascii="宋体" w:eastAsia="宋体" w:hint="eastAsia"/>
          <w:sz w:val="31"/>
        </w:rPr>
      </w:pPr>
      <w:r>
        <w:rPr>
          <w:rFonts w:ascii="宋体" w:eastAsia="宋体" w:hint="eastAsia"/>
          <w:sz w:val="31"/>
        </w:rPr>
        <w:t>物</w:t>
        <w:tab/>
      </w:r>
      <w:r>
        <w:rPr>
          <w:rFonts w:ascii="宋体" w:eastAsia="宋体" w:hint="eastAsia"/>
          <w:spacing w:val="-17"/>
          <w:sz w:val="31"/>
        </w:rPr>
        <w:t>资</w:t>
      </w:r>
      <w:r>
        <w:rPr>
          <w:rFonts w:ascii="宋体" w:eastAsia="宋体" w:hint="eastAsia"/>
          <w:sz w:val="31"/>
        </w:rPr>
        <w:t>供应</w:t>
      </w:r>
      <w:r>
        <w:rPr>
          <w:rFonts w:ascii="宋体" w:eastAsia="宋体" w:hint="eastAsia"/>
          <w:spacing w:val="-18"/>
          <w:sz w:val="31"/>
        </w:rPr>
        <w:t>处</w:t>
      </w:r>
    </w:p>
    <w:p>
      <w:pPr>
        <w:tabs>
          <w:tab w:val="left" w:pos="2205"/>
        </w:tabs>
        <w:spacing w:before="91" w:line="218" w:lineRule="auto"/>
        <w:ind w:left="1572" w:right="38" w:firstLine="0"/>
        <w:jc w:val="left"/>
        <w:rPr>
          <w:rFonts w:ascii="宋体" w:eastAsia="宋体" w:hint="eastAsia"/>
          <w:sz w:val="31"/>
        </w:rPr>
      </w:pPr>
      <w:r>
        <w:br w:type="column"/>
      </w:r>
      <w:r>
        <w:rPr>
          <w:rFonts w:ascii="宋体" w:eastAsia="宋体" w:hint="eastAsia"/>
          <w:sz w:val="31"/>
        </w:rPr>
        <w:t>中</w:t>
        <w:tab/>
      </w:r>
      <w:r>
        <w:rPr>
          <w:rFonts w:ascii="宋体" w:eastAsia="宋体" w:hint="eastAsia"/>
          <w:spacing w:val="-17"/>
          <w:sz w:val="31"/>
        </w:rPr>
        <w:t>心</w:t>
      </w:r>
      <w:r>
        <w:rPr>
          <w:rFonts w:ascii="宋体" w:eastAsia="宋体" w:hint="eastAsia"/>
          <w:sz w:val="31"/>
        </w:rPr>
        <w:t>试验</w:t>
      </w:r>
      <w:r>
        <w:rPr>
          <w:rFonts w:ascii="宋体" w:eastAsia="宋体" w:hint="eastAsia"/>
          <w:spacing w:val="-18"/>
          <w:sz w:val="31"/>
        </w:rPr>
        <w:t>室</w:t>
      </w:r>
    </w:p>
    <w:p>
      <w:pPr>
        <w:tabs>
          <w:tab w:val="left" w:pos="2206"/>
        </w:tabs>
        <w:spacing w:before="124" w:line="341" w:lineRule="exact"/>
        <w:ind w:left="1572" w:right="0" w:firstLine="0"/>
        <w:jc w:val="left"/>
        <w:rPr>
          <w:rFonts w:ascii="宋体" w:eastAsia="宋体" w:hint="eastAsia"/>
          <w:sz w:val="31"/>
        </w:rPr>
      </w:pPr>
      <w:r>
        <w:br w:type="column"/>
      </w:r>
      <w:r>
        <w:rPr>
          <w:rFonts w:ascii="宋体" w:eastAsia="宋体" w:hint="eastAsia"/>
          <w:sz w:val="31"/>
        </w:rPr>
        <w:t>工</w:t>
        <w:tab/>
        <w:t>程</w:t>
      </w:r>
    </w:p>
    <w:p>
      <w:pPr>
        <w:tabs>
          <w:tab w:val="left" w:pos="5378"/>
        </w:tabs>
        <w:spacing w:before="0" w:line="194" w:lineRule="auto"/>
        <w:ind w:left="1572" w:right="0" w:firstLine="0"/>
        <w:jc w:val="left"/>
        <w:rPr>
          <w:rFonts w:ascii="宋体" w:eastAsia="宋体" w:hint="eastAsia"/>
          <w:sz w:val="31"/>
        </w:rPr>
      </w:pPr>
      <w:r>
        <w:rPr>
          <w:rFonts w:ascii="宋体" w:eastAsia="宋体" w:hint="eastAsia"/>
          <w:position w:val="-17"/>
          <w:sz w:val="31"/>
        </w:rPr>
        <w:t>技术处</w:t>
        <w:tab/>
      </w:r>
      <w:r>
        <w:rPr>
          <w:rFonts w:ascii="宋体" w:eastAsia="宋体" w:hint="eastAsia"/>
          <w:sz w:val="31"/>
        </w:rPr>
        <w:t>质检处</w:t>
      </w:r>
    </w:p>
    <w:p>
      <w:pPr>
        <w:spacing w:after="0" w:line="194" w:lineRule="auto"/>
        <w:jc w:val="left"/>
        <w:rPr>
          <w:rFonts w:ascii="宋体" w:eastAsia="宋体" w:hint="eastAsia"/>
          <w:sz w:val="31"/>
        </w:rPr>
        <w:sectPr>
          <w:headerReference w:type="default" r:id="rId36"/>
          <w:footerReference w:type="default" r:id="rId37"/>
          <w:type w:val="continuous"/>
          <w:pgSz w:w="17860" w:h="25260"/>
          <w:pgMar w:top="1260" w:right="0" w:bottom="2020" w:left="520" w:header="708" w:footer="708"/>
          <w:pgNumType w:start="14"/>
          <w:cols w:num="3" w:space="708" w:equalWidth="0">
            <w:col w:w="2563" w:space="1239"/>
            <w:col w:w="2563" w:space="1239"/>
            <w:col w:w="9736" w:space="0"/>
          </w:cols>
        </w:sectPr>
      </w:pPr>
    </w:p>
    <w:p>
      <w:pPr>
        <w:pStyle w:val="BodyText"/>
        <w:rPr>
          <w:rFonts w:ascii="宋体"/>
          <w:sz w:val="20"/>
        </w:rPr>
      </w:pPr>
    </w:p>
    <w:p>
      <w:pPr>
        <w:pStyle w:val="BodyText"/>
        <w:spacing w:before="7"/>
        <w:rPr>
          <w:rFonts w:ascii="宋体"/>
          <w:sz w:val="25"/>
        </w:rPr>
      </w:pPr>
    </w:p>
    <w:p>
      <w:pPr>
        <w:spacing w:before="57" w:line="347" w:lineRule="exact"/>
        <w:ind w:left="1446" w:right="0" w:firstLine="0"/>
        <w:jc w:val="left"/>
        <w:rPr>
          <w:rFonts w:ascii="宋体" w:eastAsia="宋体" w:hint="eastAsia"/>
          <w:sz w:val="30"/>
        </w:rPr>
      </w:pPr>
      <w:r>
        <w:rPr>
          <w:rFonts w:ascii="宋体" w:eastAsia="宋体" w:hint="eastAsia"/>
          <w:sz w:val="30"/>
        </w:rPr>
        <w:t>材料设备</w:t>
      </w:r>
    </w:p>
    <w:p>
      <w:pPr>
        <w:tabs>
          <w:tab w:val="left" w:pos="6411"/>
          <w:tab w:val="left" w:pos="7045"/>
        </w:tabs>
        <w:spacing w:before="0" w:line="487" w:lineRule="exact"/>
        <w:ind w:left="1446" w:right="0" w:firstLine="0"/>
        <w:jc w:val="left"/>
        <w:rPr>
          <w:rFonts w:ascii="宋体" w:eastAsia="宋体" w:hint="eastAsia"/>
          <w:sz w:val="31"/>
        </w:rPr>
      </w:pPr>
      <w:r>
        <w:rPr>
          <w:rFonts w:ascii="宋体" w:eastAsia="宋体" w:hint="eastAsia"/>
          <w:sz w:val="30"/>
        </w:rPr>
        <w:t>采集供应</w:t>
        <w:tab/>
      </w:r>
      <w:r>
        <w:rPr>
          <w:rFonts w:ascii="宋体" w:eastAsia="宋体" w:hint="eastAsia"/>
          <w:position w:val="13"/>
          <w:sz w:val="31"/>
        </w:rPr>
        <w:t>退</w:t>
        <w:tab/>
        <w:t>货</w:t>
      </w:r>
    </w:p>
    <w:p>
      <w:pPr>
        <w:pStyle w:val="BodyText"/>
        <w:rPr>
          <w:rFonts w:ascii="宋体"/>
          <w:sz w:val="20"/>
        </w:rPr>
      </w:pPr>
    </w:p>
    <w:p>
      <w:pPr>
        <w:pStyle w:val="BodyText"/>
        <w:rPr>
          <w:rFonts w:ascii="宋体"/>
          <w:sz w:val="20"/>
        </w:rPr>
      </w:pPr>
    </w:p>
    <w:p>
      <w:pPr>
        <w:pStyle w:val="BodyText"/>
        <w:spacing w:before="4"/>
        <w:rPr>
          <w:rFonts w:ascii="宋体"/>
          <w:sz w:val="15"/>
        </w:rPr>
      </w:pPr>
    </w:p>
    <w:tbl>
      <w:tblPr>
        <w:tblStyle w:val="TableNormal0"/>
        <w:tblW w:w="0" w:type="auto"/>
        <w:jc w:val="left"/>
        <w:tblInd w:w="57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70"/>
        <w:gridCol w:w="2881"/>
        <w:gridCol w:w="529"/>
      </w:tblGrid>
      <w:tr>
        <w:tblPrEx>
          <w:tblW w:w="0" w:type="auto"/>
          <w:jc w:val="left"/>
          <w:tblInd w:w="57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7"/>
          <w:jc w:val="left"/>
        </w:trPr>
        <w:tc>
          <w:tcPr>
            <w:tcW w:w="4670" w:type="dxa"/>
          </w:tcPr>
          <w:p>
            <w:pPr>
              <w:pStyle w:val="TableParagraph"/>
              <w:spacing w:line="359" w:lineRule="exact"/>
              <w:ind w:right="2350"/>
              <w:rPr>
                <w:rFonts w:ascii="宋体" w:eastAsia="宋体" w:hint="eastAsia"/>
                <w:sz w:val="31"/>
              </w:rPr>
            </w:pPr>
            <w:r>
              <w:rPr>
                <w:rFonts w:ascii="宋体" w:eastAsia="宋体" w:hint="eastAsia"/>
                <w:sz w:val="31"/>
              </w:rPr>
              <w:t>提出开工申请</w:t>
            </w:r>
          </w:p>
        </w:tc>
        <w:tc>
          <w:tcPr>
            <w:tcW w:w="2881" w:type="dxa"/>
          </w:tcPr>
          <w:p>
            <w:pPr>
              <w:pStyle w:val="TableParagraph"/>
              <w:spacing w:line="359" w:lineRule="exact"/>
              <w:ind w:right="160"/>
              <w:jc w:val="right"/>
              <w:rPr>
                <w:rFonts w:ascii="宋体" w:eastAsia="宋体" w:hint="eastAsia"/>
                <w:sz w:val="31"/>
              </w:rPr>
            </w:pPr>
            <w:r>
              <w:rPr>
                <w:rFonts w:ascii="宋体" w:eastAsia="宋体" w:hint="eastAsia"/>
                <w:w w:val="102"/>
                <w:sz w:val="31"/>
              </w:rPr>
              <w:t>返</w:t>
            </w:r>
          </w:p>
        </w:tc>
        <w:tc>
          <w:tcPr>
            <w:tcW w:w="529" w:type="dxa"/>
          </w:tcPr>
          <w:p>
            <w:pPr>
              <w:pStyle w:val="TableParagraph"/>
              <w:spacing w:line="359" w:lineRule="exact"/>
              <w:ind w:left="95"/>
              <w:rPr>
                <w:rFonts w:ascii="宋体" w:eastAsia="宋体" w:hint="eastAsia"/>
                <w:sz w:val="31"/>
              </w:rPr>
            </w:pPr>
            <w:r>
              <w:rPr>
                <w:rFonts w:ascii="宋体" w:eastAsia="宋体" w:hint="eastAsia"/>
                <w:w w:val="102"/>
                <w:sz w:val="31"/>
              </w:rPr>
              <w:t>工</w:t>
            </w:r>
          </w:p>
        </w:tc>
      </w:tr>
      <w:tr>
        <w:tblPrEx>
          <w:tblW w:w="0" w:type="auto"/>
          <w:jc w:val="left"/>
          <w:tblInd w:w="5739" w:type="dxa"/>
          <w:tblLayout w:type="fixed"/>
          <w:tblCellMar>
            <w:top w:w="0" w:type="dxa"/>
            <w:left w:w="0" w:type="dxa"/>
            <w:bottom w:w="0" w:type="dxa"/>
            <w:right w:w="0" w:type="dxa"/>
          </w:tblCellMar>
          <w:tblLook w:val="01E0"/>
        </w:tblPrEx>
        <w:trPr>
          <w:trHeight w:val="997"/>
          <w:jc w:val="left"/>
        </w:trPr>
        <w:tc>
          <w:tcPr>
            <w:tcW w:w="4670" w:type="dxa"/>
          </w:tcPr>
          <w:p>
            <w:pPr>
              <w:pStyle w:val="TableParagraph"/>
              <w:spacing w:before="7"/>
              <w:jc w:val="left"/>
              <w:rPr>
                <w:rFonts w:ascii="宋体"/>
                <w:sz w:val="23"/>
              </w:rPr>
            </w:pPr>
          </w:p>
          <w:p>
            <w:pPr>
              <w:pStyle w:val="TableParagraph"/>
              <w:ind w:right="2350"/>
              <w:rPr>
                <w:rFonts w:ascii="宋体" w:eastAsia="宋体" w:hint="eastAsia"/>
                <w:sz w:val="31"/>
              </w:rPr>
            </w:pPr>
            <w:r>
              <w:rPr>
                <w:rFonts w:ascii="宋体" w:eastAsia="宋体" w:hint="eastAsia"/>
                <w:sz w:val="31"/>
              </w:rPr>
              <w:t>监理审批</w:t>
            </w:r>
          </w:p>
        </w:tc>
        <w:tc>
          <w:tcPr>
            <w:tcW w:w="2881" w:type="dxa"/>
          </w:tcPr>
          <w:p>
            <w:pPr>
              <w:pStyle w:val="TableParagraph"/>
              <w:jc w:val="left"/>
              <w:rPr>
                <w:rFonts w:ascii="Times New Roman"/>
                <w:sz w:val="34"/>
              </w:rPr>
            </w:pPr>
          </w:p>
        </w:tc>
        <w:tc>
          <w:tcPr>
            <w:tcW w:w="529" w:type="dxa"/>
          </w:tcPr>
          <w:p>
            <w:pPr>
              <w:pStyle w:val="TableParagraph"/>
              <w:jc w:val="left"/>
              <w:rPr>
                <w:rFonts w:ascii="Times New Roman"/>
                <w:sz w:val="34"/>
              </w:rPr>
            </w:pPr>
          </w:p>
        </w:tc>
      </w:tr>
      <w:tr>
        <w:tblPrEx>
          <w:tblW w:w="0" w:type="auto"/>
          <w:jc w:val="left"/>
          <w:tblInd w:w="5739" w:type="dxa"/>
          <w:tblLayout w:type="fixed"/>
          <w:tblCellMar>
            <w:top w:w="0" w:type="dxa"/>
            <w:left w:w="0" w:type="dxa"/>
            <w:bottom w:w="0" w:type="dxa"/>
            <w:right w:w="0" w:type="dxa"/>
          </w:tblCellMar>
          <w:tblLook w:val="01E0"/>
        </w:tblPrEx>
        <w:trPr>
          <w:trHeight w:val="2008"/>
          <w:jc w:val="left"/>
        </w:trPr>
        <w:tc>
          <w:tcPr>
            <w:tcW w:w="4670" w:type="dxa"/>
          </w:tcPr>
          <w:p>
            <w:pPr>
              <w:pStyle w:val="TableParagraph"/>
              <w:spacing w:before="7"/>
              <w:jc w:val="left"/>
              <w:rPr>
                <w:rFonts w:ascii="宋体"/>
                <w:sz w:val="23"/>
              </w:rPr>
            </w:pPr>
          </w:p>
          <w:p>
            <w:pPr>
              <w:pStyle w:val="TableParagraph"/>
              <w:ind w:right="2350"/>
              <w:rPr>
                <w:rFonts w:ascii="宋体" w:eastAsia="宋体" w:hint="eastAsia"/>
                <w:sz w:val="31"/>
              </w:rPr>
            </w:pPr>
            <w:r>
              <w:rPr>
                <w:rFonts w:ascii="宋体" w:eastAsia="宋体" w:hint="eastAsia"/>
                <w:sz w:val="31"/>
              </w:rPr>
              <w:t>每道工序开工</w:t>
            </w:r>
          </w:p>
          <w:p>
            <w:pPr>
              <w:pStyle w:val="TableParagraph"/>
              <w:spacing w:before="11"/>
              <w:jc w:val="left"/>
              <w:rPr>
                <w:rFonts w:ascii="宋体"/>
                <w:sz w:val="46"/>
              </w:rPr>
            </w:pPr>
          </w:p>
          <w:p>
            <w:pPr>
              <w:pStyle w:val="TableParagraph"/>
              <w:tabs>
                <w:tab w:val="left" w:pos="633"/>
              </w:tabs>
              <w:ind w:right="2379"/>
              <w:rPr>
                <w:rFonts w:ascii="宋体" w:eastAsia="宋体" w:hint="eastAsia"/>
                <w:sz w:val="31"/>
              </w:rPr>
            </w:pPr>
            <w:r>
              <w:rPr>
                <w:rFonts w:ascii="宋体" w:eastAsia="宋体" w:hint="eastAsia"/>
                <w:sz w:val="31"/>
              </w:rPr>
              <w:t>自</w:t>
              <w:tab/>
              <w:t>检</w:t>
            </w:r>
          </w:p>
        </w:tc>
        <w:tc>
          <w:tcPr>
            <w:tcW w:w="2881" w:type="dxa"/>
          </w:tcPr>
          <w:p>
            <w:pPr>
              <w:pStyle w:val="TableParagraph"/>
              <w:spacing w:before="10"/>
              <w:jc w:val="left"/>
              <w:rPr>
                <w:rFonts w:ascii="宋体"/>
                <w:sz w:val="25"/>
              </w:rPr>
            </w:pPr>
          </w:p>
          <w:p>
            <w:pPr>
              <w:pStyle w:val="TableParagraph"/>
              <w:spacing w:before="1"/>
              <w:ind w:right="153"/>
              <w:jc w:val="right"/>
              <w:rPr>
                <w:rFonts w:ascii="宋体" w:eastAsia="宋体" w:hint="eastAsia"/>
                <w:sz w:val="31"/>
              </w:rPr>
            </w:pPr>
            <w:r>
              <w:rPr>
                <w:rFonts w:ascii="宋体" w:eastAsia="宋体" w:hint="eastAsia"/>
                <w:w w:val="102"/>
                <w:sz w:val="31"/>
              </w:rPr>
              <w:t>返</w:t>
            </w:r>
          </w:p>
        </w:tc>
        <w:tc>
          <w:tcPr>
            <w:tcW w:w="529" w:type="dxa"/>
          </w:tcPr>
          <w:p>
            <w:pPr>
              <w:pStyle w:val="TableParagraph"/>
              <w:spacing w:before="10"/>
              <w:jc w:val="left"/>
              <w:rPr>
                <w:rFonts w:ascii="宋体"/>
                <w:sz w:val="25"/>
              </w:rPr>
            </w:pPr>
          </w:p>
          <w:p>
            <w:pPr>
              <w:pStyle w:val="TableParagraph"/>
              <w:spacing w:before="1"/>
              <w:ind w:left="110"/>
              <w:rPr>
                <w:rFonts w:ascii="宋体" w:eastAsia="宋体" w:hint="eastAsia"/>
                <w:sz w:val="31"/>
              </w:rPr>
            </w:pPr>
            <w:r>
              <w:rPr>
                <w:rFonts w:ascii="宋体" w:eastAsia="宋体" w:hint="eastAsia"/>
                <w:w w:val="102"/>
                <w:sz w:val="31"/>
              </w:rPr>
              <w:t>工</w:t>
            </w:r>
          </w:p>
        </w:tc>
      </w:tr>
      <w:tr>
        <w:tblPrEx>
          <w:tblW w:w="0" w:type="auto"/>
          <w:jc w:val="left"/>
          <w:tblInd w:w="5739" w:type="dxa"/>
          <w:tblLayout w:type="fixed"/>
          <w:tblCellMar>
            <w:top w:w="0" w:type="dxa"/>
            <w:left w:w="0" w:type="dxa"/>
            <w:bottom w:w="0" w:type="dxa"/>
            <w:right w:w="0" w:type="dxa"/>
          </w:tblCellMar>
          <w:tblLook w:val="01E0"/>
        </w:tblPrEx>
        <w:trPr>
          <w:trHeight w:val="1011"/>
          <w:jc w:val="left"/>
        </w:trPr>
        <w:tc>
          <w:tcPr>
            <w:tcW w:w="4670" w:type="dxa"/>
          </w:tcPr>
          <w:p>
            <w:pPr>
              <w:pStyle w:val="TableParagraph"/>
              <w:spacing w:before="9"/>
              <w:jc w:val="left"/>
              <w:rPr>
                <w:rFonts w:ascii="宋体"/>
                <w:sz w:val="24"/>
              </w:rPr>
            </w:pPr>
          </w:p>
          <w:p>
            <w:pPr>
              <w:pStyle w:val="TableParagraph"/>
              <w:ind w:right="2350"/>
              <w:rPr>
                <w:rFonts w:ascii="宋体" w:eastAsia="宋体" w:hint="eastAsia"/>
                <w:sz w:val="31"/>
              </w:rPr>
            </w:pPr>
            <w:r>
              <w:rPr>
                <w:rFonts w:ascii="宋体" w:eastAsia="宋体" w:hint="eastAsia"/>
                <w:sz w:val="31"/>
              </w:rPr>
              <w:t>监理工程师检查</w:t>
            </w:r>
          </w:p>
        </w:tc>
        <w:tc>
          <w:tcPr>
            <w:tcW w:w="2881" w:type="dxa"/>
          </w:tcPr>
          <w:p>
            <w:pPr>
              <w:pStyle w:val="TableParagraph"/>
              <w:jc w:val="left"/>
              <w:rPr>
                <w:rFonts w:ascii="Times New Roman"/>
                <w:sz w:val="34"/>
              </w:rPr>
            </w:pPr>
          </w:p>
        </w:tc>
        <w:tc>
          <w:tcPr>
            <w:tcW w:w="529" w:type="dxa"/>
          </w:tcPr>
          <w:p>
            <w:pPr>
              <w:pStyle w:val="TableParagraph"/>
              <w:jc w:val="left"/>
              <w:rPr>
                <w:rFonts w:ascii="Times New Roman"/>
                <w:sz w:val="34"/>
              </w:rPr>
            </w:pPr>
          </w:p>
        </w:tc>
      </w:tr>
      <w:tr>
        <w:tblPrEx>
          <w:tblW w:w="0" w:type="auto"/>
          <w:jc w:val="left"/>
          <w:tblInd w:w="5739" w:type="dxa"/>
          <w:tblLayout w:type="fixed"/>
          <w:tblCellMar>
            <w:top w:w="0" w:type="dxa"/>
            <w:left w:w="0" w:type="dxa"/>
            <w:bottom w:w="0" w:type="dxa"/>
            <w:right w:w="0" w:type="dxa"/>
          </w:tblCellMar>
          <w:tblLook w:val="01E0"/>
        </w:tblPrEx>
        <w:trPr>
          <w:trHeight w:val="1098"/>
          <w:jc w:val="left"/>
        </w:trPr>
        <w:tc>
          <w:tcPr>
            <w:tcW w:w="4670" w:type="dxa"/>
          </w:tcPr>
          <w:p>
            <w:pPr>
              <w:pStyle w:val="TableParagraph"/>
              <w:spacing w:before="8"/>
              <w:jc w:val="left"/>
              <w:rPr>
                <w:rFonts w:ascii="宋体"/>
                <w:sz w:val="23"/>
              </w:rPr>
            </w:pPr>
          </w:p>
          <w:p>
            <w:pPr>
              <w:pStyle w:val="TableParagraph"/>
              <w:ind w:right="2350"/>
              <w:rPr>
                <w:rFonts w:ascii="宋体" w:eastAsia="宋体" w:hint="eastAsia"/>
                <w:sz w:val="31"/>
              </w:rPr>
            </w:pPr>
            <w:r>
              <w:rPr>
                <w:rFonts w:ascii="宋体" w:eastAsia="宋体" w:hint="eastAsia"/>
                <w:sz w:val="31"/>
              </w:rPr>
              <w:t>中间检查</w:t>
            </w:r>
          </w:p>
        </w:tc>
        <w:tc>
          <w:tcPr>
            <w:tcW w:w="2881" w:type="dxa"/>
          </w:tcPr>
          <w:p>
            <w:pPr>
              <w:pStyle w:val="TableParagraph"/>
              <w:spacing w:before="8"/>
              <w:jc w:val="left"/>
              <w:rPr>
                <w:rFonts w:ascii="宋体"/>
                <w:sz w:val="23"/>
              </w:rPr>
            </w:pPr>
          </w:p>
          <w:p>
            <w:pPr>
              <w:pStyle w:val="TableParagraph"/>
              <w:ind w:right="153"/>
              <w:jc w:val="right"/>
              <w:rPr>
                <w:rFonts w:ascii="宋体" w:eastAsia="宋体" w:hint="eastAsia"/>
                <w:sz w:val="31"/>
              </w:rPr>
            </w:pPr>
            <w:r>
              <w:rPr>
                <w:rFonts w:ascii="宋体" w:eastAsia="宋体" w:hint="eastAsia"/>
                <w:w w:val="102"/>
                <w:sz w:val="31"/>
              </w:rPr>
              <w:t>返</w:t>
            </w:r>
          </w:p>
        </w:tc>
        <w:tc>
          <w:tcPr>
            <w:tcW w:w="529" w:type="dxa"/>
          </w:tcPr>
          <w:p>
            <w:pPr>
              <w:pStyle w:val="TableParagraph"/>
              <w:spacing w:before="8"/>
              <w:jc w:val="left"/>
              <w:rPr>
                <w:rFonts w:ascii="宋体"/>
                <w:sz w:val="23"/>
              </w:rPr>
            </w:pPr>
          </w:p>
          <w:p>
            <w:pPr>
              <w:pStyle w:val="TableParagraph"/>
              <w:ind w:left="110"/>
              <w:rPr>
                <w:rFonts w:ascii="宋体" w:eastAsia="宋体" w:hint="eastAsia"/>
                <w:sz w:val="31"/>
              </w:rPr>
            </w:pPr>
            <w:r>
              <w:rPr>
                <w:rFonts w:ascii="宋体" w:eastAsia="宋体" w:hint="eastAsia"/>
                <w:w w:val="102"/>
                <w:sz w:val="31"/>
              </w:rPr>
              <w:t>工</w:t>
            </w:r>
          </w:p>
        </w:tc>
      </w:tr>
      <w:tr>
        <w:tblPrEx>
          <w:tblW w:w="0" w:type="auto"/>
          <w:jc w:val="left"/>
          <w:tblInd w:w="5739" w:type="dxa"/>
          <w:tblLayout w:type="fixed"/>
          <w:tblCellMar>
            <w:top w:w="0" w:type="dxa"/>
            <w:left w:w="0" w:type="dxa"/>
            <w:bottom w:w="0" w:type="dxa"/>
            <w:right w:w="0" w:type="dxa"/>
          </w:tblCellMar>
          <w:tblLook w:val="01E0"/>
        </w:tblPrEx>
        <w:trPr>
          <w:trHeight w:val="1097"/>
          <w:jc w:val="left"/>
        </w:trPr>
        <w:tc>
          <w:tcPr>
            <w:tcW w:w="4670" w:type="dxa"/>
          </w:tcPr>
          <w:p>
            <w:pPr>
              <w:pStyle w:val="TableParagraph"/>
              <w:spacing w:before="6"/>
              <w:jc w:val="left"/>
              <w:rPr>
                <w:rFonts w:ascii="宋体"/>
                <w:sz w:val="31"/>
              </w:rPr>
            </w:pPr>
          </w:p>
          <w:p>
            <w:pPr>
              <w:pStyle w:val="TableParagraph"/>
              <w:ind w:right="2350"/>
              <w:rPr>
                <w:rFonts w:ascii="宋体" w:eastAsia="宋体" w:hint="eastAsia"/>
                <w:sz w:val="31"/>
              </w:rPr>
            </w:pPr>
            <w:r>
              <w:rPr>
                <w:rFonts w:ascii="宋体" w:eastAsia="宋体" w:hint="eastAsia"/>
                <w:sz w:val="31"/>
              </w:rPr>
              <w:t>监理工程师检查</w:t>
            </w:r>
          </w:p>
        </w:tc>
        <w:tc>
          <w:tcPr>
            <w:tcW w:w="2881" w:type="dxa"/>
          </w:tcPr>
          <w:p>
            <w:pPr>
              <w:pStyle w:val="TableParagraph"/>
              <w:jc w:val="left"/>
              <w:rPr>
                <w:rFonts w:ascii="Times New Roman"/>
                <w:sz w:val="34"/>
              </w:rPr>
            </w:pPr>
          </w:p>
        </w:tc>
        <w:tc>
          <w:tcPr>
            <w:tcW w:w="529" w:type="dxa"/>
          </w:tcPr>
          <w:p>
            <w:pPr>
              <w:pStyle w:val="TableParagraph"/>
              <w:jc w:val="left"/>
              <w:rPr>
                <w:rFonts w:ascii="Times New Roman"/>
                <w:sz w:val="34"/>
              </w:rPr>
            </w:pPr>
          </w:p>
        </w:tc>
      </w:tr>
      <w:tr>
        <w:tblPrEx>
          <w:tblW w:w="0" w:type="auto"/>
          <w:jc w:val="left"/>
          <w:tblInd w:w="5739" w:type="dxa"/>
          <w:tblLayout w:type="fixed"/>
          <w:tblCellMar>
            <w:top w:w="0" w:type="dxa"/>
            <w:left w:w="0" w:type="dxa"/>
            <w:bottom w:w="0" w:type="dxa"/>
            <w:right w:w="0" w:type="dxa"/>
          </w:tblCellMar>
          <w:tblLook w:val="01E0"/>
        </w:tblPrEx>
        <w:trPr>
          <w:trHeight w:val="1096"/>
          <w:jc w:val="left"/>
        </w:trPr>
        <w:tc>
          <w:tcPr>
            <w:tcW w:w="4670" w:type="dxa"/>
          </w:tcPr>
          <w:p>
            <w:pPr>
              <w:pStyle w:val="TableParagraph"/>
              <w:spacing w:before="7"/>
              <w:jc w:val="left"/>
              <w:rPr>
                <w:rFonts w:ascii="宋体"/>
                <w:sz w:val="23"/>
              </w:rPr>
            </w:pPr>
          </w:p>
          <w:p>
            <w:pPr>
              <w:pStyle w:val="TableParagraph"/>
              <w:ind w:right="2350"/>
              <w:rPr>
                <w:rFonts w:ascii="宋体" w:eastAsia="宋体" w:hint="eastAsia"/>
                <w:sz w:val="31"/>
              </w:rPr>
            </w:pPr>
            <w:r>
              <w:rPr>
                <w:rFonts w:ascii="宋体" w:eastAsia="宋体" w:hint="eastAsia"/>
                <w:sz w:val="31"/>
              </w:rPr>
              <w:t>半成品检查</w:t>
            </w:r>
          </w:p>
        </w:tc>
        <w:tc>
          <w:tcPr>
            <w:tcW w:w="2881" w:type="dxa"/>
          </w:tcPr>
          <w:p>
            <w:pPr>
              <w:pStyle w:val="TableParagraph"/>
              <w:spacing w:before="7"/>
              <w:jc w:val="left"/>
              <w:rPr>
                <w:rFonts w:ascii="宋体"/>
                <w:sz w:val="23"/>
              </w:rPr>
            </w:pPr>
          </w:p>
          <w:p>
            <w:pPr>
              <w:pStyle w:val="TableParagraph"/>
              <w:ind w:right="160"/>
              <w:jc w:val="right"/>
              <w:rPr>
                <w:rFonts w:ascii="宋体" w:eastAsia="宋体" w:hint="eastAsia"/>
                <w:sz w:val="31"/>
              </w:rPr>
            </w:pPr>
            <w:r>
              <w:rPr>
                <w:rFonts w:ascii="宋体" w:eastAsia="宋体" w:hint="eastAsia"/>
                <w:w w:val="102"/>
                <w:sz w:val="31"/>
              </w:rPr>
              <w:t>返</w:t>
            </w:r>
          </w:p>
        </w:tc>
        <w:tc>
          <w:tcPr>
            <w:tcW w:w="529" w:type="dxa"/>
          </w:tcPr>
          <w:p>
            <w:pPr>
              <w:pStyle w:val="TableParagraph"/>
              <w:spacing w:before="7"/>
              <w:jc w:val="left"/>
              <w:rPr>
                <w:rFonts w:ascii="宋体"/>
                <w:sz w:val="23"/>
              </w:rPr>
            </w:pPr>
          </w:p>
          <w:p>
            <w:pPr>
              <w:pStyle w:val="TableParagraph"/>
              <w:ind w:left="95"/>
              <w:rPr>
                <w:rFonts w:ascii="宋体" w:eastAsia="宋体" w:hint="eastAsia"/>
                <w:sz w:val="31"/>
              </w:rPr>
            </w:pPr>
            <w:r>
              <w:rPr>
                <w:rFonts w:ascii="宋体" w:eastAsia="宋体" w:hint="eastAsia"/>
                <w:w w:val="102"/>
                <w:sz w:val="31"/>
              </w:rPr>
              <w:t>工</w:t>
            </w:r>
          </w:p>
        </w:tc>
      </w:tr>
      <w:tr>
        <w:tblPrEx>
          <w:tblW w:w="0" w:type="auto"/>
          <w:jc w:val="left"/>
          <w:tblInd w:w="5739" w:type="dxa"/>
          <w:tblLayout w:type="fixed"/>
          <w:tblCellMar>
            <w:top w:w="0" w:type="dxa"/>
            <w:left w:w="0" w:type="dxa"/>
            <w:bottom w:w="0" w:type="dxa"/>
            <w:right w:w="0" w:type="dxa"/>
          </w:tblCellMar>
          <w:tblLook w:val="01E0"/>
        </w:tblPrEx>
        <w:trPr>
          <w:trHeight w:val="1096"/>
          <w:jc w:val="left"/>
        </w:trPr>
        <w:tc>
          <w:tcPr>
            <w:tcW w:w="4670" w:type="dxa"/>
          </w:tcPr>
          <w:p>
            <w:pPr>
              <w:pStyle w:val="TableParagraph"/>
              <w:spacing w:before="4"/>
              <w:jc w:val="left"/>
              <w:rPr>
                <w:rFonts w:ascii="宋体"/>
                <w:sz w:val="31"/>
              </w:rPr>
            </w:pPr>
          </w:p>
          <w:p>
            <w:pPr>
              <w:pStyle w:val="TableParagraph"/>
              <w:ind w:right="2350"/>
              <w:rPr>
                <w:rFonts w:ascii="宋体" w:eastAsia="宋体" w:hint="eastAsia"/>
                <w:sz w:val="31"/>
              </w:rPr>
            </w:pPr>
            <w:r>
              <w:rPr>
                <w:rFonts w:ascii="宋体" w:eastAsia="宋体" w:hint="eastAsia"/>
                <w:sz w:val="31"/>
              </w:rPr>
              <w:t>监理工程师验收</w:t>
            </w:r>
          </w:p>
        </w:tc>
        <w:tc>
          <w:tcPr>
            <w:tcW w:w="2881" w:type="dxa"/>
          </w:tcPr>
          <w:p>
            <w:pPr>
              <w:pStyle w:val="TableParagraph"/>
              <w:jc w:val="left"/>
              <w:rPr>
                <w:rFonts w:ascii="Times New Roman"/>
                <w:sz w:val="34"/>
              </w:rPr>
            </w:pPr>
          </w:p>
        </w:tc>
        <w:tc>
          <w:tcPr>
            <w:tcW w:w="529" w:type="dxa"/>
          </w:tcPr>
          <w:p>
            <w:pPr>
              <w:pStyle w:val="TableParagraph"/>
              <w:jc w:val="left"/>
              <w:rPr>
                <w:rFonts w:ascii="Times New Roman"/>
                <w:sz w:val="34"/>
              </w:rPr>
            </w:pPr>
          </w:p>
        </w:tc>
      </w:tr>
      <w:tr>
        <w:tblPrEx>
          <w:tblW w:w="0" w:type="auto"/>
          <w:jc w:val="left"/>
          <w:tblInd w:w="5739" w:type="dxa"/>
          <w:tblLayout w:type="fixed"/>
          <w:tblCellMar>
            <w:top w:w="0" w:type="dxa"/>
            <w:left w:w="0" w:type="dxa"/>
            <w:bottom w:w="0" w:type="dxa"/>
            <w:right w:w="0" w:type="dxa"/>
          </w:tblCellMar>
          <w:tblLook w:val="01E0"/>
        </w:tblPrEx>
        <w:trPr>
          <w:trHeight w:val="690"/>
          <w:jc w:val="left"/>
        </w:trPr>
        <w:tc>
          <w:tcPr>
            <w:tcW w:w="4670" w:type="dxa"/>
          </w:tcPr>
          <w:p>
            <w:pPr>
              <w:pStyle w:val="TableParagraph"/>
              <w:spacing w:before="302" w:line="368" w:lineRule="exact"/>
              <w:ind w:right="2350"/>
              <w:rPr>
                <w:rFonts w:ascii="宋体" w:eastAsia="宋体" w:hint="eastAsia"/>
                <w:sz w:val="31"/>
              </w:rPr>
            </w:pPr>
            <w:r>
              <w:rPr>
                <w:rFonts w:ascii="宋体" w:eastAsia="宋体" w:hint="eastAsia"/>
                <w:spacing w:val="-101"/>
                <w:sz w:val="31"/>
              </w:rPr>
              <w:t>中间</w:t>
            </w:r>
            <w:r>
              <w:rPr>
                <w:rFonts w:ascii="宋体" w:eastAsia="宋体" w:hint="eastAsia"/>
                <w:spacing w:val="-69"/>
                <w:position w:val="-3"/>
                <w:sz w:val="27"/>
              </w:rPr>
              <w:t>整</w:t>
            </w:r>
            <w:r>
              <w:rPr>
                <w:rFonts w:ascii="宋体" w:eastAsia="宋体" w:hint="eastAsia"/>
                <w:spacing w:val="-249"/>
                <w:sz w:val="31"/>
              </w:rPr>
              <w:t>交</w:t>
            </w:r>
            <w:r>
              <w:rPr>
                <w:rFonts w:ascii="宋体" w:eastAsia="宋体" w:hint="eastAsia"/>
                <w:spacing w:val="-22"/>
                <w:position w:val="-3"/>
                <w:sz w:val="27"/>
              </w:rPr>
              <w:t>理</w:t>
            </w:r>
            <w:r>
              <w:rPr>
                <w:rFonts w:ascii="宋体" w:eastAsia="宋体" w:hint="eastAsia"/>
                <w:spacing w:val="-296"/>
                <w:sz w:val="31"/>
              </w:rPr>
              <w:t>工</w:t>
            </w:r>
            <w:r>
              <w:rPr>
                <w:rFonts w:ascii="宋体" w:eastAsia="宋体" w:hint="eastAsia"/>
                <w:spacing w:val="-123"/>
                <w:position w:val="-3"/>
                <w:sz w:val="27"/>
              </w:rPr>
              <w:t>分享</w:t>
            </w:r>
            <w:r>
              <w:rPr>
                <w:rFonts w:ascii="宋体" w:eastAsia="宋体" w:hint="eastAsia"/>
                <w:sz w:val="31"/>
              </w:rPr>
              <w:t>证书</w:t>
            </w:r>
          </w:p>
        </w:tc>
        <w:tc>
          <w:tcPr>
            <w:tcW w:w="2881" w:type="dxa"/>
          </w:tcPr>
          <w:p>
            <w:pPr>
              <w:pStyle w:val="TableParagraph"/>
              <w:jc w:val="left"/>
              <w:rPr>
                <w:rFonts w:ascii="Times New Roman"/>
                <w:sz w:val="34"/>
              </w:rPr>
            </w:pPr>
          </w:p>
        </w:tc>
        <w:tc>
          <w:tcPr>
            <w:tcW w:w="529" w:type="dxa"/>
          </w:tcPr>
          <w:p>
            <w:pPr>
              <w:pStyle w:val="TableParagraph"/>
              <w:jc w:val="left"/>
              <w:rPr>
                <w:rFonts w:ascii="Times New Roman"/>
                <w:sz w:val="34"/>
              </w:rPr>
            </w:pPr>
          </w:p>
        </w:tc>
      </w:tr>
    </w:tbl>
    <w:p>
      <w:pPr>
        <w:pStyle w:val="BodyText"/>
        <w:rPr>
          <w:rFonts w:ascii="宋体"/>
          <w:sz w:val="20"/>
        </w:rPr>
      </w:pPr>
    </w:p>
    <w:p>
      <w:pPr>
        <w:pStyle w:val="BodyText"/>
        <w:rPr>
          <w:rFonts w:ascii="宋体"/>
          <w:sz w:val="23"/>
        </w:rPr>
      </w:pPr>
    </w:p>
    <w:p>
      <w:pPr>
        <w:spacing w:before="62"/>
        <w:ind w:left="0" w:right="3773" w:firstLine="0"/>
        <w:jc w:val="center"/>
        <w:rPr>
          <w:rFonts w:ascii="宋体" w:eastAsia="宋体" w:hint="eastAsia"/>
          <w:sz w:val="31"/>
        </w:rPr>
      </w:pPr>
      <w:r>
        <w:rPr>
          <w:rFonts w:ascii="宋体" w:eastAsia="宋体" w:hint="eastAsia"/>
          <w:sz w:val="31"/>
        </w:rPr>
        <w:t>资料整理归档</w:t>
      </w:r>
    </w:p>
    <w:p>
      <w:pPr>
        <w:spacing w:after="0"/>
        <w:jc w:val="center"/>
        <w:rPr>
          <w:rFonts w:ascii="宋体" w:eastAsia="宋体" w:hint="eastAsia"/>
          <w:sz w:val="31"/>
        </w:rPr>
        <w:sectPr>
          <w:headerReference w:type="default" r:id="rId38"/>
          <w:footerReference w:type="default" r:id="rId39"/>
          <w:type w:val="continuous"/>
          <w:pgSz w:w="17860" w:h="25260"/>
          <w:pgMar w:top="1260" w:right="0" w:bottom="2020" w:left="520" w:header="708" w:footer="708"/>
          <w:pgNumType w:start="15"/>
          <w:cols w:space="708"/>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3"/>
        <w:rPr>
          <w:rFonts w:ascii="宋体"/>
          <w:sz w:val="27"/>
        </w:rPr>
      </w:pPr>
    </w:p>
    <w:p>
      <w:pPr>
        <w:spacing w:before="94" w:line="384" w:lineRule="auto"/>
        <w:ind w:left="2476" w:right="2621" w:hanging="296"/>
        <w:jc w:val="left"/>
        <w:rPr>
          <w:sz w:val="36"/>
        </w:rPr>
      </w:pPr>
      <w:r>
        <w:rPr>
          <w:b/>
          <w:position w:val="7"/>
          <w:sz w:val="42"/>
        </w:rPr>
        <w:t>二、工程质量保证措施（</w:t>
      </w:r>
      <w:r>
        <w:rPr>
          <w:b/>
          <w:spacing w:val="-4"/>
          <w:position w:val="7"/>
          <w:sz w:val="42"/>
        </w:rPr>
        <w:t>包括</w:t>
      </w:r>
      <w:r>
        <w:rPr>
          <w:b/>
          <w:sz w:val="36"/>
        </w:rPr>
        <w:t xml:space="preserve">事前、事中、事后质量控制措施）               </w:t>
      </w:r>
      <w:r>
        <w:rPr>
          <w:spacing w:val="-1"/>
          <w:sz w:val="36"/>
        </w:rPr>
        <w:t>“创优质工程，维护业主利益”是我单位的一贯宗旨。本工程质量的目标管理</w:t>
      </w:r>
    </w:p>
    <w:p>
      <w:pPr>
        <w:pStyle w:val="BodyText"/>
        <w:spacing w:before="74" w:line="417" w:lineRule="auto"/>
        <w:ind w:left="2180" w:right="2556"/>
      </w:pPr>
      <w:r>
        <w:rPr>
          <w:spacing w:val="-1"/>
        </w:rPr>
        <w:t>严格按招标文件要求，建立质量保证体系和施工过程质量控制体系；项目经理、</w:t>
      </w:r>
      <w:r>
        <w:rPr>
          <w:spacing w:val="-7"/>
        </w:rPr>
        <w:t>项目技术负责人负责工程质量的全面工作；做到层层把好质量关，把质量管理由</w:t>
      </w:r>
      <w:r>
        <w:rPr>
          <w:spacing w:val="-14"/>
        </w:rPr>
        <w:t>事后检查转化为事先预防和事中控制，确保工程按时完工。具体技术组织措施如下：</w:t>
      </w:r>
    </w:p>
    <w:p>
      <w:pPr>
        <w:pStyle w:val="BodyText"/>
        <w:spacing w:line="417" w:lineRule="auto"/>
        <w:ind w:left="2180" w:right="2697" w:firstLine="475"/>
        <w:jc w:val="both"/>
      </w:pPr>
      <w:r>
        <w:t>1</w:t>
      </w:r>
      <w:r>
        <w:rPr>
          <w:spacing w:val="-11"/>
        </w:rPr>
        <w:t>、组织施工技术人员熟悉施工图纸和施工现场，按绿化工程布置的图纸标出</w:t>
      </w:r>
      <w:r>
        <w:rPr>
          <w:spacing w:val="-13"/>
        </w:rPr>
        <w:t>种植地段、种植位置及品种的轮廓，并进行放样；在得到监理工程师的检查认可</w:t>
      </w:r>
      <w:r>
        <w:rPr>
          <w:spacing w:val="-12"/>
        </w:rPr>
        <w:t>后再进行种植。明确各种苗木栽植的方法和苗木栽植的行、株距，同时了解该工</w:t>
      </w:r>
      <w:r>
        <w:t>程地质土壤性能、物理状况及该地区的气候环境。</w:t>
      </w:r>
    </w:p>
    <w:p>
      <w:pPr>
        <w:pStyle w:val="BodyText"/>
        <w:spacing w:line="417" w:lineRule="auto"/>
        <w:ind w:left="2180" w:right="2603" w:firstLine="475"/>
      </w:pPr>
      <w:r>
        <w:t>2、施工前应认真复测标高点，根据规定的标高进行土方回填和平整场地；种植地段应修整到监理工程师指示的线形和坡度。</w:t>
      </w:r>
    </w:p>
    <w:p>
      <w:pPr>
        <w:pStyle w:val="BodyText"/>
        <w:spacing w:line="537" w:lineRule="exact"/>
        <w:ind w:left="2655"/>
      </w:pPr>
      <w:r>
        <w:t>3、苗木质量是绿化工程质量的保证，认真把好苗木质量关，按照标书中的规</w:t>
      </w:r>
    </w:p>
    <w:p>
      <w:pPr>
        <w:spacing w:after="0" w:line="537" w:lineRule="exact"/>
        <w:sectPr>
          <w:headerReference w:type="default" r:id="rId40"/>
          <w:footerReference w:type="default" r:id="rId41"/>
          <w:pgSz w:w="17860" w:h="25260"/>
          <w:pgMar w:top="1380" w:right="0" w:bottom="2020" w:left="520" w:header="1083" w:footer="1831"/>
          <w:pgNumType w:start="16"/>
          <w:cols w:space="708"/>
        </w:sectPr>
      </w:pPr>
    </w:p>
    <w:p>
      <w:pPr>
        <w:pStyle w:val="BodyText"/>
        <w:rPr>
          <w:sz w:val="20"/>
        </w:rPr>
      </w:pPr>
    </w:p>
    <w:p>
      <w:pPr>
        <w:pStyle w:val="BodyText"/>
        <w:spacing w:before="12"/>
        <w:rPr>
          <w:sz w:val="12"/>
        </w:rPr>
      </w:pPr>
    </w:p>
    <w:p>
      <w:pPr>
        <w:pStyle w:val="BodyText"/>
        <w:spacing w:before="97" w:line="417" w:lineRule="auto"/>
        <w:ind w:left="2180" w:right="2556"/>
      </w:pPr>
      <w:r>
        <w:t>格大小采购，进场的苗木首先由质检员按规定的规格、品种、土球的直径大小、苗木的病虫害情况进行自检，同时对苗木的规格、数量及苗木的来源加以说明并附标签，做好苗木进场报验工作，请监理工程师验收后及时栽植。</w:t>
      </w:r>
    </w:p>
    <w:p>
      <w:pPr>
        <w:pStyle w:val="BodyText"/>
        <w:spacing w:line="417" w:lineRule="auto"/>
        <w:ind w:left="2180" w:right="2603" w:firstLine="475"/>
        <w:jc w:val="both"/>
      </w:pPr>
      <w:r>
        <w:t>4</w:t>
      </w:r>
      <w:r>
        <w:rPr>
          <w:spacing w:val="-1"/>
        </w:rPr>
        <w:t>、各队组施工后做好自检工作。质检科要求每天到现场进行质量检查，每道</w:t>
      </w:r>
      <w:r>
        <w:rPr>
          <w:spacing w:val="-8"/>
        </w:rPr>
        <w:t>工序完工后报监理工程师验收后，再进行下一道工序的施工，杜绝返工现象。当天未栽完的苗木立即假植，假植的苗木要有专人管护，保持根部湿润。</w:t>
      </w:r>
    </w:p>
    <w:p>
      <w:pPr>
        <w:pStyle w:val="BodyText"/>
        <w:spacing w:line="417" w:lineRule="auto"/>
        <w:ind w:left="2180" w:right="2517" w:firstLine="475"/>
        <w:jc w:val="both"/>
      </w:pPr>
      <w:r>
        <w:t>5</w:t>
      </w:r>
      <w:r>
        <w:rPr>
          <w:spacing w:val="-19"/>
        </w:rPr>
        <w:t xml:space="preserve">、储存和保护：一天内种不完的植物，应存放在阴凉潮湿处，以防日晒风吹； </w:t>
      </w:r>
      <w:r>
        <w:t>裸根树种应将包打开，放在沟内，根部暂盖壅土，并保持湿润；带有土球及草袋包装的植物，应用土、稻草或其他适当材料加以保护。</w:t>
      </w:r>
    </w:p>
    <w:p>
      <w:pPr>
        <w:spacing w:before="0" w:line="537" w:lineRule="exact"/>
        <w:ind w:left="2180" w:right="0" w:firstLine="0"/>
        <w:jc w:val="left"/>
        <w:rPr>
          <w:sz w:val="36"/>
        </w:rPr>
      </w:pPr>
      <w:r>
        <w:rPr>
          <w:b/>
          <w:sz w:val="36"/>
        </w:rPr>
        <w:t>A、事前控制</w:t>
      </w:r>
      <w:r>
        <w:rPr>
          <w:sz w:val="36"/>
        </w:rPr>
        <w:t>（施工准备阶段的质量控制）</w:t>
      </w:r>
    </w:p>
    <w:p>
      <w:pPr>
        <w:pStyle w:val="ListParagraph"/>
        <w:numPr>
          <w:ilvl w:val="1"/>
          <w:numId w:val="15"/>
        </w:numPr>
        <w:tabs>
          <w:tab w:val="left" w:pos="3248"/>
        </w:tabs>
        <w:spacing w:before="395" w:after="0" w:line="417" w:lineRule="auto"/>
        <w:ind w:left="2180" w:right="2697" w:firstLine="719"/>
        <w:jc w:val="both"/>
        <w:rPr>
          <w:sz w:val="36"/>
        </w:rPr>
      </w:pPr>
      <w:r>
        <w:rPr>
          <w:spacing w:val="-10"/>
          <w:sz w:val="36"/>
        </w:rPr>
        <w:t>施工组织设计和施工方案的控制。施工组织设计和施工方案是指导施工的</w:t>
      </w:r>
      <w:r>
        <w:rPr>
          <w:spacing w:val="-11"/>
          <w:sz w:val="36"/>
        </w:rPr>
        <w:t>全面性技术文件，施工组织设计质量的好坏在一定程度上影响着工程质量，开工</w:t>
      </w:r>
      <w:r>
        <w:rPr>
          <w:spacing w:val="-10"/>
          <w:sz w:val="36"/>
        </w:rPr>
        <w:t>前必须对施工组织设计中的施工顺序、施工方法和保证工程质量的技术措施进行</w:t>
      </w:r>
      <w:r>
        <w:rPr>
          <w:sz w:val="36"/>
        </w:rPr>
        <w:t>审查核实，是否切实可行，并做好开工前的各项技术交底工作。</w:t>
      </w:r>
    </w:p>
    <w:p>
      <w:pPr>
        <w:pStyle w:val="ListParagraph"/>
        <w:numPr>
          <w:ilvl w:val="1"/>
          <w:numId w:val="15"/>
        </w:numPr>
        <w:tabs>
          <w:tab w:val="left" w:pos="3427"/>
        </w:tabs>
        <w:spacing w:before="0" w:after="0" w:line="417" w:lineRule="auto"/>
        <w:ind w:left="2180" w:right="2751" w:firstLine="719"/>
        <w:jc w:val="both"/>
        <w:rPr>
          <w:sz w:val="36"/>
        </w:rPr>
      </w:pPr>
      <w:r>
        <w:rPr>
          <w:spacing w:val="-1"/>
          <w:sz w:val="36"/>
        </w:rPr>
        <w:t>根据工程特点，制定工程质量预防措施，消除施工过程中潜在的不合格</w:t>
      </w:r>
      <w:r>
        <w:rPr>
          <w:sz w:val="36"/>
        </w:rPr>
        <w:t>因素，消除质量通病。</w:t>
      </w:r>
    </w:p>
    <w:p>
      <w:pPr>
        <w:spacing w:before="0" w:line="537" w:lineRule="exact"/>
        <w:ind w:left="2180" w:right="0" w:firstLine="0"/>
        <w:jc w:val="left"/>
        <w:rPr>
          <w:sz w:val="36"/>
        </w:rPr>
      </w:pPr>
      <w:r>
        <w:rPr>
          <w:b/>
          <w:sz w:val="36"/>
        </w:rPr>
        <w:t>B、事中控制</w:t>
      </w:r>
      <w:r>
        <w:rPr>
          <w:sz w:val="36"/>
        </w:rPr>
        <w:t>（施工阶段的质量控制）</w:t>
      </w:r>
    </w:p>
    <w:p>
      <w:pPr>
        <w:pStyle w:val="ListParagraph"/>
        <w:numPr>
          <w:ilvl w:val="2"/>
          <w:numId w:val="15"/>
        </w:numPr>
        <w:tabs>
          <w:tab w:val="left" w:pos="3428"/>
        </w:tabs>
        <w:spacing w:before="397" w:after="0" w:line="417" w:lineRule="auto"/>
        <w:ind w:left="2180" w:right="2477" w:firstLine="899"/>
        <w:jc w:val="left"/>
        <w:rPr>
          <w:sz w:val="36"/>
        </w:rPr>
      </w:pPr>
      <w:r>
        <w:rPr>
          <w:spacing w:val="-9"/>
          <w:sz w:val="36"/>
        </w:rPr>
        <w:t>严格做好技术交底。包括图纸交底、施工组织设计交底、设计变更交底、</w:t>
      </w:r>
      <w:r>
        <w:rPr>
          <w:sz w:val="36"/>
        </w:rPr>
        <w:t>分项工程技术交底，没有技术交底的项目不得开工。</w:t>
      </w:r>
    </w:p>
    <w:p>
      <w:pPr>
        <w:pStyle w:val="ListParagraph"/>
        <w:numPr>
          <w:ilvl w:val="2"/>
          <w:numId w:val="15"/>
        </w:numPr>
        <w:tabs>
          <w:tab w:val="left" w:pos="3247"/>
        </w:tabs>
        <w:spacing w:before="0" w:after="0" w:line="417" w:lineRule="auto"/>
        <w:ind w:left="2180" w:right="2556" w:firstLine="719"/>
        <w:jc w:val="both"/>
        <w:rPr>
          <w:sz w:val="36"/>
        </w:rPr>
      </w:pPr>
      <w:r>
        <w:rPr>
          <w:spacing w:val="-11"/>
          <w:sz w:val="36"/>
        </w:rPr>
        <w:t>坚持旁站制度。质检员、试验人员必须跟班作业，工程关键部位以及经监</w:t>
      </w:r>
      <w:r>
        <w:rPr>
          <w:spacing w:val="-12"/>
          <w:sz w:val="36"/>
        </w:rPr>
        <w:t>理工程师批准，实行“三班制”施工的项目必须有质检工程师守候现场。工程技</w:t>
      </w:r>
      <w:r>
        <w:rPr>
          <w:sz w:val="36"/>
        </w:rPr>
        <w:t>术人员跟班作业，随时解决施工中的技术难题。</w:t>
      </w:r>
    </w:p>
    <w:p>
      <w:pPr>
        <w:spacing w:after="0" w:line="417" w:lineRule="auto"/>
        <w:jc w:val="both"/>
        <w:rPr>
          <w:sz w:val="36"/>
        </w:rPr>
        <w:sectPr>
          <w:headerReference w:type="default" r:id="rId42"/>
          <w:footerReference w:type="default" r:id="rId43"/>
          <w:pgSz w:w="17860" w:h="25260"/>
          <w:pgMar w:top="1380" w:right="0" w:bottom="2020" w:left="520" w:header="1083" w:footer="1831"/>
          <w:pgNumType w:start="17"/>
          <w:cols w:space="708"/>
        </w:sectPr>
      </w:pPr>
    </w:p>
    <w:p>
      <w:pPr>
        <w:pStyle w:val="BodyText"/>
        <w:rPr>
          <w:sz w:val="20"/>
        </w:rPr>
      </w:pPr>
    </w:p>
    <w:p>
      <w:pPr>
        <w:pStyle w:val="BodyText"/>
        <w:spacing w:before="12"/>
        <w:rPr>
          <w:sz w:val="12"/>
        </w:rPr>
      </w:pPr>
    </w:p>
    <w:p>
      <w:pPr>
        <w:pStyle w:val="ListParagraph"/>
        <w:numPr>
          <w:ilvl w:val="0"/>
          <w:numId w:val="8"/>
        </w:numPr>
        <w:tabs>
          <w:tab w:val="left" w:pos="3430"/>
        </w:tabs>
        <w:spacing w:before="97" w:after="0" w:line="417" w:lineRule="auto"/>
        <w:ind w:left="2180" w:right="2747" w:firstLine="719"/>
        <w:jc w:val="left"/>
        <w:rPr>
          <w:sz w:val="36"/>
        </w:rPr>
      </w:pPr>
      <w:r>
        <w:rPr>
          <w:spacing w:val="-1"/>
          <w:sz w:val="36"/>
        </w:rPr>
        <w:t>采用精确的检测设备，选派责任心强的检测人员，严格执行测量管理制</w:t>
      </w:r>
      <w:r>
        <w:rPr>
          <w:sz w:val="36"/>
        </w:rPr>
        <w:t>度，加强对整个工程的施工控制，并确保各工序、各分项工程的施工质量。</w:t>
      </w:r>
    </w:p>
    <w:p>
      <w:pPr>
        <w:pStyle w:val="ListParagraph"/>
        <w:numPr>
          <w:ilvl w:val="0"/>
          <w:numId w:val="8"/>
        </w:numPr>
        <w:tabs>
          <w:tab w:val="left" w:pos="3236"/>
        </w:tabs>
        <w:spacing w:before="0" w:after="0" w:line="417" w:lineRule="auto"/>
        <w:ind w:left="2180" w:right="2582" w:firstLine="719"/>
        <w:jc w:val="left"/>
        <w:rPr>
          <w:sz w:val="36"/>
        </w:rPr>
      </w:pPr>
      <w:r>
        <w:rPr>
          <w:spacing w:val="-1"/>
          <w:sz w:val="36"/>
        </w:rPr>
        <w:t>严把材料质量关。对原材料和成品半成品必须严格按质量标准进行订货、</w:t>
      </w:r>
      <w:r>
        <w:rPr>
          <w:sz w:val="36"/>
        </w:rPr>
        <w:t>采购、运输、保管和供应。经检查不合格的材料必须清出工地。</w:t>
      </w:r>
    </w:p>
    <w:p>
      <w:pPr>
        <w:pStyle w:val="ListParagraph"/>
        <w:numPr>
          <w:ilvl w:val="0"/>
          <w:numId w:val="8"/>
        </w:numPr>
        <w:tabs>
          <w:tab w:val="left" w:pos="3115"/>
        </w:tabs>
        <w:spacing w:before="0" w:after="0" w:line="417" w:lineRule="auto"/>
        <w:ind w:left="2180" w:right="2556" w:firstLine="719"/>
        <w:jc w:val="left"/>
        <w:rPr>
          <w:sz w:val="36"/>
        </w:rPr>
      </w:pPr>
      <w:r>
        <w:rPr>
          <w:sz w:val="36"/>
        </w:rPr>
        <w:t>严格按规定做好各项检验工作，建立健全自检体系。要保证检验方法的正</w:t>
      </w:r>
      <w:r>
        <w:rPr>
          <w:spacing w:val="-1"/>
          <w:sz w:val="36"/>
        </w:rPr>
        <w:t>确和检验工具、检验仪器设备的准确性。上道工序不合格，下道工序不能施工。</w:t>
      </w:r>
    </w:p>
    <w:p>
      <w:pPr>
        <w:pStyle w:val="ListParagraph"/>
        <w:numPr>
          <w:ilvl w:val="0"/>
          <w:numId w:val="8"/>
        </w:numPr>
        <w:tabs>
          <w:tab w:val="left" w:pos="3427"/>
        </w:tabs>
        <w:spacing w:before="0" w:after="0" w:line="417" w:lineRule="auto"/>
        <w:ind w:left="2180" w:right="2751" w:firstLine="719"/>
        <w:jc w:val="both"/>
        <w:rPr>
          <w:sz w:val="36"/>
        </w:rPr>
      </w:pPr>
      <w:r>
        <w:rPr>
          <w:spacing w:val="-1"/>
          <w:sz w:val="36"/>
        </w:rPr>
        <w:t>每一工序完工后，应对施工场地进行清理，以免残留物质对下道工序产</w:t>
      </w:r>
      <w:r>
        <w:rPr>
          <w:sz w:val="36"/>
        </w:rPr>
        <w:t>生质量影响。</w:t>
      </w:r>
    </w:p>
    <w:p>
      <w:pPr>
        <w:pStyle w:val="ListParagraph"/>
        <w:numPr>
          <w:ilvl w:val="0"/>
          <w:numId w:val="8"/>
        </w:numPr>
        <w:tabs>
          <w:tab w:val="left" w:pos="3405"/>
        </w:tabs>
        <w:spacing w:before="0" w:after="0" w:line="417" w:lineRule="auto"/>
        <w:ind w:left="2180" w:right="2697" w:firstLine="719"/>
        <w:jc w:val="both"/>
        <w:rPr>
          <w:sz w:val="36"/>
        </w:rPr>
      </w:pPr>
      <w:r>
        <w:rPr>
          <w:sz w:val="36"/>
        </w:rPr>
        <w:t>如出现质量事故，由总工程师或质检科负责任组织有关人员对事故原因</w:t>
      </w:r>
      <w:r>
        <w:rPr>
          <w:spacing w:val="-12"/>
          <w:sz w:val="36"/>
        </w:rPr>
        <w:t>进行分析，提出缺陷修复方案和质量整改措施，报监理工程师批准后实施。对事</w:t>
      </w:r>
      <w:r>
        <w:rPr>
          <w:spacing w:val="-10"/>
          <w:sz w:val="36"/>
        </w:rPr>
        <w:t>故责任者将予以经济处罚，通报批评，直至限令其离开工地，以杜绝类似事故的</w:t>
      </w:r>
      <w:r>
        <w:rPr>
          <w:sz w:val="36"/>
        </w:rPr>
        <w:t>再次发生。</w:t>
      </w:r>
    </w:p>
    <w:p>
      <w:pPr>
        <w:pStyle w:val="ListParagraph"/>
        <w:numPr>
          <w:ilvl w:val="0"/>
          <w:numId w:val="7"/>
        </w:numPr>
        <w:tabs>
          <w:tab w:val="left" w:pos="3254"/>
        </w:tabs>
        <w:spacing w:before="0" w:after="0" w:line="537" w:lineRule="exact"/>
        <w:ind w:left="3253" w:right="0" w:hanging="354"/>
        <w:jc w:val="both"/>
        <w:rPr>
          <w:sz w:val="36"/>
        </w:rPr>
      </w:pPr>
      <w:r>
        <w:rPr>
          <w:sz w:val="36"/>
        </w:rPr>
        <w:t>制定切实可行的冬雨季施工措施，保证施工质量不受气候的影响。</w:t>
      </w:r>
    </w:p>
    <w:p>
      <w:pPr>
        <w:pStyle w:val="ListParagraph"/>
        <w:numPr>
          <w:ilvl w:val="0"/>
          <w:numId w:val="7"/>
        </w:numPr>
        <w:tabs>
          <w:tab w:val="left" w:pos="3365"/>
        </w:tabs>
        <w:spacing w:before="395" w:after="0" w:line="417" w:lineRule="auto"/>
        <w:ind w:left="2180" w:right="2556" w:firstLine="719"/>
        <w:jc w:val="left"/>
        <w:rPr>
          <w:sz w:val="36"/>
        </w:rPr>
      </w:pPr>
      <w:r>
        <w:rPr>
          <w:sz w:val="36"/>
        </w:rPr>
        <w:t>服从业主、监理单位、设计单位的检查、指导和监督，虚心接受他们提</w:t>
      </w:r>
      <w:r>
        <w:rPr>
          <w:spacing w:val="-1"/>
          <w:sz w:val="36"/>
        </w:rPr>
        <w:t>出的改进意见，积极与建设、设计、监理单位搞好配合工作，同时积极与相邻标</w:t>
      </w:r>
      <w:r>
        <w:rPr>
          <w:spacing w:val="-10"/>
          <w:sz w:val="36"/>
        </w:rPr>
        <w:t>段施工单位密切协作，共创优质工程。根据合同条款的要求，在监理工程师的监督和指导下施工，并如实地向监理工程师汇报工程进度和质量情况。</w:t>
      </w:r>
    </w:p>
    <w:p>
      <w:pPr>
        <w:pStyle w:val="ListParagraph"/>
        <w:numPr>
          <w:ilvl w:val="0"/>
          <w:numId w:val="7"/>
        </w:numPr>
        <w:tabs>
          <w:tab w:val="left" w:pos="3254"/>
        </w:tabs>
        <w:spacing w:before="0" w:after="0" w:line="417" w:lineRule="auto"/>
        <w:ind w:left="2180" w:right="2697" w:firstLine="719"/>
        <w:jc w:val="left"/>
        <w:rPr>
          <w:sz w:val="36"/>
        </w:rPr>
      </w:pPr>
      <w:r>
        <w:rPr>
          <w:spacing w:val="-10"/>
          <w:sz w:val="36"/>
        </w:rPr>
        <w:t>建立工程技术档案，做好竣工资料的编制。平时注意资料的积累，工程竣</w:t>
      </w:r>
      <w:r>
        <w:rPr>
          <w:sz w:val="36"/>
        </w:rPr>
        <w:t>工时按建设单位的要求，提交竣工文件。</w:t>
      </w:r>
    </w:p>
    <w:p>
      <w:pPr>
        <w:pStyle w:val="Heading3"/>
        <w:ind w:left="2180"/>
      </w:pPr>
      <w:r>
        <w:t>C、事后控制</w:t>
      </w:r>
    </w:p>
    <w:p>
      <w:pPr>
        <w:pStyle w:val="ListParagraph"/>
        <w:numPr>
          <w:ilvl w:val="0"/>
          <w:numId w:val="6"/>
        </w:numPr>
        <w:tabs>
          <w:tab w:val="left" w:pos="3820"/>
        </w:tabs>
        <w:spacing w:before="396" w:after="0" w:line="240" w:lineRule="auto"/>
        <w:ind w:left="3819" w:right="0" w:hanging="920"/>
        <w:jc w:val="left"/>
        <w:rPr>
          <w:sz w:val="36"/>
        </w:rPr>
      </w:pPr>
      <w:r>
        <w:rPr>
          <w:sz w:val="36"/>
        </w:rPr>
        <w:t>对施工周边遭到破坏的环境要及时治理整改，确保文明施工。</w:t>
      </w:r>
    </w:p>
    <w:p>
      <w:pPr>
        <w:pStyle w:val="ListParagraph"/>
        <w:numPr>
          <w:ilvl w:val="0"/>
          <w:numId w:val="6"/>
        </w:numPr>
        <w:tabs>
          <w:tab w:val="left" w:pos="3820"/>
        </w:tabs>
        <w:spacing w:before="397" w:after="0" w:line="240" w:lineRule="auto"/>
        <w:ind w:left="3819" w:right="0" w:hanging="920"/>
        <w:jc w:val="left"/>
        <w:rPr>
          <w:sz w:val="36"/>
        </w:rPr>
      </w:pPr>
      <w:r>
        <w:rPr>
          <w:sz w:val="36"/>
        </w:rPr>
        <w:t>物资检验发现不合格品时，由项目经理部材料员负责进行隔离并加以</w:t>
      </w:r>
    </w:p>
    <w:p>
      <w:pPr>
        <w:spacing w:after="0" w:line="240" w:lineRule="auto"/>
        <w:jc w:val="left"/>
        <w:rPr>
          <w:sz w:val="36"/>
        </w:rPr>
        <w:sectPr>
          <w:headerReference w:type="default" r:id="rId44"/>
          <w:footerReference w:type="default" r:id="rId45"/>
          <w:pgSz w:w="17860" w:h="25260"/>
          <w:pgMar w:top="1380" w:right="0" w:bottom="2020" w:left="520" w:header="1083" w:footer="1831"/>
          <w:pgNumType w:start="18"/>
          <w:cols w:space="708"/>
        </w:sectPr>
      </w:pPr>
    </w:p>
    <w:p>
      <w:pPr>
        <w:pStyle w:val="BodyText"/>
        <w:rPr>
          <w:sz w:val="20"/>
        </w:rPr>
      </w:pPr>
    </w:p>
    <w:p>
      <w:pPr>
        <w:pStyle w:val="BodyText"/>
        <w:spacing w:before="12"/>
        <w:rPr>
          <w:sz w:val="12"/>
        </w:rPr>
      </w:pPr>
    </w:p>
    <w:p>
      <w:pPr>
        <w:pStyle w:val="BodyText"/>
        <w:spacing w:before="97" w:line="417" w:lineRule="auto"/>
        <w:ind w:left="2180" w:right="2522"/>
      </w:pPr>
      <w:r>
        <w:rPr>
          <w:spacing w:val="-20"/>
        </w:rPr>
        <w:t xml:space="preserve">标识，作报废处理或降职使用，施工过程中发现不合格品，由施工员按评审意见， </w:t>
      </w:r>
      <w:r>
        <w:t>及时组织进行返工重做或加固补强。</w:t>
      </w:r>
    </w:p>
    <w:p>
      <w:pPr>
        <w:spacing w:after="0" w:line="417" w:lineRule="auto"/>
        <w:sectPr>
          <w:headerReference w:type="default" r:id="rId46"/>
          <w:footerReference w:type="default" r:id="rId47"/>
          <w:pgSz w:w="17860" w:h="25260"/>
          <w:pgMar w:top="1380" w:right="0" w:bottom="2020" w:left="520" w:header="1083" w:footer="1831"/>
          <w:pgNumType w:start="19"/>
          <w:cols w:space="708"/>
        </w:sectPr>
      </w:pPr>
    </w:p>
    <w:p>
      <w:pPr>
        <w:pStyle w:val="BodyText"/>
        <w:spacing w:before="2"/>
        <w:rPr>
          <w:sz w:val="11"/>
        </w:rPr>
      </w:pPr>
    </w:p>
    <w:p>
      <w:pPr>
        <w:pStyle w:val="Heading1"/>
      </w:pPr>
      <w:bookmarkStart w:id="3" w:name="_TOC_250006"/>
      <w:bookmarkEnd w:id="3"/>
      <w:r>
        <w:t>笫六章、安全生产管理体系及保证措施</w:t>
      </w:r>
    </w:p>
    <w:p>
      <w:pPr>
        <w:pStyle w:val="BodyText"/>
        <w:spacing w:before="7"/>
        <w:rPr>
          <w:b/>
          <w:sz w:val="93"/>
        </w:rPr>
      </w:pPr>
    </w:p>
    <w:p>
      <w:pPr>
        <w:pStyle w:val="BodyText"/>
        <w:spacing w:line="316" w:lineRule="auto"/>
        <w:ind w:left="2180" w:right="2556" w:firstLine="716"/>
        <w:rPr>
          <w:b/>
          <w:sz w:val="42"/>
        </w:rPr>
      </w:pPr>
      <w:r>
        <w:rPr>
          <w:spacing w:val="-7"/>
        </w:rPr>
        <w:t>为了使整个标段工程顺利而安全地完成，本工程在实施中将严格执行《文明</w:t>
      </w:r>
      <w:r>
        <w:rPr>
          <w:spacing w:val="-8"/>
        </w:rPr>
        <w:t>施工管理规定》及国家和地方有关“安全生产、文明施工”的法律、法规和有关</w:t>
      </w:r>
      <w:r>
        <w:t>强制标准的规定，另外我们还结合了本工程的实际情况，制定出以下的措施。</w:t>
      </w:r>
      <w:r>
        <w:rPr>
          <w:b/>
          <w:sz w:val="42"/>
        </w:rPr>
        <w:t>一、安全生产管理体系</w:t>
      </w:r>
    </w:p>
    <w:p>
      <w:pPr>
        <w:pStyle w:val="BodyText"/>
        <w:spacing w:before="114"/>
        <w:ind w:left="2900"/>
      </w:pPr>
      <w:r>
        <w:rPr>
          <w:spacing w:val="-1"/>
        </w:rPr>
        <w:t>1、安全生产保证措施</w:t>
      </w:r>
    </w:p>
    <w:p>
      <w:pPr>
        <w:pStyle w:val="BodyText"/>
        <w:spacing w:before="435" w:line="417" w:lineRule="auto"/>
        <w:ind w:left="2180" w:right="2558" w:firstLine="719"/>
      </w:pPr>
      <w:r>
        <w:t>我们结合工程的实际情况，决定成立以项目经理为首的安全生产管理小组， 下设三名安全管理人员组成安全生产小组，从事安全防护工作，安全生产小组每天在施工现场进行安全检查，发现隐患，及时整改，以防事故发生。</w:t>
      </w:r>
    </w:p>
    <w:p>
      <w:pPr>
        <w:pStyle w:val="BodyText"/>
        <w:spacing w:line="537" w:lineRule="exact"/>
        <w:ind w:left="2900"/>
      </w:pPr>
      <w:r>
        <w:t>2、安全施工管理制度</w:t>
      </w:r>
    </w:p>
    <w:p>
      <w:pPr>
        <w:pStyle w:val="BodyText"/>
        <w:spacing w:before="398" w:line="417" w:lineRule="auto"/>
        <w:ind w:left="2180" w:right="2556" w:firstLine="719"/>
      </w:pPr>
      <w:r>
        <w:rPr>
          <w:spacing w:val="-9"/>
        </w:rPr>
        <w:t>施工生产是一门系统工程。在一个多工种、多专业的大型施工现场，平行交</w:t>
      </w:r>
      <w:r>
        <w:rPr>
          <w:spacing w:val="-10"/>
        </w:rPr>
        <w:t>叉作业、共用平面和空间的情况很多，需要互相制约协作，才能保证安全生产。</w:t>
      </w:r>
      <w:r>
        <w:rPr>
          <w:spacing w:val="-12"/>
        </w:rPr>
        <w:t>因此，我们建立了以项目经理为项目安全生产第一责任人的安全小组，结合各个班组负责人对本工程的安全生产进行全面监控。</w:t>
      </w:r>
    </w:p>
    <w:p>
      <w:pPr>
        <w:pStyle w:val="BodyText"/>
        <w:spacing w:line="417" w:lineRule="auto"/>
        <w:ind w:left="2180" w:right="2697" w:firstLine="719"/>
      </w:pPr>
      <w:r>
        <w:rPr>
          <w:spacing w:val="-13"/>
        </w:rPr>
        <w:t>在这一套管理模式下，我们对其中的每个成员规定了各自在安全生产管理上</w:t>
      </w:r>
      <w:r>
        <w:t>的职责，即制订了上至项目经理、下至作业工人的安全生产责任制。</w:t>
      </w:r>
    </w:p>
    <w:p>
      <w:pPr>
        <w:pStyle w:val="BodyText"/>
        <w:spacing w:line="417" w:lineRule="auto"/>
        <w:ind w:left="2180" w:right="2699" w:firstLine="719"/>
        <w:jc w:val="both"/>
      </w:pPr>
      <w:r>
        <w:rPr>
          <w:spacing w:val="-8"/>
        </w:rPr>
        <w:t>安全宣传与教育是防止职工产生不安全行为、减少人为失误的重要途径，制</w:t>
      </w:r>
      <w:r>
        <w:rPr>
          <w:spacing w:val="-13"/>
        </w:rPr>
        <w:t>定了安全教育制度，包括三级安全教育制度、日常安全教育制度以及特种作业人</w:t>
      </w:r>
      <w:r>
        <w:t>员安全教育制度。</w:t>
      </w:r>
    </w:p>
    <w:p>
      <w:pPr>
        <w:pStyle w:val="BodyText"/>
        <w:spacing w:line="417" w:lineRule="auto"/>
        <w:ind w:left="2180" w:right="2556" w:firstLine="719"/>
      </w:pPr>
      <w:r>
        <w:rPr>
          <w:spacing w:val="-9"/>
        </w:rPr>
        <w:t>消除安全隐患是保证安全生产的关键，而安全检查是消除安全隐患的有力手</w:t>
      </w:r>
      <w:r>
        <w:rPr>
          <w:spacing w:val="-10"/>
        </w:rPr>
        <w:t>段之一，特制定了安全检查制度，包括日常、定期、综合、专业四种检查形式。</w:t>
      </w:r>
      <w:r>
        <w:rPr>
          <w:spacing w:val="-8"/>
        </w:rPr>
        <w:t>安全检查坚持领导与群众相结合、综合检查与专业检查相结合、检查与整改相结</w:t>
      </w:r>
    </w:p>
    <w:p>
      <w:pPr>
        <w:spacing w:after="0" w:line="417" w:lineRule="auto"/>
        <w:sectPr>
          <w:headerReference w:type="default" r:id="rId48"/>
          <w:footerReference w:type="default" r:id="rId49"/>
          <w:pgSz w:w="17860" w:h="25260"/>
          <w:pgMar w:top="1380" w:right="0" w:bottom="2020" w:left="520" w:header="1083" w:footer="1831"/>
          <w:pgNumType w:start="20"/>
          <w:cols w:space="708"/>
        </w:sectPr>
      </w:pPr>
    </w:p>
    <w:p>
      <w:pPr>
        <w:pStyle w:val="BodyText"/>
        <w:rPr>
          <w:sz w:val="20"/>
        </w:rPr>
      </w:pPr>
    </w:p>
    <w:p>
      <w:pPr>
        <w:pStyle w:val="BodyText"/>
        <w:spacing w:before="12"/>
        <w:rPr>
          <w:sz w:val="12"/>
        </w:rPr>
      </w:pPr>
    </w:p>
    <w:p>
      <w:pPr>
        <w:pStyle w:val="BodyText"/>
        <w:spacing w:before="97" w:line="417" w:lineRule="auto"/>
        <w:ind w:left="2180" w:right="2556"/>
      </w:pPr>
      <w:r>
        <w:t>合的原则。检查内容包括：查思想、查领导、查制度、查安全教育培训、查安全设施、查机械设备、查安全纪律以及劳保用品的使用。</w:t>
      </w:r>
    </w:p>
    <w:p>
      <w:pPr>
        <w:pStyle w:val="BodyText"/>
        <w:rPr>
          <w:sz w:val="50"/>
        </w:rPr>
      </w:pPr>
    </w:p>
    <w:p>
      <w:pPr>
        <w:pStyle w:val="BodyText"/>
        <w:rPr>
          <w:sz w:val="50"/>
        </w:rPr>
      </w:pPr>
    </w:p>
    <w:p>
      <w:pPr>
        <w:pStyle w:val="BodyText"/>
        <w:rPr>
          <w:sz w:val="50"/>
        </w:rPr>
      </w:pPr>
    </w:p>
    <w:p>
      <w:pPr>
        <w:pStyle w:val="BodyText"/>
        <w:spacing w:before="11"/>
        <w:rPr>
          <w:sz w:val="37"/>
        </w:rPr>
      </w:pPr>
    </w:p>
    <w:p>
      <w:pPr>
        <w:pStyle w:val="Heading3"/>
        <w:ind w:left="2900"/>
      </w:pPr>
      <w:r>
        <w:t>3、附：安全生产管理体系框图</w:t>
      </w:r>
    </w:p>
    <w:p>
      <w:pPr>
        <w:pStyle w:val="BodyText"/>
        <w:rPr>
          <w:b/>
          <w:sz w:val="50"/>
        </w:rPr>
      </w:pPr>
    </w:p>
    <w:p>
      <w:pPr>
        <w:pStyle w:val="BodyText"/>
        <w:spacing w:before="7"/>
        <w:rPr>
          <w:b/>
          <w:sz w:val="33"/>
        </w:rPr>
      </w:pPr>
    </w:p>
    <w:p>
      <w:pPr>
        <w:pStyle w:val="BodyText"/>
        <w:ind w:right="1613"/>
        <w:jc w:val="center"/>
        <w:rPr>
          <w:rFonts w:ascii="宋体" w:eastAsia="宋体" w:hint="eastAsia"/>
        </w:rPr>
      </w:pPr>
      <w:r>
        <w:drawing>
          <wp:anchor distT="0" distB="0" distL="0" distR="0" simplePos="0" relativeHeight="251662336" behindDoc="1" locked="0" layoutInCell="1" allowOverlap="1">
            <wp:simplePos x="0" y="0"/>
            <wp:positionH relativeFrom="page">
              <wp:posOffset>1066800</wp:posOffset>
            </wp:positionH>
            <wp:positionV relativeFrom="paragraph">
              <wp:posOffset>-76327</wp:posOffset>
            </wp:positionV>
            <wp:extent cx="9220200" cy="10566400"/>
            <wp:effectExtent l="0" t="0" r="0" b="0"/>
            <wp:wrapNone/>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50" cstate="print"/>
                    <a:stretch>
                      <a:fillRect/>
                    </a:stretch>
                  </pic:blipFill>
                  <pic:spPr>
                    <a:xfrm>
                      <a:off x="0" y="0"/>
                      <a:ext cx="9220200" cy="10566400"/>
                    </a:xfrm>
                    <a:prstGeom prst="rect">
                      <a:avLst/>
                    </a:prstGeom>
                  </pic:spPr>
                </pic:pic>
              </a:graphicData>
            </a:graphic>
          </wp:anchor>
        </w:drawing>
      </w:r>
      <w:r>
        <w:rPr>
          <w:rFonts w:ascii="宋体" w:eastAsia="宋体" w:hint="eastAsia"/>
        </w:rPr>
        <w:t>安全生产保证体系</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
        <w:rPr>
          <w:rFonts w:ascii="宋体"/>
          <w:sz w:val="21"/>
        </w:rPr>
      </w:pPr>
    </w:p>
    <w:p>
      <w:pPr>
        <w:spacing w:after="0"/>
        <w:rPr>
          <w:rFonts w:ascii="宋体"/>
          <w:sz w:val="21"/>
        </w:rPr>
        <w:sectPr>
          <w:headerReference w:type="default" r:id="rId51"/>
          <w:footerReference w:type="default" r:id="rId52"/>
          <w:pgSz w:w="17860" w:h="25260"/>
          <w:pgMar w:top="1380" w:right="0" w:bottom="0" w:left="520" w:header="1083" w:footer="0"/>
          <w:pgNumType w:start="21"/>
          <w:cols w:space="708"/>
        </w:sectPr>
      </w:pPr>
    </w:p>
    <w:p>
      <w:pPr>
        <w:pStyle w:val="BodyText"/>
        <w:spacing w:before="75"/>
        <w:ind w:left="1864"/>
        <w:rPr>
          <w:rFonts w:ascii="宋体" w:eastAsia="宋体" w:hint="eastAsia"/>
        </w:rPr>
      </w:pPr>
      <w:r>
        <w:rPr>
          <w:rFonts w:ascii="宋体" w:eastAsia="宋体" w:hint="eastAsia"/>
        </w:rPr>
        <w:t>思想保证</w:t>
      </w:r>
    </w:p>
    <w:p>
      <w:pPr>
        <w:pStyle w:val="BodyText"/>
        <w:tabs>
          <w:tab w:val="left" w:pos="5457"/>
          <w:tab w:val="left" w:pos="9742"/>
        </w:tabs>
        <w:spacing w:before="49"/>
        <w:ind w:left="1863"/>
        <w:rPr>
          <w:rFonts w:ascii="宋体" w:eastAsia="宋体" w:hint="eastAsia"/>
        </w:rPr>
      </w:pPr>
      <w:r>
        <w:br w:type="column"/>
      </w:r>
      <w:r>
        <w:rPr>
          <w:rFonts w:ascii="宋体" w:eastAsia="宋体" w:hint="eastAsia"/>
        </w:rPr>
        <w:t>组织保证</w:t>
        <w:tab/>
        <w:t>检查保证</w:t>
        <w:tab/>
        <w:t>经济保证</w:t>
      </w:r>
    </w:p>
    <w:p>
      <w:pPr>
        <w:spacing w:after="0"/>
        <w:rPr>
          <w:rFonts w:ascii="宋体" w:eastAsia="宋体" w:hint="eastAsia"/>
        </w:rPr>
        <w:sectPr>
          <w:headerReference w:type="default" r:id="rId53"/>
          <w:footerReference w:type="default" r:id="rId54"/>
          <w:type w:val="continuous"/>
          <w:pgSz w:w="17860" w:h="25260"/>
          <w:pgMar w:top="1260" w:right="0" w:bottom="2020" w:left="520" w:header="708" w:footer="708"/>
          <w:pgNumType w:start="22"/>
          <w:cols w:num="2" w:space="708" w:equalWidth="0">
            <w:col w:w="3345" w:space="152"/>
            <w:col w:w="13843"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6"/>
        </w:rPr>
      </w:pPr>
    </w:p>
    <w:p>
      <w:pPr>
        <w:spacing w:after="0"/>
        <w:rPr>
          <w:rFonts w:ascii="宋体"/>
          <w:sz w:val="26"/>
        </w:rPr>
        <w:sectPr>
          <w:headerReference w:type="default" r:id="rId55"/>
          <w:footerReference w:type="default" r:id="rId56"/>
          <w:type w:val="continuous"/>
          <w:pgSz w:w="17860" w:h="25260"/>
          <w:pgMar w:top="1260" w:right="0" w:bottom="2020" w:left="520" w:header="708" w:footer="708"/>
          <w:pgNumType w:start="23"/>
          <w:cols w:space="708"/>
        </w:sect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spacing w:before="267" w:line="327" w:lineRule="exact"/>
        <w:ind w:left="0" w:right="0" w:firstLine="0"/>
        <w:jc w:val="right"/>
        <w:rPr>
          <w:rFonts w:ascii="宋体" w:eastAsia="宋体" w:hint="eastAsia"/>
          <w:sz w:val="31"/>
        </w:rPr>
      </w:pPr>
      <w:r>
        <w:rPr>
          <w:rFonts w:ascii="宋体" w:eastAsia="宋体" w:hint="eastAsia"/>
          <w:w w:val="102"/>
          <w:sz w:val="31"/>
        </w:rPr>
        <w:t>特</w:t>
      </w:r>
    </w:p>
    <w:p>
      <w:pPr>
        <w:tabs>
          <w:tab w:val="left" w:pos="1051"/>
          <w:tab w:val="left" w:pos="2160"/>
        </w:tabs>
        <w:spacing w:before="0" w:line="317" w:lineRule="exact"/>
        <w:ind w:left="0" w:right="0" w:firstLine="0"/>
        <w:jc w:val="right"/>
        <w:rPr>
          <w:rFonts w:ascii="宋体" w:eastAsia="宋体" w:hint="eastAsia"/>
          <w:sz w:val="31"/>
        </w:rPr>
      </w:pPr>
      <w:r>
        <w:rPr>
          <w:rFonts w:ascii="宋体" w:eastAsia="宋体" w:hint="eastAsia"/>
          <w:sz w:val="31"/>
        </w:rPr>
        <w:t>普</w:t>
        <w:tab/>
      </w:r>
      <w:r>
        <w:rPr>
          <w:rFonts w:ascii="宋体" w:eastAsia="宋体" w:hint="eastAsia"/>
          <w:position w:val="6"/>
          <w:sz w:val="31"/>
        </w:rPr>
        <w:t>专</w:t>
        <w:tab/>
      </w:r>
      <w:r>
        <w:rPr>
          <w:rFonts w:ascii="宋体" w:eastAsia="宋体" w:hint="eastAsia"/>
          <w:sz w:val="31"/>
        </w:rPr>
        <w:t>殊</w:t>
      </w:r>
    </w:p>
    <w:p>
      <w:pPr>
        <w:tabs>
          <w:tab w:val="left" w:pos="1051"/>
          <w:tab w:val="left" w:pos="2160"/>
        </w:tabs>
        <w:spacing w:before="0" w:line="320" w:lineRule="exact"/>
        <w:ind w:left="0" w:right="0" w:firstLine="0"/>
        <w:jc w:val="right"/>
        <w:rPr>
          <w:rFonts w:ascii="宋体" w:eastAsia="宋体" w:hint="eastAsia"/>
          <w:sz w:val="31"/>
        </w:rPr>
      </w:pPr>
      <w:r>
        <w:rPr>
          <w:rFonts w:ascii="宋体" w:eastAsia="宋体" w:hint="eastAsia"/>
          <w:sz w:val="31"/>
        </w:rPr>
        <w:t>级</w:t>
        <w:tab/>
      </w:r>
      <w:r>
        <w:rPr>
          <w:rFonts w:ascii="宋体" w:eastAsia="宋体" w:hint="eastAsia"/>
          <w:position w:val="6"/>
          <w:sz w:val="31"/>
        </w:rPr>
        <w:t>业</w:t>
        <w:tab/>
      </w:r>
      <w:r>
        <w:rPr>
          <w:rFonts w:ascii="宋体" w:eastAsia="宋体" w:hint="eastAsia"/>
          <w:sz w:val="31"/>
        </w:rPr>
        <w:t>工</w:t>
      </w:r>
    </w:p>
    <w:p>
      <w:pPr>
        <w:tabs>
          <w:tab w:val="left" w:pos="1051"/>
          <w:tab w:val="left" w:pos="2160"/>
        </w:tabs>
        <w:spacing w:before="0" w:line="280" w:lineRule="exact"/>
        <w:ind w:left="0" w:right="0" w:firstLine="0"/>
        <w:jc w:val="right"/>
        <w:rPr>
          <w:rFonts w:ascii="宋体" w:eastAsia="宋体" w:hint="eastAsia"/>
          <w:sz w:val="31"/>
        </w:rPr>
      </w:pPr>
      <w:r>
        <w:rPr>
          <w:rFonts w:ascii="宋体" w:eastAsia="宋体" w:hint="eastAsia"/>
          <w:sz w:val="31"/>
        </w:rPr>
        <w:t>教</w:t>
        <w:tab/>
      </w:r>
      <w:r>
        <w:rPr>
          <w:rFonts w:ascii="宋体" w:eastAsia="宋体" w:hint="eastAsia"/>
          <w:position w:val="5"/>
          <w:sz w:val="31"/>
        </w:rPr>
        <w:t>教</w:t>
        <w:tab/>
      </w:r>
      <w:r>
        <w:rPr>
          <w:rFonts w:ascii="宋体" w:eastAsia="宋体" w:hint="eastAsia"/>
          <w:sz w:val="31"/>
        </w:rPr>
        <w:t>种</w:t>
      </w:r>
    </w:p>
    <w:p>
      <w:pPr>
        <w:pStyle w:val="BodyText"/>
        <w:spacing w:before="49"/>
        <w:ind w:left="931" w:right="20"/>
        <w:jc w:val="center"/>
        <w:rPr>
          <w:rFonts w:ascii="宋体" w:eastAsia="宋体" w:hint="eastAsia"/>
        </w:rPr>
      </w:pPr>
      <w:r>
        <w:br w:type="column"/>
      </w:r>
      <w:r>
        <w:rPr>
          <w:rFonts w:ascii="宋体" w:eastAsia="宋体" w:hint="eastAsia"/>
        </w:rPr>
        <w:t>部安全领导小组</w:t>
      </w:r>
    </w:p>
    <w:p>
      <w:pPr>
        <w:pStyle w:val="BodyText"/>
        <w:rPr>
          <w:rFonts w:ascii="宋体"/>
        </w:rPr>
      </w:pPr>
    </w:p>
    <w:p>
      <w:pPr>
        <w:pStyle w:val="BodyText"/>
        <w:spacing w:before="8"/>
        <w:rPr>
          <w:rFonts w:ascii="宋体"/>
          <w:sz w:val="37"/>
        </w:rPr>
      </w:pPr>
    </w:p>
    <w:p>
      <w:pPr>
        <w:pStyle w:val="BodyText"/>
        <w:ind w:left="902" w:right="20"/>
        <w:jc w:val="center"/>
        <w:rPr>
          <w:rFonts w:ascii="宋体" w:eastAsia="宋体" w:hint="eastAsia"/>
        </w:rPr>
      </w:pPr>
      <w:r>
        <w:rPr>
          <w:rFonts w:ascii="宋体" w:eastAsia="宋体" w:hint="eastAsia"/>
        </w:rPr>
        <w:t>安全质量科</w:t>
      </w:r>
    </w:p>
    <w:p>
      <w:pPr>
        <w:pStyle w:val="BodyText"/>
        <w:spacing w:before="7"/>
        <w:rPr>
          <w:rFonts w:ascii="宋体"/>
          <w:sz w:val="39"/>
        </w:rPr>
      </w:pPr>
      <w:r>
        <w:br w:type="column"/>
      </w:r>
    </w:p>
    <w:p>
      <w:pPr>
        <w:pStyle w:val="BodyText"/>
        <w:tabs>
          <w:tab w:val="left" w:pos="1981"/>
        </w:tabs>
        <w:ind w:left="1326"/>
        <w:rPr>
          <w:rFonts w:ascii="宋体" w:eastAsia="宋体" w:hint="eastAsia"/>
        </w:rPr>
      </w:pPr>
      <w:r>
        <w:rPr>
          <w:rFonts w:ascii="宋体" w:eastAsia="宋体" w:hint="eastAsia"/>
        </w:rPr>
        <w:t>每</w:t>
        <w:tab/>
        <w:t>季</w:t>
      </w:r>
    </w:p>
    <w:p>
      <w:pPr>
        <w:pStyle w:val="BodyText"/>
        <w:tabs>
          <w:tab w:val="left" w:pos="1981"/>
        </w:tabs>
        <w:spacing w:before="7" w:line="435" w:lineRule="exact"/>
        <w:ind w:left="1326"/>
        <w:rPr>
          <w:rFonts w:ascii="宋体" w:eastAsia="宋体" w:hAnsi="宋体" w:hint="eastAsia"/>
        </w:rPr>
      </w:pPr>
      <w:r>
        <w:rPr>
          <w:rFonts w:ascii="宋体" w:eastAsia="宋体" w:hAnsi="宋体" w:hint="eastAsia"/>
        </w:rPr>
        <w:t>—</w:t>
        <w:tab/>
        <w:t>次</w:t>
      </w:r>
    </w:p>
    <w:p>
      <w:pPr>
        <w:tabs>
          <w:tab w:val="left" w:pos="4103"/>
        </w:tabs>
        <w:spacing w:before="0" w:line="472" w:lineRule="exact"/>
        <w:ind w:left="1326" w:right="0" w:firstLine="0"/>
        <w:jc w:val="left"/>
        <w:rPr>
          <w:rFonts w:ascii="宋体" w:eastAsia="宋体" w:hint="eastAsia"/>
          <w:sz w:val="31"/>
        </w:rPr>
      </w:pPr>
      <w:r>
        <w:rPr>
          <w:rFonts w:ascii="宋体" w:eastAsia="宋体" w:hint="eastAsia"/>
          <w:sz w:val="36"/>
        </w:rPr>
        <w:t>检查</w:t>
        <w:tab/>
      </w:r>
      <w:r>
        <w:rPr>
          <w:rFonts w:ascii="宋体" w:eastAsia="宋体" w:hint="eastAsia"/>
          <w:position w:val="11"/>
          <w:sz w:val="31"/>
        </w:rPr>
        <w:t>按</w:t>
      </w:r>
    </w:p>
    <w:p>
      <w:pPr>
        <w:tabs>
          <w:tab w:val="left" w:pos="5055"/>
        </w:tabs>
        <w:spacing w:before="0" w:line="331" w:lineRule="exact"/>
        <w:ind w:left="4103" w:right="0" w:firstLine="0"/>
        <w:jc w:val="left"/>
        <w:rPr>
          <w:rFonts w:ascii="宋体" w:eastAsia="宋体" w:hint="eastAsia"/>
          <w:sz w:val="31"/>
        </w:rPr>
      </w:pPr>
      <w:r>
        <w:rPr>
          <w:rFonts w:ascii="宋体" w:eastAsia="宋体" w:hint="eastAsia"/>
          <w:sz w:val="31"/>
        </w:rPr>
        <w:t>规</w:t>
        <w:tab/>
        <w:t>逐</w:t>
      </w:r>
    </w:p>
    <w:p>
      <w:pPr>
        <w:tabs>
          <w:tab w:val="left" w:pos="5055"/>
          <w:tab w:val="left" w:pos="6052"/>
          <w:tab w:val="left" w:pos="6945"/>
        </w:tabs>
        <w:spacing w:before="0" w:line="204" w:lineRule="auto"/>
        <w:ind w:left="4103" w:right="0" w:firstLine="0"/>
        <w:jc w:val="left"/>
        <w:rPr>
          <w:rFonts w:ascii="宋体" w:eastAsia="宋体" w:hint="eastAsia"/>
          <w:sz w:val="31"/>
        </w:rPr>
      </w:pPr>
      <w:r>
        <w:rPr>
          <w:rFonts w:ascii="宋体" w:eastAsia="宋体" w:hint="eastAsia"/>
          <w:position w:val="-15"/>
          <w:sz w:val="31"/>
        </w:rPr>
        <w:t>定</w:t>
        <w:tab/>
        <w:t>级</w:t>
        <w:tab/>
      </w:r>
      <w:r>
        <w:rPr>
          <w:rFonts w:ascii="宋体" w:eastAsia="宋体" w:hint="eastAsia"/>
          <w:sz w:val="31"/>
        </w:rPr>
        <w:t>与</w:t>
        <w:tab/>
        <w:t>其</w:t>
      </w:r>
    </w:p>
    <w:p>
      <w:pPr>
        <w:tabs>
          <w:tab w:val="left" w:pos="4103"/>
          <w:tab w:val="left" w:pos="5055"/>
          <w:tab w:val="left" w:pos="6052"/>
          <w:tab w:val="left" w:pos="6945"/>
        </w:tabs>
        <w:spacing w:before="193" w:line="31" w:lineRule="auto"/>
        <w:ind w:left="3005" w:right="0" w:firstLine="0"/>
        <w:jc w:val="left"/>
        <w:rPr>
          <w:rFonts w:ascii="宋体" w:eastAsia="宋体" w:hint="eastAsia"/>
          <w:sz w:val="31"/>
        </w:rPr>
      </w:pPr>
      <w:r>
        <w:rPr>
          <w:rFonts w:ascii="宋体" w:eastAsia="宋体" w:hint="eastAsia"/>
          <w:position w:val="-18"/>
          <w:sz w:val="31"/>
        </w:rPr>
        <w:t>不</w:t>
        <w:tab/>
      </w:r>
      <w:r>
        <w:rPr>
          <w:rFonts w:ascii="宋体" w:eastAsia="宋体" w:hint="eastAsia"/>
          <w:sz w:val="31"/>
        </w:rPr>
        <w:t>提</w:t>
        <w:tab/>
        <w:t>签</w:t>
        <w:tab/>
      </w:r>
      <w:r>
        <w:rPr>
          <w:rFonts w:ascii="宋体" w:eastAsia="宋体" w:hint="eastAsia"/>
          <w:position w:val="-14"/>
          <w:sz w:val="31"/>
        </w:rPr>
        <w:t>百</w:t>
        <w:tab/>
      </w:r>
      <w:r>
        <w:rPr>
          <w:rFonts w:ascii="宋体" w:eastAsia="宋体" w:hint="eastAsia"/>
          <w:sz w:val="31"/>
        </w:rPr>
        <w:t>它</w:t>
      </w:r>
    </w:p>
    <w:p>
      <w:pPr>
        <w:spacing w:after="0" w:line="31" w:lineRule="auto"/>
        <w:jc w:val="left"/>
        <w:rPr>
          <w:rFonts w:ascii="宋体" w:eastAsia="宋体" w:hint="eastAsia"/>
          <w:sz w:val="31"/>
        </w:rPr>
        <w:sectPr>
          <w:headerReference w:type="default" r:id="rId57"/>
          <w:footerReference w:type="default" r:id="rId58"/>
          <w:type w:val="continuous"/>
          <w:pgSz w:w="17860" w:h="25260"/>
          <w:pgMar w:top="1260" w:right="0" w:bottom="2020" w:left="520" w:header="708" w:footer="708"/>
          <w:pgNumType w:start="24"/>
          <w:cols w:num="3" w:space="708" w:equalWidth="0">
            <w:col w:w="3804" w:space="40"/>
            <w:col w:w="3512" w:space="844"/>
            <w:col w:w="9140" w:space="0"/>
          </w:cols>
        </w:sectPr>
      </w:pPr>
    </w:p>
    <w:p>
      <w:pPr>
        <w:tabs>
          <w:tab w:val="left" w:pos="2377"/>
          <w:tab w:val="left" w:pos="3486"/>
        </w:tabs>
        <w:spacing w:before="25" w:line="189" w:lineRule="auto"/>
        <w:ind w:left="3486" w:right="0" w:hanging="2161"/>
        <w:jc w:val="right"/>
        <w:rPr>
          <w:rFonts w:ascii="宋体" w:eastAsia="宋体" w:hint="eastAsia"/>
          <w:sz w:val="31"/>
        </w:rPr>
      </w:pPr>
      <w:r>
        <w:rPr>
          <w:rFonts w:ascii="宋体" w:eastAsia="宋体" w:hint="eastAsia"/>
          <w:sz w:val="31"/>
        </w:rPr>
        <w:t>育</w:t>
        <w:tab/>
      </w:r>
      <w:r>
        <w:rPr>
          <w:rFonts w:ascii="宋体" w:eastAsia="宋体" w:hint="eastAsia"/>
          <w:position w:val="6"/>
          <w:sz w:val="31"/>
        </w:rPr>
        <w:t>育</w:t>
        <w:tab/>
        <w:tab/>
      </w:r>
      <w:r>
        <w:rPr>
          <w:rFonts w:ascii="宋体" w:eastAsia="宋体" w:hint="eastAsia"/>
          <w:sz w:val="31"/>
        </w:rPr>
        <w:t>教育</w:t>
      </w: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spacing w:before="3"/>
        <w:rPr>
          <w:rFonts w:ascii="宋体"/>
          <w:sz w:val="25"/>
        </w:rPr>
      </w:pPr>
    </w:p>
    <w:p>
      <w:pPr>
        <w:pStyle w:val="BodyText"/>
        <w:spacing w:before="1" w:line="312" w:lineRule="auto"/>
        <w:ind w:left="2043" w:right="678"/>
        <w:jc w:val="both"/>
        <w:rPr>
          <w:rFonts w:ascii="宋体" w:eastAsia="宋体" w:hint="eastAsia"/>
        </w:rPr>
      </w:pPr>
      <w:r>
        <w:rPr>
          <w:rFonts w:ascii="宋体" w:eastAsia="宋体" w:hint="eastAsia"/>
        </w:rPr>
        <w:t>强化安全意识增强预防能力</w:t>
      </w:r>
    </w:p>
    <w:p>
      <w:pPr>
        <w:tabs>
          <w:tab w:val="left" w:pos="2325"/>
          <w:tab w:val="left" w:pos="4208"/>
        </w:tabs>
        <w:spacing w:before="4" w:line="442" w:lineRule="exact"/>
        <w:ind w:left="1219" w:right="0" w:firstLine="0"/>
        <w:jc w:val="left"/>
        <w:rPr>
          <w:rFonts w:ascii="宋体" w:eastAsia="宋体" w:hint="eastAsia"/>
          <w:sz w:val="31"/>
        </w:rPr>
      </w:pPr>
      <w:r>
        <w:br w:type="column"/>
      </w:r>
      <w:r>
        <w:rPr>
          <w:rFonts w:ascii="宋体" w:eastAsia="宋体" w:hint="eastAsia"/>
          <w:sz w:val="31"/>
        </w:rPr>
        <w:t>队</w:t>
        <w:tab/>
        <w:t>员 专</w:t>
        <w:tab/>
      </w:r>
      <w:r>
        <w:rPr>
          <w:rFonts w:ascii="宋体" w:eastAsia="宋体" w:hint="eastAsia"/>
          <w:spacing w:val="-20"/>
          <w:position w:val="17"/>
          <w:sz w:val="31"/>
        </w:rPr>
        <w:t>定</w:t>
      </w:r>
    </w:p>
    <w:p>
      <w:pPr>
        <w:tabs>
          <w:tab w:val="left" w:pos="2793"/>
          <w:tab w:val="left" w:pos="4208"/>
        </w:tabs>
        <w:spacing w:before="0" w:line="122" w:lineRule="auto"/>
        <w:ind w:left="1219" w:right="0" w:firstLine="0"/>
        <w:jc w:val="left"/>
        <w:rPr>
          <w:rFonts w:ascii="宋体" w:eastAsia="宋体" w:hint="eastAsia"/>
          <w:sz w:val="31"/>
        </w:rPr>
      </w:pPr>
      <w:r>
        <w:rPr>
          <w:rFonts w:ascii="宋体" w:eastAsia="宋体" w:hint="eastAsia"/>
          <w:position w:val="-16"/>
          <w:sz w:val="31"/>
        </w:rPr>
        <w:t>安</w:t>
        <w:tab/>
      </w:r>
      <w:r>
        <w:rPr>
          <w:rFonts w:ascii="宋体" w:eastAsia="宋体" w:hint="eastAsia"/>
          <w:position w:val="-18"/>
          <w:sz w:val="31"/>
        </w:rPr>
        <w:t>（</w:t>
        <w:tab/>
      </w:r>
      <w:r>
        <w:rPr>
          <w:rFonts w:ascii="宋体" w:eastAsia="宋体" w:hint="eastAsia"/>
          <w:spacing w:val="-20"/>
          <w:sz w:val="31"/>
        </w:rPr>
        <w:t>其</w:t>
      </w:r>
    </w:p>
    <w:p>
      <w:pPr>
        <w:tabs>
          <w:tab w:val="left" w:pos="2793"/>
          <w:tab w:val="left" w:pos="4208"/>
        </w:tabs>
        <w:spacing w:before="0" w:line="120" w:lineRule="auto"/>
        <w:ind w:left="1219" w:right="0" w:firstLine="0"/>
        <w:jc w:val="left"/>
        <w:rPr>
          <w:rFonts w:ascii="宋体" w:eastAsia="宋体" w:hint="eastAsia"/>
          <w:sz w:val="31"/>
        </w:rPr>
      </w:pPr>
      <w:r>
        <w:rPr>
          <w:rFonts w:ascii="宋体" w:eastAsia="宋体" w:hint="eastAsia"/>
          <w:position w:val="-16"/>
          <w:sz w:val="31"/>
        </w:rPr>
        <w:t>全</w:t>
        <w:tab/>
      </w:r>
      <w:r>
        <w:rPr>
          <w:rFonts w:ascii="宋体" w:eastAsia="宋体" w:hint="eastAsia"/>
          <w:position w:val="-20"/>
          <w:sz w:val="31"/>
        </w:rPr>
        <w:t>兼</w:t>
        <w:tab/>
      </w:r>
      <w:r>
        <w:rPr>
          <w:rFonts w:ascii="宋体" w:eastAsia="宋体" w:hint="eastAsia"/>
          <w:spacing w:val="-20"/>
          <w:sz w:val="31"/>
        </w:rPr>
        <w:t>检</w:t>
      </w:r>
    </w:p>
    <w:p>
      <w:pPr>
        <w:tabs>
          <w:tab w:val="left" w:pos="2793"/>
          <w:tab w:val="left" w:pos="4208"/>
        </w:tabs>
        <w:spacing w:before="0" w:line="124" w:lineRule="auto"/>
        <w:ind w:left="1219" w:right="0" w:firstLine="0"/>
        <w:jc w:val="left"/>
        <w:rPr>
          <w:rFonts w:ascii="宋体" w:eastAsia="宋体" w:hint="eastAsia"/>
          <w:sz w:val="31"/>
        </w:rPr>
      </w:pPr>
      <w:r>
        <w:rPr>
          <w:rFonts w:ascii="宋体" w:eastAsia="宋体" w:hint="eastAsia"/>
          <w:position w:val="-16"/>
          <w:sz w:val="31"/>
        </w:rPr>
        <w:t>领</w:t>
        <w:tab/>
      </w:r>
      <w:r>
        <w:rPr>
          <w:rFonts w:ascii="宋体" w:eastAsia="宋体" w:hint="eastAsia"/>
          <w:position w:val="-22"/>
          <w:sz w:val="31"/>
        </w:rPr>
        <w:t>）</w:t>
        <w:tab/>
      </w:r>
      <w:r>
        <w:rPr>
          <w:rFonts w:ascii="宋体" w:eastAsia="宋体" w:hint="eastAsia"/>
          <w:spacing w:val="-20"/>
          <w:sz w:val="31"/>
        </w:rPr>
        <w:t>查</w:t>
      </w:r>
    </w:p>
    <w:p>
      <w:pPr>
        <w:tabs>
          <w:tab w:val="left" w:pos="2793"/>
        </w:tabs>
        <w:spacing w:before="0" w:line="395" w:lineRule="exact"/>
        <w:ind w:left="1219" w:right="0" w:firstLine="0"/>
        <w:jc w:val="left"/>
        <w:rPr>
          <w:rFonts w:ascii="宋体" w:eastAsia="宋体" w:hint="eastAsia"/>
          <w:sz w:val="31"/>
        </w:rPr>
      </w:pPr>
      <w:r>
        <w:rPr>
          <w:rFonts w:ascii="宋体" w:eastAsia="宋体" w:hint="eastAsia"/>
          <w:sz w:val="31"/>
        </w:rPr>
        <w:t>导</w:t>
        <w:tab/>
      </w:r>
      <w:r>
        <w:rPr>
          <w:rFonts w:ascii="宋体" w:eastAsia="宋体" w:hint="eastAsia"/>
          <w:position w:val="-7"/>
          <w:sz w:val="31"/>
        </w:rPr>
        <w:t>职</w:t>
      </w:r>
    </w:p>
    <w:p>
      <w:pPr>
        <w:tabs>
          <w:tab w:val="left" w:pos="2793"/>
        </w:tabs>
        <w:spacing w:before="0" w:line="122" w:lineRule="auto"/>
        <w:ind w:left="1219" w:right="0" w:firstLine="0"/>
        <w:jc w:val="left"/>
        <w:rPr>
          <w:rFonts w:ascii="宋体" w:eastAsia="宋体" w:hint="eastAsia"/>
          <w:sz w:val="31"/>
        </w:rPr>
      </w:pPr>
      <w:r>
        <w:rPr>
          <w:rFonts w:ascii="宋体" w:eastAsia="宋体" w:hint="eastAsia"/>
          <w:sz w:val="31"/>
        </w:rPr>
        <w:t>小</w:t>
        <w:tab/>
      </w:r>
      <w:r>
        <w:rPr>
          <w:rFonts w:ascii="宋体" w:eastAsia="宋体" w:hint="eastAsia"/>
          <w:position w:val="-9"/>
          <w:sz w:val="31"/>
        </w:rPr>
        <w:t>安</w:t>
      </w:r>
    </w:p>
    <w:p>
      <w:pPr>
        <w:tabs>
          <w:tab w:val="left" w:pos="2793"/>
        </w:tabs>
        <w:spacing w:before="0" w:line="168" w:lineRule="auto"/>
        <w:ind w:left="1219" w:right="0" w:firstLine="0"/>
        <w:jc w:val="left"/>
        <w:rPr>
          <w:rFonts w:ascii="宋体" w:eastAsia="宋体" w:hint="eastAsia"/>
          <w:sz w:val="31"/>
        </w:rPr>
      </w:pPr>
      <w:r>
        <w:rPr>
          <w:rFonts w:ascii="宋体" w:eastAsia="宋体" w:hint="eastAsia"/>
          <w:sz w:val="31"/>
        </w:rPr>
        <w:t>组</w:t>
        <w:tab/>
      </w:r>
      <w:r>
        <w:rPr>
          <w:rFonts w:ascii="宋体" w:eastAsia="宋体" w:hint="eastAsia"/>
          <w:position w:val="-11"/>
          <w:sz w:val="31"/>
        </w:rPr>
        <w:t>全</w:t>
      </w:r>
    </w:p>
    <w:p>
      <w:pPr>
        <w:pStyle w:val="BodyText"/>
        <w:rPr>
          <w:rFonts w:ascii="宋体"/>
          <w:sz w:val="44"/>
        </w:rPr>
      </w:pPr>
    </w:p>
    <w:p>
      <w:pPr>
        <w:pStyle w:val="BodyText"/>
        <w:rPr>
          <w:rFonts w:ascii="宋体"/>
          <w:sz w:val="44"/>
        </w:rPr>
      </w:pPr>
    </w:p>
    <w:p>
      <w:pPr>
        <w:pStyle w:val="BodyText"/>
        <w:rPr>
          <w:rFonts w:ascii="宋体"/>
          <w:sz w:val="44"/>
        </w:rPr>
      </w:pPr>
    </w:p>
    <w:p>
      <w:pPr>
        <w:pStyle w:val="BodyText"/>
        <w:spacing w:before="9"/>
        <w:rPr>
          <w:rFonts w:ascii="宋体"/>
          <w:sz w:val="45"/>
        </w:rPr>
      </w:pPr>
    </w:p>
    <w:p>
      <w:pPr>
        <w:tabs>
          <w:tab w:val="left" w:pos="2793"/>
        </w:tabs>
        <w:spacing w:before="1" w:line="122" w:lineRule="auto"/>
        <w:ind w:left="1219" w:right="0" w:firstLine="0"/>
        <w:jc w:val="left"/>
        <w:rPr>
          <w:rFonts w:ascii="宋体" w:eastAsia="宋体" w:hint="eastAsia"/>
          <w:sz w:val="31"/>
        </w:rPr>
      </w:pPr>
      <w:r>
        <w:rPr>
          <w:rFonts w:ascii="宋体" w:eastAsia="宋体" w:hint="eastAsia"/>
          <w:position w:val="-15"/>
          <w:sz w:val="31"/>
        </w:rPr>
        <w:t>班</w:t>
        <w:tab/>
      </w:r>
      <w:r>
        <w:rPr>
          <w:rFonts w:ascii="宋体" w:eastAsia="宋体" w:hint="eastAsia"/>
          <w:sz w:val="31"/>
        </w:rPr>
        <w:t>义</w:t>
      </w:r>
    </w:p>
    <w:p>
      <w:pPr>
        <w:spacing w:before="0" w:line="238" w:lineRule="exact"/>
        <w:ind w:left="0" w:right="1412" w:firstLine="0"/>
        <w:jc w:val="right"/>
        <w:rPr>
          <w:rFonts w:ascii="宋体" w:eastAsia="宋体" w:hint="eastAsia"/>
          <w:sz w:val="31"/>
        </w:rPr>
      </w:pPr>
      <w:r>
        <w:rPr>
          <w:rFonts w:ascii="宋体" w:eastAsia="宋体" w:hint="eastAsia"/>
          <w:w w:val="102"/>
          <w:sz w:val="31"/>
        </w:rPr>
        <w:t>务</w:t>
      </w:r>
    </w:p>
    <w:p>
      <w:pPr>
        <w:tabs>
          <w:tab w:val="left" w:pos="1573"/>
        </w:tabs>
        <w:spacing w:before="0" w:line="315" w:lineRule="exact"/>
        <w:ind w:left="0" w:right="1412" w:firstLine="0"/>
        <w:jc w:val="right"/>
        <w:rPr>
          <w:rFonts w:ascii="宋体" w:eastAsia="宋体" w:hint="eastAsia"/>
          <w:sz w:val="31"/>
        </w:rPr>
      </w:pPr>
      <w:r>
        <w:rPr>
          <w:rFonts w:ascii="宋体" w:eastAsia="宋体" w:hint="eastAsia"/>
          <w:sz w:val="31"/>
        </w:rPr>
        <w:t>组</w:t>
        <w:tab/>
        <w:t>安</w:t>
      </w:r>
    </w:p>
    <w:p>
      <w:pPr>
        <w:tabs>
          <w:tab w:val="left" w:pos="2793"/>
        </w:tabs>
        <w:spacing w:before="31" w:line="122" w:lineRule="auto"/>
        <w:ind w:left="1219" w:right="0" w:firstLine="0"/>
        <w:jc w:val="left"/>
        <w:rPr>
          <w:rFonts w:ascii="宋体" w:eastAsia="宋体" w:hint="eastAsia"/>
          <w:sz w:val="31"/>
        </w:rPr>
      </w:pPr>
      <w:r>
        <w:rPr>
          <w:rFonts w:ascii="宋体" w:eastAsia="宋体" w:hint="eastAsia"/>
          <w:position w:val="-15"/>
          <w:sz w:val="31"/>
        </w:rPr>
        <w:t>长</w:t>
        <w:tab/>
      </w:r>
      <w:r>
        <w:rPr>
          <w:rFonts w:ascii="宋体" w:eastAsia="宋体" w:hint="eastAsia"/>
          <w:sz w:val="31"/>
        </w:rPr>
        <w:t>全</w:t>
      </w:r>
    </w:p>
    <w:p>
      <w:pPr>
        <w:spacing w:before="0" w:line="278" w:lineRule="exact"/>
        <w:ind w:left="0" w:right="1412" w:firstLine="0"/>
        <w:jc w:val="right"/>
        <w:rPr>
          <w:rFonts w:ascii="宋体" w:eastAsia="宋体" w:hint="eastAsia"/>
          <w:sz w:val="31"/>
        </w:rPr>
      </w:pPr>
      <w:r>
        <w:rPr>
          <w:rFonts w:ascii="宋体" w:eastAsia="宋体" w:hint="eastAsia"/>
          <w:w w:val="102"/>
          <w:sz w:val="31"/>
        </w:rPr>
        <w:t>员</w:t>
      </w:r>
    </w:p>
    <w:p>
      <w:pPr>
        <w:tabs>
          <w:tab w:val="left" w:pos="2797"/>
        </w:tabs>
        <w:spacing w:before="74" w:line="449" w:lineRule="exact"/>
        <w:ind w:left="1139" w:right="0" w:firstLine="0"/>
        <w:jc w:val="left"/>
        <w:rPr>
          <w:rFonts w:ascii="宋体" w:eastAsia="宋体" w:hint="eastAsia"/>
          <w:sz w:val="31"/>
        </w:rPr>
      </w:pPr>
      <w:r>
        <w:br w:type="column"/>
      </w:r>
      <w:r>
        <w:rPr>
          <w:rFonts w:ascii="宋体" w:eastAsia="宋体" w:hint="eastAsia"/>
          <w:sz w:val="36"/>
        </w:rPr>
        <w:t>（队）</w:t>
        <w:tab/>
      </w:r>
      <w:r>
        <w:rPr>
          <w:rFonts w:ascii="宋体" w:eastAsia="宋体" w:hint="eastAsia"/>
          <w:spacing w:val="-20"/>
          <w:position w:val="-3"/>
          <w:sz w:val="31"/>
        </w:rPr>
        <w:t>定</w:t>
      </w:r>
    </w:p>
    <w:p>
      <w:pPr>
        <w:tabs>
          <w:tab w:val="left" w:pos="2797"/>
        </w:tabs>
        <w:spacing w:before="0" w:line="367" w:lineRule="exact"/>
        <w:ind w:left="1117" w:right="0" w:firstLine="0"/>
        <w:jc w:val="left"/>
        <w:rPr>
          <w:rFonts w:ascii="宋体" w:eastAsia="宋体" w:hint="eastAsia"/>
          <w:sz w:val="31"/>
        </w:rPr>
      </w:pPr>
      <w:r>
        <w:rPr>
          <w:rFonts w:ascii="宋体" w:eastAsia="宋体" w:hint="eastAsia"/>
          <w:sz w:val="36"/>
        </w:rPr>
        <w:t>每月</w:t>
        <w:tab/>
      </w:r>
      <w:r>
        <w:rPr>
          <w:rFonts w:ascii="宋体" w:eastAsia="宋体" w:hint="eastAsia"/>
          <w:spacing w:val="-20"/>
          <w:position w:val="9"/>
          <w:sz w:val="31"/>
        </w:rPr>
        <w:t>期</w:t>
      </w:r>
    </w:p>
    <w:p>
      <w:pPr>
        <w:tabs>
          <w:tab w:val="left" w:pos="2797"/>
        </w:tabs>
        <w:spacing w:before="0" w:line="540" w:lineRule="exact"/>
        <w:ind w:left="1117" w:right="0" w:firstLine="0"/>
        <w:jc w:val="left"/>
        <w:rPr>
          <w:rFonts w:ascii="宋体" w:eastAsia="宋体" w:hint="eastAsia"/>
          <w:sz w:val="31"/>
        </w:rPr>
      </w:pPr>
      <w:r>
        <w:pict>
          <v:shape id="_x0000_s1049" type="#_x0000_t202" style="width:15.85pt;height:15.85pt;margin-top:12.91pt;margin-left:586.29pt;mso-position-horizontal-relative:page;position:absolute;z-index:-25165312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查</w:t>
                  </w:r>
                </w:p>
              </w:txbxContent>
            </v:textbox>
          </v:shape>
        </w:pict>
      </w:r>
      <w:r>
        <w:rPr>
          <w:rFonts w:ascii="宋体" w:eastAsia="宋体" w:hint="eastAsia"/>
          <w:sz w:val="36"/>
        </w:rPr>
        <w:t>一次</w:t>
        <w:tab/>
      </w:r>
      <w:r>
        <w:rPr>
          <w:rFonts w:ascii="宋体" w:eastAsia="宋体" w:hint="eastAsia"/>
          <w:spacing w:val="-20"/>
          <w:position w:val="23"/>
          <w:sz w:val="31"/>
        </w:rPr>
        <w:t>检</w:t>
      </w:r>
    </w:p>
    <w:p>
      <w:pPr>
        <w:pStyle w:val="BodyText"/>
        <w:spacing w:line="456" w:lineRule="exact"/>
        <w:ind w:left="1117"/>
        <w:rPr>
          <w:rFonts w:ascii="宋体" w:eastAsia="宋体" w:hint="eastAsia"/>
        </w:rPr>
      </w:pPr>
      <w:r>
        <w:rPr>
          <w:rFonts w:ascii="宋体" w:eastAsia="宋体" w:hint="eastAsia"/>
        </w:rPr>
        <w:t>检查</w:t>
      </w:r>
    </w:p>
    <w:p>
      <w:pPr>
        <w:pStyle w:val="BodyText"/>
        <w:rPr>
          <w:rFonts w:ascii="宋体"/>
        </w:rPr>
      </w:pPr>
    </w:p>
    <w:p>
      <w:pPr>
        <w:pStyle w:val="BodyText"/>
        <w:spacing w:before="8"/>
        <w:rPr>
          <w:rFonts w:ascii="宋体"/>
          <w:sz w:val="30"/>
        </w:rPr>
      </w:pPr>
    </w:p>
    <w:p>
      <w:pPr>
        <w:pStyle w:val="BodyText"/>
        <w:spacing w:line="242" w:lineRule="auto"/>
        <w:ind w:left="1225" w:right="1081"/>
        <w:jc w:val="both"/>
        <w:rPr>
          <w:rFonts w:ascii="宋体" w:eastAsia="宋体" w:hint="eastAsia"/>
        </w:rPr>
      </w:pPr>
      <w:r>
        <w:rPr>
          <w:rFonts w:ascii="宋体" w:eastAsia="宋体" w:hint="eastAsia"/>
          <w:spacing w:val="34"/>
        </w:rPr>
        <w:t>工班每周一次</w:t>
      </w:r>
      <w:r>
        <w:rPr>
          <w:rFonts w:ascii="宋体" w:eastAsia="宋体" w:hint="eastAsia"/>
        </w:rPr>
        <w:t>检查</w:t>
      </w:r>
    </w:p>
    <w:p>
      <w:pPr>
        <w:pStyle w:val="BodyText"/>
        <w:rPr>
          <w:rFonts w:ascii="宋体"/>
        </w:rPr>
      </w:pPr>
    </w:p>
    <w:p>
      <w:pPr>
        <w:pStyle w:val="BodyText"/>
        <w:rPr>
          <w:rFonts w:ascii="宋体"/>
        </w:rPr>
      </w:pPr>
    </w:p>
    <w:p>
      <w:pPr>
        <w:pStyle w:val="BodyText"/>
        <w:spacing w:before="257" w:line="242" w:lineRule="auto"/>
        <w:ind w:left="1225" w:right="1081"/>
        <w:jc w:val="both"/>
        <w:rPr>
          <w:rFonts w:ascii="宋体" w:eastAsia="宋体" w:hint="eastAsia"/>
        </w:rPr>
      </w:pPr>
      <w:r>
        <w:rPr>
          <w:rFonts w:ascii="宋体" w:eastAsia="宋体" w:hint="eastAsia"/>
          <w:spacing w:val="34"/>
        </w:rPr>
        <w:t>班组每天</w:t>
      </w:r>
      <w:r>
        <w:rPr>
          <w:rFonts w:ascii="宋体" w:eastAsia="宋体" w:hint="eastAsia"/>
        </w:rPr>
        <w:t>检查</w:t>
      </w:r>
    </w:p>
    <w:p>
      <w:pPr>
        <w:tabs>
          <w:tab w:val="left" w:pos="1692"/>
          <w:tab w:val="left" w:pos="3582"/>
        </w:tabs>
        <w:spacing w:before="153" w:line="201" w:lineRule="auto"/>
        <w:ind w:left="741" w:right="0" w:firstLine="0"/>
        <w:jc w:val="left"/>
        <w:rPr>
          <w:rFonts w:ascii="宋体" w:eastAsia="宋体" w:hint="eastAsia"/>
          <w:sz w:val="31"/>
        </w:rPr>
      </w:pPr>
      <w:r>
        <w:br w:type="column"/>
      </w:r>
      <w:r>
        <w:rPr>
          <w:rFonts w:ascii="宋体" w:eastAsia="宋体" w:hint="eastAsia"/>
          <w:sz w:val="31"/>
        </w:rPr>
        <w:t>取</w:t>
        <w:tab/>
        <w:t>订</w:t>
        <w:tab/>
      </w:r>
      <w:r>
        <w:rPr>
          <w:rFonts w:ascii="宋体" w:eastAsia="宋体" w:hint="eastAsia"/>
          <w:position w:val="-14"/>
          <w:sz w:val="31"/>
        </w:rPr>
        <w:t>经</w:t>
      </w:r>
    </w:p>
    <w:p>
      <w:pPr>
        <w:tabs>
          <w:tab w:val="left" w:pos="1692"/>
          <w:tab w:val="left" w:pos="2689"/>
        </w:tabs>
        <w:spacing w:before="0" w:line="317" w:lineRule="exact"/>
        <w:ind w:left="741" w:right="0" w:firstLine="0"/>
        <w:jc w:val="left"/>
        <w:rPr>
          <w:rFonts w:ascii="宋体" w:eastAsia="宋体" w:hint="eastAsia"/>
          <w:sz w:val="31"/>
        </w:rPr>
      </w:pPr>
      <w:r>
        <w:rPr>
          <w:rFonts w:ascii="宋体" w:eastAsia="宋体" w:hint="eastAsia"/>
          <w:sz w:val="31"/>
        </w:rPr>
        <w:t>技</w:t>
        <w:tab/>
        <w:t>包</w:t>
        <w:tab/>
        <w:t>含</w:t>
      </w:r>
    </w:p>
    <w:p>
      <w:pPr>
        <w:tabs>
          <w:tab w:val="left" w:pos="1692"/>
          <w:tab w:val="left" w:pos="3582"/>
        </w:tabs>
        <w:spacing w:before="0" w:line="472" w:lineRule="exact"/>
        <w:ind w:left="741" w:right="0" w:firstLine="0"/>
        <w:jc w:val="left"/>
        <w:rPr>
          <w:rFonts w:ascii="宋体" w:eastAsia="宋体" w:hint="eastAsia"/>
          <w:sz w:val="31"/>
        </w:rPr>
      </w:pPr>
      <w:r>
        <w:rPr>
          <w:rFonts w:ascii="宋体" w:eastAsia="宋体" w:hint="eastAsia"/>
          <w:sz w:val="31"/>
        </w:rPr>
        <w:t>术</w:t>
        <w:tab/>
        <w:t>保</w:t>
        <w:tab/>
      </w:r>
      <w:r>
        <w:rPr>
          <w:rFonts w:ascii="宋体" w:eastAsia="宋体" w:hint="eastAsia"/>
          <w:position w:val="16"/>
          <w:sz w:val="31"/>
        </w:rPr>
        <w:t>济</w:t>
      </w:r>
    </w:p>
    <w:p>
      <w:pPr>
        <w:tabs>
          <w:tab w:val="left" w:pos="1692"/>
          <w:tab w:val="left" w:pos="2689"/>
          <w:tab w:val="left" w:pos="3582"/>
        </w:tabs>
        <w:spacing w:before="0" w:line="514" w:lineRule="exact"/>
        <w:ind w:left="741" w:right="0" w:firstLine="0"/>
        <w:jc w:val="left"/>
        <w:rPr>
          <w:rFonts w:ascii="宋体" w:eastAsia="宋体" w:hint="eastAsia"/>
          <w:sz w:val="31"/>
        </w:rPr>
      </w:pPr>
      <w:r>
        <w:rPr>
          <w:rFonts w:ascii="宋体" w:eastAsia="宋体" w:hint="eastAsia"/>
          <w:sz w:val="31"/>
        </w:rPr>
        <w:t>措</w:t>
        <w:tab/>
        <w:t>责</w:t>
        <w:tab/>
      </w:r>
      <w:r>
        <w:rPr>
          <w:rFonts w:ascii="宋体" w:eastAsia="宋体" w:hint="eastAsia"/>
          <w:position w:val="16"/>
          <w:sz w:val="31"/>
        </w:rPr>
        <w:t>挂</w:t>
        <w:tab/>
      </w:r>
      <w:r>
        <w:rPr>
          <w:rFonts w:ascii="宋体" w:eastAsia="宋体" w:hint="eastAsia"/>
          <w:sz w:val="31"/>
        </w:rPr>
        <w:t>奖</w:t>
      </w:r>
    </w:p>
    <w:p>
      <w:pPr>
        <w:tabs>
          <w:tab w:val="left" w:pos="1692"/>
          <w:tab w:val="left" w:pos="2689"/>
          <w:tab w:val="left" w:pos="3582"/>
        </w:tabs>
        <w:spacing w:before="100" w:line="199" w:lineRule="auto"/>
        <w:ind w:left="741" w:right="0" w:firstLine="0"/>
        <w:jc w:val="left"/>
        <w:rPr>
          <w:rFonts w:ascii="宋体" w:eastAsia="宋体" w:hint="eastAsia"/>
          <w:sz w:val="31"/>
        </w:rPr>
      </w:pPr>
      <w:r>
        <w:rPr>
          <w:rFonts w:ascii="宋体" w:eastAsia="宋体" w:hint="eastAsia"/>
          <w:sz w:val="31"/>
        </w:rPr>
        <w:t>施</w:t>
        <w:tab/>
        <w:t>任</w:t>
        <w:tab/>
      </w:r>
      <w:r>
        <w:rPr>
          <w:rFonts w:ascii="宋体" w:eastAsia="宋体" w:hint="eastAsia"/>
          <w:position w:val="-15"/>
          <w:sz w:val="31"/>
        </w:rPr>
        <w:t>物</w:t>
        <w:tab/>
        <w:t>罚</w:t>
      </w:r>
    </w:p>
    <w:p>
      <w:pPr>
        <w:tabs>
          <w:tab w:val="left" w:pos="1692"/>
        </w:tabs>
        <w:spacing w:before="0" w:line="357" w:lineRule="exact"/>
        <w:ind w:left="741" w:right="0" w:firstLine="0"/>
        <w:jc w:val="left"/>
        <w:rPr>
          <w:rFonts w:ascii="宋体" w:eastAsia="宋体" w:hint="eastAsia"/>
          <w:sz w:val="31"/>
        </w:rPr>
      </w:pPr>
      <w:r>
        <w:rPr>
          <w:rFonts w:ascii="宋体" w:eastAsia="宋体" w:hint="eastAsia"/>
          <w:sz w:val="31"/>
        </w:rPr>
        <w:t>经</w:t>
        <w:tab/>
        <w:t>状</w:t>
      </w:r>
    </w:p>
    <w:p>
      <w:pPr>
        <w:spacing w:before="75"/>
        <w:ind w:left="741" w:right="0" w:firstLine="0"/>
        <w:jc w:val="left"/>
        <w:rPr>
          <w:rFonts w:ascii="宋体" w:eastAsia="宋体" w:hint="eastAsia"/>
          <w:sz w:val="31"/>
        </w:rPr>
      </w:pPr>
      <w:r>
        <w:rPr>
          <w:rFonts w:ascii="宋体" w:eastAsia="宋体" w:hint="eastAsia"/>
          <w:w w:val="102"/>
          <w:sz w:val="31"/>
        </w:rPr>
        <w:t>费</w:t>
      </w:r>
    </w:p>
    <w:p>
      <w:pPr>
        <w:spacing w:after="0"/>
        <w:jc w:val="left"/>
        <w:rPr>
          <w:rFonts w:ascii="宋体" w:eastAsia="宋体" w:hint="eastAsia"/>
          <w:sz w:val="31"/>
        </w:rPr>
        <w:sectPr>
          <w:headerReference w:type="default" r:id="rId59"/>
          <w:footerReference w:type="default" r:id="rId60"/>
          <w:type w:val="continuous"/>
          <w:pgSz w:w="17860" w:h="25260"/>
          <w:pgMar w:top="1260" w:right="0" w:bottom="2020" w:left="520" w:header="708" w:footer="708"/>
          <w:pgNumType w:start="25"/>
          <w:cols w:num="4" w:space="708" w:equalWidth="0">
            <w:col w:w="3804" w:space="40"/>
            <w:col w:w="4526" w:space="39"/>
            <w:col w:w="3115" w:space="39"/>
            <w:col w:w="5777" w:space="0"/>
          </w:cols>
        </w:sectPr>
      </w:pPr>
    </w:p>
    <w:p>
      <w:pPr>
        <w:pStyle w:val="BodyText"/>
        <w:spacing w:before="2"/>
        <w:rPr>
          <w:rFonts w:ascii="宋体"/>
          <w:sz w:val="15"/>
        </w:rPr>
      </w:pPr>
    </w:p>
    <w:p>
      <w:pPr>
        <w:spacing w:before="62"/>
        <w:ind w:left="0" w:right="3515" w:firstLine="0"/>
        <w:jc w:val="center"/>
        <w:rPr>
          <w:rFonts w:ascii="宋体" w:eastAsia="宋体" w:hint="eastAsia"/>
          <w:sz w:val="27"/>
        </w:rPr>
      </w:pPr>
      <w:r>
        <w:rPr>
          <w:rFonts w:ascii="宋体" w:eastAsia="宋体" w:hint="eastAsia"/>
          <w:sz w:val="27"/>
        </w:rPr>
        <w:t>整理分享</w:t>
      </w:r>
    </w:p>
    <w:p>
      <w:pPr>
        <w:pStyle w:val="BodyText"/>
        <w:rPr>
          <w:rFonts w:ascii="宋体"/>
          <w:sz w:val="20"/>
        </w:rPr>
      </w:pPr>
    </w:p>
    <w:p>
      <w:pPr>
        <w:pStyle w:val="BodyText"/>
        <w:spacing w:before="10"/>
        <w:rPr>
          <w:rFonts w:ascii="宋体"/>
          <w:sz w:val="21"/>
        </w:rPr>
      </w:pPr>
    </w:p>
    <w:p>
      <w:pPr>
        <w:tabs>
          <w:tab w:val="left" w:pos="8049"/>
          <w:tab w:val="left" w:pos="13371"/>
        </w:tabs>
        <w:spacing w:before="54"/>
        <w:ind w:left="4959" w:right="0" w:firstLine="0"/>
        <w:jc w:val="left"/>
        <w:rPr>
          <w:rFonts w:ascii="宋体" w:eastAsia="宋体" w:hint="eastAsia"/>
          <w:sz w:val="36"/>
        </w:rPr>
      </w:pPr>
      <w:r>
        <w:rPr>
          <w:rFonts w:ascii="宋体" w:eastAsia="宋体" w:hint="eastAsia"/>
          <w:position w:val="1"/>
          <w:sz w:val="36"/>
        </w:rPr>
        <w:t>开展安全活动</w:t>
        <w:tab/>
      </w:r>
      <w:r>
        <w:rPr>
          <w:rFonts w:ascii="宋体" w:eastAsia="宋体" w:hint="eastAsia"/>
          <w:sz w:val="33"/>
        </w:rPr>
        <w:t>对安全隐患逐一落实解决</w:t>
        <w:tab/>
      </w:r>
      <w:r>
        <w:rPr>
          <w:rFonts w:ascii="宋体" w:eastAsia="宋体" w:hint="eastAsia"/>
          <w:position w:val="1"/>
          <w:sz w:val="36"/>
        </w:rPr>
        <w:t>经济兑现</w:t>
      </w:r>
    </w:p>
    <w:p>
      <w:pPr>
        <w:spacing w:after="0"/>
        <w:jc w:val="left"/>
        <w:rPr>
          <w:rFonts w:ascii="宋体" w:eastAsia="宋体" w:hint="eastAsia"/>
          <w:sz w:val="36"/>
        </w:rPr>
        <w:sectPr>
          <w:headerReference w:type="default" r:id="rId61"/>
          <w:footerReference w:type="default" r:id="rId62"/>
          <w:type w:val="continuous"/>
          <w:pgSz w:w="17860" w:h="25260"/>
          <w:pgMar w:top="1260" w:right="0" w:bottom="2020" w:left="520" w:header="708" w:footer="708"/>
          <w:pgNumType w:start="26"/>
          <w:cols w:space="708"/>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4"/>
        <w:rPr>
          <w:rFonts w:ascii="宋体"/>
          <w:sz w:val="20"/>
        </w:rPr>
      </w:pPr>
    </w:p>
    <w:p>
      <w:pPr>
        <w:spacing w:before="98"/>
        <w:ind w:left="2180" w:right="0" w:firstLine="0"/>
        <w:jc w:val="left"/>
        <w:rPr>
          <w:b/>
          <w:sz w:val="42"/>
        </w:rPr>
      </w:pPr>
      <w:r>
        <w:rPr>
          <w:b/>
          <w:sz w:val="42"/>
        </w:rPr>
        <w:t>二、安全生产管理保证措施</w:t>
      </w:r>
    </w:p>
    <w:p>
      <w:pPr>
        <w:pStyle w:val="BodyText"/>
        <w:spacing w:before="416" w:line="417" w:lineRule="auto"/>
        <w:ind w:left="2180" w:right="2697" w:firstLine="719"/>
      </w:pPr>
      <w:r>
        <w:rPr>
          <w:spacing w:val="-7"/>
        </w:rPr>
        <w:t>实行施工现场安全标准化是实现安全生产的根本措施，是强化安全管理和安</w:t>
      </w:r>
      <w:r>
        <w:t>全技术的有效途径。所以，我们针对该工程的实际情况制订相应的技术措施。</w:t>
      </w:r>
    </w:p>
    <w:p>
      <w:pPr>
        <w:pStyle w:val="ListParagraph"/>
        <w:numPr>
          <w:ilvl w:val="0"/>
          <w:numId w:val="5"/>
        </w:numPr>
        <w:tabs>
          <w:tab w:val="left" w:pos="3820"/>
        </w:tabs>
        <w:spacing w:before="0" w:after="0" w:line="417" w:lineRule="auto"/>
        <w:ind w:left="2180" w:right="2697" w:firstLine="719"/>
        <w:jc w:val="both"/>
        <w:rPr>
          <w:sz w:val="36"/>
        </w:rPr>
      </w:pPr>
      <w:r>
        <w:rPr>
          <w:sz w:val="36"/>
        </w:rPr>
        <w:t>要加强对参加施工人员进行安全意识教育，要严格遵守国家部、省有</w:t>
      </w:r>
      <w:r>
        <w:rPr>
          <w:spacing w:val="-8"/>
          <w:sz w:val="36"/>
        </w:rPr>
        <w:t>关安全法规以及公司有关安全技术规程和规定，所有职工都要把安全工作放在首</w:t>
      </w:r>
      <w:r>
        <w:rPr>
          <w:sz w:val="36"/>
        </w:rPr>
        <w:t>位来对待。</w:t>
      </w:r>
    </w:p>
    <w:p>
      <w:pPr>
        <w:pStyle w:val="ListParagraph"/>
        <w:numPr>
          <w:ilvl w:val="0"/>
          <w:numId w:val="5"/>
        </w:numPr>
        <w:tabs>
          <w:tab w:val="left" w:pos="3820"/>
        </w:tabs>
        <w:spacing w:before="0" w:after="0" w:line="417" w:lineRule="auto"/>
        <w:ind w:left="2180" w:right="2720" w:firstLine="719"/>
        <w:jc w:val="left"/>
        <w:rPr>
          <w:sz w:val="36"/>
        </w:rPr>
      </w:pPr>
      <w:r>
        <w:rPr>
          <w:spacing w:val="-1"/>
          <w:sz w:val="36"/>
        </w:rPr>
        <w:t>施工期间工程部设立安全小组，保持与有关部门的联系，搞好交通组</w:t>
      </w:r>
      <w:r>
        <w:rPr>
          <w:sz w:val="36"/>
        </w:rPr>
        <w:t>织工作，确保施工期间行人和车辆进出工地的安全。</w:t>
      </w:r>
    </w:p>
    <w:p>
      <w:pPr>
        <w:pStyle w:val="ListParagraph"/>
        <w:numPr>
          <w:ilvl w:val="0"/>
          <w:numId w:val="5"/>
        </w:numPr>
        <w:tabs>
          <w:tab w:val="left" w:pos="3820"/>
        </w:tabs>
        <w:spacing w:before="0" w:after="0" w:line="417" w:lineRule="auto"/>
        <w:ind w:left="2180" w:right="2720" w:firstLine="719"/>
        <w:jc w:val="left"/>
        <w:rPr>
          <w:sz w:val="36"/>
        </w:rPr>
      </w:pPr>
      <w:r>
        <w:rPr>
          <w:sz w:val="36"/>
        </w:rPr>
        <w:t>工地负责人为施工安全直接责任人，负责施工现场（含生活区）</w:t>
      </w:r>
      <w:r>
        <w:rPr>
          <w:spacing w:val="-9"/>
          <w:sz w:val="36"/>
        </w:rPr>
        <w:t>的安</w:t>
      </w:r>
      <w:r>
        <w:rPr>
          <w:sz w:val="36"/>
        </w:rPr>
        <w:t>全工作，对施工安全行监督检查职能，并对安全事故负领导责任。</w:t>
      </w:r>
    </w:p>
    <w:p>
      <w:pPr>
        <w:pStyle w:val="ListParagraph"/>
        <w:numPr>
          <w:ilvl w:val="0"/>
          <w:numId w:val="5"/>
        </w:numPr>
        <w:tabs>
          <w:tab w:val="left" w:pos="3820"/>
        </w:tabs>
        <w:spacing w:before="0" w:after="0" w:line="417" w:lineRule="auto"/>
        <w:ind w:left="2180" w:right="2697" w:firstLine="719"/>
        <w:jc w:val="left"/>
        <w:rPr>
          <w:sz w:val="36"/>
        </w:rPr>
      </w:pPr>
      <w:r>
        <w:rPr>
          <w:sz w:val="36"/>
        </w:rPr>
        <w:t>安全责任人（含安全领导责任人及安全直接责任人）经常进行安全教</w:t>
      </w:r>
      <w:r>
        <w:rPr>
          <w:spacing w:val="-13"/>
          <w:sz w:val="36"/>
        </w:rPr>
        <w:t>育，指导作业人员遵守机械操作规程，定期检查机械安全性能或安全装置，检查</w:t>
      </w:r>
    </w:p>
    <w:p>
      <w:pPr>
        <w:spacing w:after="0" w:line="417"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3" w:history="1">
        <w:r>
          <w:rPr>
            <w:rFonts w:ascii="SimSun" w:eastAsia="SimSun" w:hAnsi="SimSun" w:cs="SimSun"/>
            <w:b/>
            <w:bCs/>
            <w:color w:val="0000EE"/>
            <w:sz w:val="30"/>
            <w:szCs w:val="30"/>
            <w:u w:val="single" w:color="0000EE"/>
          </w:rPr>
          <w:t>https://d.book118.com/788012126101006023</w:t>
        </w:r>
      </w:hyperlink>
    </w:p>
    <w:p>
      <w:pPr>
        <w:spacing w:after="0" w:line="417" w:lineRule="auto"/>
        <w:jc w:val="left"/>
        <w:rPr>
          <w:sz w:val="36"/>
        </w:rPr>
      </w:pPr>
    </w:p>
    <w:sectPr>
      <w:headerReference w:type="default" r:id="rId64"/>
      <w:footerReference w:type="default" r:id="rId65"/>
      <w:pgSz w:w="17860" w:h="25260"/>
      <w:pgMar w:top="1380" w:right="0" w:bottom="2020" w:left="520" w:header="1083" w:footer="1831"/>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细黑">
    <w:altName w:val="华文细黑"/>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343.59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343.59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343.59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343.59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343.59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343.59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343.59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343.59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343.59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343.59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35pt;margin-left:343.59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35pt;margin-left:343.59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6pt;height:15.5pt;margin-top:1160.35pt;margin-left:343.59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56pt;height:15.5pt;margin-top:1160.35pt;margin-left:343.59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56pt;height:15.5pt;margin-top:1160.35pt;margin-left:343.59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56pt;height:15.5pt;margin-top:1160.35pt;margin-left:343.59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56pt;height:15.5pt;margin-top:1160.35pt;margin-left:343.59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56pt;height:15.5pt;margin-top:1160.35pt;margin-left:343.59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03.75pt;height:17.2pt;margin-top:53.13pt;margin-left:336.93pt;mso-position-horizontal-relative:page;mso-position-vertical-relative:page;position:absolute;z-index:-25165824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03.75pt;height:17.2pt;margin-top:53.13pt;margin-left:336.93pt;mso-position-horizontal-relative:page;mso-position-vertical-relative:page;position:absolute;z-index:-25165721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03.75pt;height:17.2pt;margin-top:53.13pt;margin-left:336.93pt;mso-position-horizontal-relative:page;mso-position-vertical-relative:page;position:absolute;z-index:-25165619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03.75pt;height:17.2pt;margin-top:53.13pt;margin-left:336.93pt;mso-position-horizontal-relative:page;mso-position-vertical-relative:page;position:absolute;z-index:-25165516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03.75pt;height:17.2pt;margin-top:53.13pt;margin-left:336.93pt;mso-position-horizontal-relative:page;mso-position-vertical-relative:page;position:absolute;z-index:-25165414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03.75pt;height:17.2pt;margin-top:53.13pt;margin-left:336.93pt;mso-position-horizontal-relative:page;mso-position-vertical-relative:page;position:absolute;z-index:-25165312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03.75pt;height:17.2pt;margin-top:53.13pt;margin-left:336.93pt;mso-position-horizontal-relative:page;mso-position-vertical-relative:page;position:absolute;z-index:-25165209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03.75pt;height:17.2pt;margin-top:53.13pt;margin-left:336.93pt;mso-position-horizontal-relative:page;mso-position-vertical-relative:page;position:absolute;z-index:-25165107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03.75pt;height:17.2pt;margin-top:53.13pt;margin-left:336.93pt;mso-position-horizontal-relative:page;mso-position-vertical-relative:page;position:absolute;z-index:-25165004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03.75pt;height:17.2pt;margin-top:53.13pt;margin-left:336.93pt;mso-position-horizontal-relative:page;mso-position-vertical-relative:page;position:absolute;z-index:-25164902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03.75pt;height:17.2pt;margin-top:53.13pt;margin-left:336.93pt;mso-position-horizontal-relative:page;mso-position-vertical-relative:page;position:absolute;z-index:-25164800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03.75pt;height:17.2pt;margin-top:53.13pt;margin-left:336.93pt;mso-position-horizontal-relative:page;mso-position-vertical-relative:page;position:absolute;z-index:-25164697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03.75pt;height:17.2pt;margin-top:53.13pt;margin-left:336.93pt;mso-position-horizontal-relative:page;mso-position-vertical-relative:page;position:absolute;z-index:-25164595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03.75pt;height:17.2pt;margin-top:53.13pt;margin-left:336.93pt;mso-position-horizontal-relative:page;mso-position-vertical-relative:page;position:absolute;z-index:-25164492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03.75pt;height:17.2pt;margin-top:53.13pt;margin-left:336.93pt;mso-position-horizontal-relative:page;mso-position-vertical-relative:page;position:absolute;z-index:-25164390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03.75pt;height:17.2pt;margin-top:53.13pt;margin-left:336.93pt;mso-position-horizontal-relative:page;mso-position-vertical-relative:page;position:absolute;z-index:-25164288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03.75pt;height:17.2pt;margin-top:53.13pt;margin-left:336.93pt;mso-position-horizontal-relative:page;mso-position-vertical-relative:page;position:absolute;z-index:-25164185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03.75pt;height:17.2pt;margin-top:53.13pt;margin-left:336.93pt;mso-position-horizontal-relative:page;mso-position-vertical-relative:page;position:absolute;z-index:-25164083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03.75pt;height:17.2pt;margin-top:53.13pt;margin-left:336.93pt;mso-position-horizontal-relative:page;mso-position-vertical-relative:page;position:absolute;z-index:-25163980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03.75pt;height:17.2pt;margin-top:53.13pt;margin-left:336.93pt;mso-position-horizontal-relative:page;mso-position-vertical-relative:page;position:absolute;z-index:-25163878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03.75pt;height:17.2pt;margin-top:53.13pt;margin-left:336.93pt;mso-position-horizontal-relative:page;mso-position-vertical-relative:page;position:absolute;z-index:-25163776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03.75pt;height:17.2pt;margin-top:53.13pt;margin-left:336.93pt;mso-position-horizontal-relative:page;mso-position-vertical-relative:page;position:absolute;z-index:-25163673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03.75pt;height:17.2pt;margin-top:53.13pt;margin-left:336.93pt;mso-position-horizontal-relative:page;mso-position-vertical-relative:page;position:absolute;z-index:-25163571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03.75pt;height:17.2pt;margin-top:53.13pt;margin-left:336.93pt;mso-position-horizontal-relative:page;mso-position-vertical-relative:page;position:absolute;z-index:-25163468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03.75pt;height:17.2pt;margin-top:53.13pt;margin-left:336.93pt;mso-position-horizontal-relative:page;mso-position-vertical-relative:page;position:absolute;z-index:-25163366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03.75pt;height:17.2pt;margin-top:53.13pt;margin-left:336.93pt;mso-position-horizontal-relative:page;mso-position-vertical-relative:page;position:absolute;z-index:-25163264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03.75pt;height:17.2pt;margin-top:53.13pt;margin-left:336.93pt;mso-position-horizontal-relative:page;mso-position-vertical-relative:page;position:absolute;z-index:-25163161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完美</w:t>
                </w:r>
                <w:r>
                  <w:rPr>
                    <w:rFonts w:ascii="Times New Roman" w:eastAsia="Times New Roman"/>
                    <w:sz w:val="27"/>
                  </w:rPr>
                  <w:t xml:space="preserve">WORD </w:t>
                </w:r>
                <w:r>
                  <w:rPr>
                    <w:rFonts w:ascii="宋体" w:eastAsia="宋体" w:hint="eastAsia"/>
                    <w:sz w:val="27"/>
                  </w:rPr>
                  <w:t>格式</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3BFF2"/>
    <w:multiLevelType w:val="hybridMultilevel"/>
    <w:tmpl w:val="00000000"/>
    <w:lvl w:ilvl="0">
      <w:start w:val="1"/>
      <w:numFmt w:val="decimal"/>
      <w:lvlText w:val="%1."/>
      <w:lvlJc w:val="left"/>
      <w:pPr>
        <w:ind w:left="2180" w:hanging="301"/>
        <w:jc w:val="left"/>
      </w:pPr>
      <w:rPr>
        <w:rFonts w:ascii="华文细黑" w:eastAsia="华文细黑" w:hAnsi="华文细黑" w:cs="华文细黑" w:hint="default"/>
        <w:b/>
        <w:bCs/>
        <w:spacing w:val="-1"/>
        <w:w w:val="99"/>
        <w:sz w:val="34"/>
        <w:szCs w:val="34"/>
      </w:rPr>
    </w:lvl>
    <w:lvl w:ilvl="1">
      <w:start w:val="1"/>
      <w:numFmt w:val="decimal"/>
      <w:lvlText w:val="（%2）"/>
      <w:lvlJc w:val="left"/>
      <w:pPr>
        <w:ind w:left="3819" w:hanging="919"/>
        <w:jc w:val="left"/>
      </w:pPr>
      <w:rPr>
        <w:rFonts w:ascii="华文细黑" w:eastAsia="华文细黑" w:hAnsi="华文细黑" w:cs="华文细黑" w:hint="default"/>
        <w:spacing w:val="-2"/>
        <w:w w:val="100"/>
        <w:sz w:val="34"/>
        <w:szCs w:val="34"/>
      </w:rPr>
    </w:lvl>
    <w:lvl w:ilvl="2">
      <w:start w:val="0"/>
      <w:numFmt w:val="bullet"/>
      <w:lvlText w:val="•"/>
      <w:lvlJc w:val="left"/>
      <w:pPr>
        <w:ind w:left="5322" w:hanging="919"/>
      </w:pPr>
      <w:rPr>
        <w:rFonts w:hint="default"/>
      </w:rPr>
    </w:lvl>
    <w:lvl w:ilvl="3">
      <w:start w:val="0"/>
      <w:numFmt w:val="bullet"/>
      <w:lvlText w:val="•"/>
      <w:lvlJc w:val="left"/>
      <w:pPr>
        <w:ind w:left="6824" w:hanging="919"/>
      </w:pPr>
      <w:rPr>
        <w:rFonts w:hint="default"/>
      </w:rPr>
    </w:lvl>
    <w:lvl w:ilvl="4">
      <w:start w:val="0"/>
      <w:numFmt w:val="bullet"/>
      <w:lvlText w:val="•"/>
      <w:lvlJc w:val="left"/>
      <w:pPr>
        <w:ind w:left="8326" w:hanging="919"/>
      </w:pPr>
      <w:rPr>
        <w:rFonts w:hint="default"/>
      </w:rPr>
    </w:lvl>
    <w:lvl w:ilvl="5">
      <w:start w:val="0"/>
      <w:numFmt w:val="bullet"/>
      <w:lvlText w:val="•"/>
      <w:lvlJc w:val="left"/>
      <w:pPr>
        <w:ind w:left="9828" w:hanging="919"/>
      </w:pPr>
      <w:rPr>
        <w:rFonts w:hint="default"/>
      </w:rPr>
    </w:lvl>
    <w:lvl w:ilvl="6">
      <w:start w:val="0"/>
      <w:numFmt w:val="bullet"/>
      <w:lvlText w:val="•"/>
      <w:lvlJc w:val="left"/>
      <w:pPr>
        <w:ind w:left="11330" w:hanging="919"/>
      </w:pPr>
      <w:rPr>
        <w:rFonts w:hint="default"/>
      </w:rPr>
    </w:lvl>
    <w:lvl w:ilvl="7">
      <w:start w:val="0"/>
      <w:numFmt w:val="bullet"/>
      <w:lvlText w:val="•"/>
      <w:lvlJc w:val="left"/>
      <w:pPr>
        <w:ind w:left="12833" w:hanging="919"/>
      </w:pPr>
      <w:rPr>
        <w:rFonts w:hint="default"/>
      </w:rPr>
    </w:lvl>
    <w:lvl w:ilvl="8">
      <w:start w:val="0"/>
      <w:numFmt w:val="bullet"/>
      <w:lvlText w:val="•"/>
      <w:lvlJc w:val="left"/>
      <w:pPr>
        <w:ind w:left="14335" w:hanging="919"/>
      </w:pPr>
      <w:rPr>
        <w:rFonts w:hint="default"/>
      </w:rPr>
    </w:lvl>
  </w:abstractNum>
  <w:abstractNum w:abstractNumId="1">
    <w:nsid w:val="2B4F36B4"/>
    <w:multiLevelType w:val="hybridMultilevel"/>
    <w:tmpl w:val="00000000"/>
    <w:lvl w:ilvl="0">
      <w:start w:val="1"/>
      <w:numFmt w:val="decimal"/>
      <w:lvlText w:val="（%1）"/>
      <w:lvlJc w:val="left"/>
      <w:pPr>
        <w:ind w:left="2180" w:hanging="919"/>
        <w:jc w:val="right"/>
      </w:pPr>
      <w:rPr>
        <w:rFonts w:ascii="华文细黑" w:eastAsia="华文细黑" w:hAnsi="华文细黑" w:cs="华文细黑" w:hint="default"/>
        <w:spacing w:val="-2"/>
        <w:w w:val="100"/>
        <w:sz w:val="34"/>
        <w:szCs w:val="34"/>
      </w:rPr>
    </w:lvl>
    <w:lvl w:ilvl="1">
      <w:start w:val="1"/>
      <w:numFmt w:val="lowerLetter"/>
      <w:lvlText w:val="%2."/>
      <w:lvlJc w:val="left"/>
      <w:pPr>
        <w:ind w:left="2180" w:hanging="347"/>
        <w:jc w:val="left"/>
      </w:pPr>
      <w:rPr>
        <w:rFonts w:ascii="华文细黑" w:eastAsia="华文细黑" w:hAnsi="华文细黑" w:cs="华文细黑" w:hint="default"/>
        <w:w w:val="100"/>
        <w:sz w:val="34"/>
        <w:szCs w:val="34"/>
      </w:rPr>
    </w:lvl>
    <w:lvl w:ilvl="2">
      <w:start w:val="1"/>
      <w:numFmt w:val="lowerLetter"/>
      <w:lvlText w:val="%3."/>
      <w:lvlJc w:val="left"/>
      <w:pPr>
        <w:ind w:left="2180" w:hanging="347"/>
        <w:jc w:val="right"/>
      </w:pPr>
      <w:rPr>
        <w:rFonts w:ascii="华文细黑" w:eastAsia="华文细黑" w:hAnsi="华文细黑" w:cs="华文细黑" w:hint="default"/>
        <w:w w:val="100"/>
        <w:sz w:val="34"/>
        <w:szCs w:val="34"/>
      </w:rPr>
    </w:lvl>
    <w:lvl w:ilvl="3">
      <w:start w:val="0"/>
      <w:numFmt w:val="bullet"/>
      <w:lvlText w:val="•"/>
      <w:lvlJc w:val="left"/>
      <w:pPr>
        <w:ind w:left="6727" w:hanging="347"/>
      </w:pPr>
      <w:rPr>
        <w:rFonts w:hint="default"/>
      </w:rPr>
    </w:lvl>
    <w:lvl w:ilvl="4">
      <w:start w:val="0"/>
      <w:numFmt w:val="bullet"/>
      <w:lvlText w:val="•"/>
      <w:lvlJc w:val="left"/>
      <w:pPr>
        <w:ind w:left="8243" w:hanging="347"/>
      </w:pPr>
      <w:rPr>
        <w:rFonts w:hint="default"/>
      </w:rPr>
    </w:lvl>
    <w:lvl w:ilvl="5">
      <w:start w:val="0"/>
      <w:numFmt w:val="bullet"/>
      <w:lvlText w:val="•"/>
      <w:lvlJc w:val="left"/>
      <w:pPr>
        <w:ind w:left="9759" w:hanging="347"/>
      </w:pPr>
      <w:rPr>
        <w:rFonts w:hint="default"/>
      </w:rPr>
    </w:lvl>
    <w:lvl w:ilvl="6">
      <w:start w:val="0"/>
      <w:numFmt w:val="bullet"/>
      <w:lvlText w:val="•"/>
      <w:lvlJc w:val="left"/>
      <w:pPr>
        <w:ind w:left="11275" w:hanging="347"/>
      </w:pPr>
      <w:rPr>
        <w:rFonts w:hint="default"/>
      </w:rPr>
    </w:lvl>
    <w:lvl w:ilvl="7">
      <w:start w:val="0"/>
      <w:numFmt w:val="bullet"/>
      <w:lvlText w:val="•"/>
      <w:lvlJc w:val="left"/>
      <w:pPr>
        <w:ind w:left="12791" w:hanging="347"/>
      </w:pPr>
      <w:rPr>
        <w:rFonts w:hint="default"/>
      </w:rPr>
    </w:lvl>
    <w:lvl w:ilvl="8">
      <w:start w:val="0"/>
      <w:numFmt w:val="bullet"/>
      <w:lvlText w:val="•"/>
      <w:lvlJc w:val="left"/>
      <w:pPr>
        <w:ind w:left="14307" w:hanging="347"/>
      </w:pPr>
      <w:rPr>
        <w:rFonts w:hint="default"/>
      </w:rPr>
    </w:lvl>
  </w:abstractNum>
  <w:abstractNum w:abstractNumId="2">
    <w:nsid w:val="30FF4F08"/>
    <w:multiLevelType w:val="hybridMultilevel"/>
    <w:tmpl w:val="00000000"/>
    <w:lvl w:ilvl="0">
      <w:start w:val="1"/>
      <w:numFmt w:val="decimal"/>
      <w:lvlText w:val="%1."/>
      <w:lvlJc w:val="left"/>
      <w:pPr>
        <w:ind w:left="2808" w:hanging="301"/>
        <w:jc w:val="left"/>
      </w:pPr>
      <w:rPr>
        <w:rFonts w:ascii="华文细黑" w:eastAsia="华文细黑" w:hAnsi="华文细黑" w:cs="华文细黑" w:hint="default"/>
        <w:b/>
        <w:bCs/>
        <w:spacing w:val="-1"/>
        <w:w w:val="99"/>
        <w:sz w:val="34"/>
        <w:szCs w:val="34"/>
      </w:rPr>
    </w:lvl>
    <w:lvl w:ilvl="1">
      <w:start w:val="0"/>
      <w:numFmt w:val="bullet"/>
      <w:lvlText w:val="•"/>
      <w:lvlJc w:val="left"/>
      <w:pPr>
        <w:ind w:left="4253" w:hanging="301"/>
      </w:pPr>
      <w:rPr>
        <w:rFonts w:hint="default"/>
      </w:rPr>
    </w:lvl>
    <w:lvl w:ilvl="2">
      <w:start w:val="0"/>
      <w:numFmt w:val="bullet"/>
      <w:lvlText w:val="•"/>
      <w:lvlJc w:val="left"/>
      <w:pPr>
        <w:ind w:left="5707" w:hanging="301"/>
      </w:pPr>
      <w:rPr>
        <w:rFonts w:hint="default"/>
      </w:rPr>
    </w:lvl>
    <w:lvl w:ilvl="3">
      <w:start w:val="0"/>
      <w:numFmt w:val="bullet"/>
      <w:lvlText w:val="•"/>
      <w:lvlJc w:val="left"/>
      <w:pPr>
        <w:ind w:left="7161" w:hanging="301"/>
      </w:pPr>
      <w:rPr>
        <w:rFonts w:hint="default"/>
      </w:rPr>
    </w:lvl>
    <w:lvl w:ilvl="4">
      <w:start w:val="0"/>
      <w:numFmt w:val="bullet"/>
      <w:lvlText w:val="•"/>
      <w:lvlJc w:val="left"/>
      <w:pPr>
        <w:ind w:left="8615" w:hanging="301"/>
      </w:pPr>
      <w:rPr>
        <w:rFonts w:hint="default"/>
      </w:rPr>
    </w:lvl>
    <w:lvl w:ilvl="5">
      <w:start w:val="0"/>
      <w:numFmt w:val="bullet"/>
      <w:lvlText w:val="•"/>
      <w:lvlJc w:val="left"/>
      <w:pPr>
        <w:ind w:left="10069" w:hanging="301"/>
      </w:pPr>
      <w:rPr>
        <w:rFonts w:hint="default"/>
      </w:rPr>
    </w:lvl>
    <w:lvl w:ilvl="6">
      <w:start w:val="0"/>
      <w:numFmt w:val="bullet"/>
      <w:lvlText w:val="•"/>
      <w:lvlJc w:val="left"/>
      <w:pPr>
        <w:ind w:left="11523" w:hanging="301"/>
      </w:pPr>
      <w:rPr>
        <w:rFonts w:hint="default"/>
      </w:rPr>
    </w:lvl>
    <w:lvl w:ilvl="7">
      <w:start w:val="0"/>
      <w:numFmt w:val="bullet"/>
      <w:lvlText w:val="•"/>
      <w:lvlJc w:val="left"/>
      <w:pPr>
        <w:ind w:left="12977" w:hanging="301"/>
      </w:pPr>
      <w:rPr>
        <w:rFonts w:hint="default"/>
      </w:rPr>
    </w:lvl>
    <w:lvl w:ilvl="8">
      <w:start w:val="0"/>
      <w:numFmt w:val="bullet"/>
      <w:lvlText w:val="•"/>
      <w:lvlJc w:val="left"/>
      <w:pPr>
        <w:ind w:left="14431" w:hanging="301"/>
      </w:pPr>
      <w:rPr>
        <w:rFonts w:hint="default"/>
      </w:rPr>
    </w:lvl>
  </w:abstractNum>
  <w:abstractNum w:abstractNumId="3">
    <w:nsid w:val="3181A3C1"/>
    <w:multiLevelType w:val="hybridMultilevel"/>
    <w:tmpl w:val="00000000"/>
    <w:lvl w:ilvl="0">
      <w:start w:val="1"/>
      <w:numFmt w:val="decimal"/>
      <w:lvlText w:val="（%1）"/>
      <w:lvlJc w:val="left"/>
      <w:pPr>
        <w:ind w:left="3819" w:hanging="919"/>
        <w:jc w:val="left"/>
      </w:pPr>
      <w:rPr>
        <w:rFonts w:ascii="华文细黑" w:eastAsia="华文细黑" w:hAnsi="华文细黑" w:cs="华文细黑" w:hint="default"/>
        <w:spacing w:val="-2"/>
        <w:w w:val="100"/>
        <w:sz w:val="34"/>
        <w:szCs w:val="34"/>
      </w:rPr>
    </w:lvl>
    <w:lvl w:ilvl="1">
      <w:start w:val="0"/>
      <w:numFmt w:val="bullet"/>
      <w:lvlText w:val="•"/>
      <w:lvlJc w:val="left"/>
      <w:pPr>
        <w:ind w:left="5171" w:hanging="919"/>
      </w:pPr>
      <w:rPr>
        <w:rFonts w:hint="default"/>
      </w:rPr>
    </w:lvl>
    <w:lvl w:ilvl="2">
      <w:start w:val="0"/>
      <w:numFmt w:val="bullet"/>
      <w:lvlText w:val="•"/>
      <w:lvlJc w:val="left"/>
      <w:pPr>
        <w:ind w:left="6523" w:hanging="919"/>
      </w:pPr>
      <w:rPr>
        <w:rFonts w:hint="default"/>
      </w:rPr>
    </w:lvl>
    <w:lvl w:ilvl="3">
      <w:start w:val="0"/>
      <w:numFmt w:val="bullet"/>
      <w:lvlText w:val="•"/>
      <w:lvlJc w:val="left"/>
      <w:pPr>
        <w:ind w:left="7875" w:hanging="919"/>
      </w:pPr>
      <w:rPr>
        <w:rFonts w:hint="default"/>
      </w:rPr>
    </w:lvl>
    <w:lvl w:ilvl="4">
      <w:start w:val="0"/>
      <w:numFmt w:val="bullet"/>
      <w:lvlText w:val="•"/>
      <w:lvlJc w:val="left"/>
      <w:pPr>
        <w:ind w:left="9227" w:hanging="919"/>
      </w:pPr>
      <w:rPr>
        <w:rFonts w:hint="default"/>
      </w:rPr>
    </w:lvl>
    <w:lvl w:ilvl="5">
      <w:start w:val="0"/>
      <w:numFmt w:val="bullet"/>
      <w:lvlText w:val="•"/>
      <w:lvlJc w:val="left"/>
      <w:pPr>
        <w:ind w:left="10579" w:hanging="919"/>
      </w:pPr>
      <w:rPr>
        <w:rFonts w:hint="default"/>
      </w:rPr>
    </w:lvl>
    <w:lvl w:ilvl="6">
      <w:start w:val="0"/>
      <w:numFmt w:val="bullet"/>
      <w:lvlText w:val="•"/>
      <w:lvlJc w:val="left"/>
      <w:pPr>
        <w:ind w:left="11931" w:hanging="919"/>
      </w:pPr>
      <w:rPr>
        <w:rFonts w:hint="default"/>
      </w:rPr>
    </w:lvl>
    <w:lvl w:ilvl="7">
      <w:start w:val="0"/>
      <w:numFmt w:val="bullet"/>
      <w:lvlText w:val="•"/>
      <w:lvlJc w:val="left"/>
      <w:pPr>
        <w:ind w:left="13283" w:hanging="919"/>
      </w:pPr>
      <w:rPr>
        <w:rFonts w:hint="default"/>
      </w:rPr>
    </w:lvl>
    <w:lvl w:ilvl="8">
      <w:start w:val="0"/>
      <w:numFmt w:val="bullet"/>
      <w:lvlText w:val="•"/>
      <w:lvlJc w:val="left"/>
      <w:pPr>
        <w:ind w:left="14635" w:hanging="919"/>
      </w:pPr>
      <w:rPr>
        <w:rFonts w:hint="default"/>
      </w:rPr>
    </w:lvl>
  </w:abstractNum>
  <w:abstractNum w:abstractNumId="4">
    <w:nsid w:val="327471D7"/>
    <w:multiLevelType w:val="hybridMultilevel"/>
    <w:tmpl w:val="00000000"/>
    <w:lvl w:ilvl="0">
      <w:start w:val="1"/>
      <w:numFmt w:val="decimal"/>
      <w:lvlText w:val="（%1）"/>
      <w:lvlJc w:val="left"/>
      <w:pPr>
        <w:ind w:left="3819" w:hanging="919"/>
        <w:jc w:val="left"/>
      </w:pPr>
      <w:rPr>
        <w:rFonts w:ascii="华文细黑" w:eastAsia="华文细黑" w:hAnsi="华文细黑" w:cs="华文细黑" w:hint="default"/>
        <w:spacing w:val="-2"/>
        <w:w w:val="100"/>
        <w:sz w:val="34"/>
        <w:szCs w:val="34"/>
      </w:rPr>
    </w:lvl>
    <w:lvl w:ilvl="1">
      <w:start w:val="0"/>
      <w:numFmt w:val="bullet"/>
      <w:lvlText w:val="•"/>
      <w:lvlJc w:val="left"/>
      <w:pPr>
        <w:ind w:left="5171" w:hanging="919"/>
      </w:pPr>
      <w:rPr>
        <w:rFonts w:hint="default"/>
      </w:rPr>
    </w:lvl>
    <w:lvl w:ilvl="2">
      <w:start w:val="0"/>
      <w:numFmt w:val="bullet"/>
      <w:lvlText w:val="•"/>
      <w:lvlJc w:val="left"/>
      <w:pPr>
        <w:ind w:left="6523" w:hanging="919"/>
      </w:pPr>
      <w:rPr>
        <w:rFonts w:hint="default"/>
      </w:rPr>
    </w:lvl>
    <w:lvl w:ilvl="3">
      <w:start w:val="0"/>
      <w:numFmt w:val="bullet"/>
      <w:lvlText w:val="•"/>
      <w:lvlJc w:val="left"/>
      <w:pPr>
        <w:ind w:left="7875" w:hanging="919"/>
      </w:pPr>
      <w:rPr>
        <w:rFonts w:hint="default"/>
      </w:rPr>
    </w:lvl>
    <w:lvl w:ilvl="4">
      <w:start w:val="0"/>
      <w:numFmt w:val="bullet"/>
      <w:lvlText w:val="•"/>
      <w:lvlJc w:val="left"/>
      <w:pPr>
        <w:ind w:left="9227" w:hanging="919"/>
      </w:pPr>
      <w:rPr>
        <w:rFonts w:hint="default"/>
      </w:rPr>
    </w:lvl>
    <w:lvl w:ilvl="5">
      <w:start w:val="0"/>
      <w:numFmt w:val="bullet"/>
      <w:lvlText w:val="•"/>
      <w:lvlJc w:val="left"/>
      <w:pPr>
        <w:ind w:left="10579" w:hanging="919"/>
      </w:pPr>
      <w:rPr>
        <w:rFonts w:hint="default"/>
      </w:rPr>
    </w:lvl>
    <w:lvl w:ilvl="6">
      <w:start w:val="0"/>
      <w:numFmt w:val="bullet"/>
      <w:lvlText w:val="•"/>
      <w:lvlJc w:val="left"/>
      <w:pPr>
        <w:ind w:left="11931" w:hanging="919"/>
      </w:pPr>
      <w:rPr>
        <w:rFonts w:hint="default"/>
      </w:rPr>
    </w:lvl>
    <w:lvl w:ilvl="7">
      <w:start w:val="0"/>
      <w:numFmt w:val="bullet"/>
      <w:lvlText w:val="•"/>
      <w:lvlJc w:val="left"/>
      <w:pPr>
        <w:ind w:left="13283" w:hanging="919"/>
      </w:pPr>
      <w:rPr>
        <w:rFonts w:hint="default"/>
      </w:rPr>
    </w:lvl>
    <w:lvl w:ilvl="8">
      <w:start w:val="0"/>
      <w:numFmt w:val="bullet"/>
      <w:lvlText w:val="•"/>
      <w:lvlJc w:val="left"/>
      <w:pPr>
        <w:ind w:left="14635" w:hanging="919"/>
      </w:pPr>
      <w:rPr>
        <w:rFonts w:hint="default"/>
      </w:rPr>
    </w:lvl>
  </w:abstractNum>
  <w:abstractNum w:abstractNumId="5">
    <w:nsid w:val="361EDD13"/>
    <w:multiLevelType w:val="hybridMultilevel"/>
    <w:tmpl w:val="00000000"/>
    <w:lvl w:ilvl="0">
      <w:start w:val="1"/>
      <w:numFmt w:val="decimal"/>
      <w:lvlText w:val="（%1）"/>
      <w:lvlJc w:val="left"/>
      <w:pPr>
        <w:ind w:left="2180" w:hanging="919"/>
        <w:jc w:val="left"/>
      </w:pPr>
      <w:rPr>
        <w:rFonts w:ascii="华文细黑" w:eastAsia="华文细黑" w:hAnsi="华文细黑" w:cs="华文细黑" w:hint="default"/>
        <w:spacing w:val="-2"/>
        <w:w w:val="100"/>
        <w:sz w:val="34"/>
        <w:szCs w:val="34"/>
      </w:rPr>
    </w:lvl>
    <w:lvl w:ilvl="1">
      <w:start w:val="0"/>
      <w:numFmt w:val="bullet"/>
      <w:lvlText w:val="•"/>
      <w:lvlJc w:val="left"/>
      <w:pPr>
        <w:ind w:left="3695" w:hanging="919"/>
      </w:pPr>
      <w:rPr>
        <w:rFonts w:hint="default"/>
      </w:rPr>
    </w:lvl>
    <w:lvl w:ilvl="2">
      <w:start w:val="0"/>
      <w:numFmt w:val="bullet"/>
      <w:lvlText w:val="•"/>
      <w:lvlJc w:val="left"/>
      <w:pPr>
        <w:ind w:left="5211" w:hanging="919"/>
      </w:pPr>
      <w:rPr>
        <w:rFonts w:hint="default"/>
      </w:rPr>
    </w:lvl>
    <w:lvl w:ilvl="3">
      <w:start w:val="0"/>
      <w:numFmt w:val="bullet"/>
      <w:lvlText w:val="•"/>
      <w:lvlJc w:val="left"/>
      <w:pPr>
        <w:ind w:left="6727" w:hanging="919"/>
      </w:pPr>
      <w:rPr>
        <w:rFonts w:hint="default"/>
      </w:rPr>
    </w:lvl>
    <w:lvl w:ilvl="4">
      <w:start w:val="0"/>
      <w:numFmt w:val="bullet"/>
      <w:lvlText w:val="•"/>
      <w:lvlJc w:val="left"/>
      <w:pPr>
        <w:ind w:left="8243" w:hanging="919"/>
      </w:pPr>
      <w:rPr>
        <w:rFonts w:hint="default"/>
      </w:rPr>
    </w:lvl>
    <w:lvl w:ilvl="5">
      <w:start w:val="0"/>
      <w:numFmt w:val="bullet"/>
      <w:lvlText w:val="•"/>
      <w:lvlJc w:val="left"/>
      <w:pPr>
        <w:ind w:left="9759" w:hanging="919"/>
      </w:pPr>
      <w:rPr>
        <w:rFonts w:hint="default"/>
      </w:rPr>
    </w:lvl>
    <w:lvl w:ilvl="6">
      <w:start w:val="0"/>
      <w:numFmt w:val="bullet"/>
      <w:lvlText w:val="•"/>
      <w:lvlJc w:val="left"/>
      <w:pPr>
        <w:ind w:left="11275" w:hanging="919"/>
      </w:pPr>
      <w:rPr>
        <w:rFonts w:hint="default"/>
      </w:rPr>
    </w:lvl>
    <w:lvl w:ilvl="7">
      <w:start w:val="0"/>
      <w:numFmt w:val="bullet"/>
      <w:lvlText w:val="•"/>
      <w:lvlJc w:val="left"/>
      <w:pPr>
        <w:ind w:left="12791" w:hanging="919"/>
      </w:pPr>
      <w:rPr>
        <w:rFonts w:hint="default"/>
      </w:rPr>
    </w:lvl>
    <w:lvl w:ilvl="8">
      <w:start w:val="0"/>
      <w:numFmt w:val="bullet"/>
      <w:lvlText w:val="•"/>
      <w:lvlJc w:val="left"/>
      <w:pPr>
        <w:ind w:left="14307" w:hanging="919"/>
      </w:pPr>
      <w:rPr>
        <w:rFonts w:hint="default"/>
      </w:rPr>
    </w:lvl>
  </w:abstractNum>
  <w:abstractNum w:abstractNumId="6">
    <w:nsid w:val="382F2090"/>
    <w:multiLevelType w:val="hybridMultilevel"/>
    <w:tmpl w:val="00000000"/>
    <w:lvl w:ilvl="0">
      <w:start w:val="10"/>
      <w:numFmt w:val="lowerLetter"/>
      <w:lvlText w:val="%1."/>
      <w:lvlJc w:val="left"/>
      <w:pPr>
        <w:ind w:left="3253" w:hanging="353"/>
        <w:jc w:val="left"/>
      </w:pPr>
      <w:rPr>
        <w:rFonts w:ascii="华文细黑" w:eastAsia="华文细黑" w:hAnsi="华文细黑" w:cs="华文细黑" w:hint="default"/>
        <w:w w:val="100"/>
        <w:sz w:val="36"/>
        <w:szCs w:val="36"/>
      </w:rPr>
    </w:lvl>
    <w:lvl w:ilvl="1">
      <w:start w:val="0"/>
      <w:numFmt w:val="bullet"/>
      <w:lvlText w:val="•"/>
      <w:lvlJc w:val="left"/>
      <w:pPr>
        <w:ind w:left="4667" w:hanging="353"/>
      </w:pPr>
      <w:rPr>
        <w:rFonts w:hint="default"/>
      </w:rPr>
    </w:lvl>
    <w:lvl w:ilvl="2">
      <w:start w:val="0"/>
      <w:numFmt w:val="bullet"/>
      <w:lvlText w:val="•"/>
      <w:lvlJc w:val="left"/>
      <w:pPr>
        <w:ind w:left="6075" w:hanging="353"/>
      </w:pPr>
      <w:rPr>
        <w:rFonts w:hint="default"/>
      </w:rPr>
    </w:lvl>
    <w:lvl w:ilvl="3">
      <w:start w:val="0"/>
      <w:numFmt w:val="bullet"/>
      <w:lvlText w:val="•"/>
      <w:lvlJc w:val="left"/>
      <w:pPr>
        <w:ind w:left="7483" w:hanging="353"/>
      </w:pPr>
      <w:rPr>
        <w:rFonts w:hint="default"/>
      </w:rPr>
    </w:lvl>
    <w:lvl w:ilvl="4">
      <w:start w:val="0"/>
      <w:numFmt w:val="bullet"/>
      <w:lvlText w:val="•"/>
      <w:lvlJc w:val="left"/>
      <w:pPr>
        <w:ind w:left="8891" w:hanging="353"/>
      </w:pPr>
      <w:rPr>
        <w:rFonts w:hint="default"/>
      </w:rPr>
    </w:lvl>
    <w:lvl w:ilvl="5">
      <w:start w:val="0"/>
      <w:numFmt w:val="bullet"/>
      <w:lvlText w:val="•"/>
      <w:lvlJc w:val="left"/>
      <w:pPr>
        <w:ind w:left="10299" w:hanging="353"/>
      </w:pPr>
      <w:rPr>
        <w:rFonts w:hint="default"/>
      </w:rPr>
    </w:lvl>
    <w:lvl w:ilvl="6">
      <w:start w:val="0"/>
      <w:numFmt w:val="bullet"/>
      <w:lvlText w:val="•"/>
      <w:lvlJc w:val="left"/>
      <w:pPr>
        <w:ind w:left="11707" w:hanging="353"/>
      </w:pPr>
      <w:rPr>
        <w:rFonts w:hint="default"/>
      </w:rPr>
    </w:lvl>
    <w:lvl w:ilvl="7">
      <w:start w:val="0"/>
      <w:numFmt w:val="bullet"/>
      <w:lvlText w:val="•"/>
      <w:lvlJc w:val="left"/>
      <w:pPr>
        <w:ind w:left="13115" w:hanging="353"/>
      </w:pPr>
      <w:rPr>
        <w:rFonts w:hint="default"/>
      </w:rPr>
    </w:lvl>
    <w:lvl w:ilvl="8">
      <w:start w:val="0"/>
      <w:numFmt w:val="bullet"/>
      <w:lvlText w:val="•"/>
      <w:lvlJc w:val="left"/>
      <w:pPr>
        <w:ind w:left="14523" w:hanging="353"/>
      </w:pPr>
      <w:rPr>
        <w:rFonts w:hint="default"/>
      </w:rPr>
    </w:lvl>
  </w:abstractNum>
  <w:abstractNum w:abstractNumId="7">
    <w:nsid w:val="384D461A"/>
    <w:multiLevelType w:val="hybridMultilevel"/>
    <w:tmpl w:val="00000000"/>
    <w:lvl w:ilvl="0">
      <w:start w:val="1"/>
      <w:numFmt w:val="decimal"/>
      <w:lvlText w:val="（%1）"/>
      <w:lvlJc w:val="left"/>
      <w:pPr>
        <w:ind w:left="2180" w:hanging="919"/>
        <w:jc w:val="right"/>
      </w:pPr>
      <w:rPr>
        <w:rFonts w:ascii="华文细黑" w:eastAsia="华文细黑" w:hAnsi="华文细黑" w:cs="华文细黑" w:hint="default"/>
        <w:spacing w:val="-2"/>
        <w:w w:val="100"/>
        <w:sz w:val="34"/>
        <w:szCs w:val="34"/>
      </w:rPr>
    </w:lvl>
    <w:lvl w:ilvl="1">
      <w:start w:val="1"/>
      <w:numFmt w:val="lowerLetter"/>
      <w:lvlText w:val="%2."/>
      <w:lvlJc w:val="left"/>
      <w:pPr>
        <w:ind w:left="2180" w:hanging="347"/>
        <w:jc w:val="left"/>
      </w:pPr>
      <w:rPr>
        <w:rFonts w:ascii="华文细黑" w:eastAsia="华文细黑" w:hAnsi="华文细黑" w:cs="华文细黑" w:hint="default"/>
        <w:w w:val="100"/>
        <w:sz w:val="34"/>
        <w:szCs w:val="34"/>
      </w:rPr>
    </w:lvl>
    <w:lvl w:ilvl="2">
      <w:start w:val="1"/>
      <w:numFmt w:val="lowerLetter"/>
      <w:lvlText w:val="%3."/>
      <w:lvlJc w:val="left"/>
      <w:pPr>
        <w:ind w:left="2180" w:hanging="347"/>
        <w:jc w:val="right"/>
      </w:pPr>
      <w:rPr>
        <w:rFonts w:ascii="华文细黑" w:eastAsia="华文细黑" w:hAnsi="华文细黑" w:cs="华文细黑" w:hint="default"/>
        <w:w w:val="100"/>
        <w:sz w:val="34"/>
        <w:szCs w:val="34"/>
      </w:rPr>
    </w:lvl>
    <w:lvl w:ilvl="3">
      <w:start w:val="0"/>
      <w:numFmt w:val="bullet"/>
      <w:lvlText w:val="•"/>
      <w:lvlJc w:val="left"/>
      <w:pPr>
        <w:ind w:left="6727" w:hanging="347"/>
      </w:pPr>
      <w:rPr>
        <w:rFonts w:hint="default"/>
      </w:rPr>
    </w:lvl>
    <w:lvl w:ilvl="4">
      <w:start w:val="0"/>
      <w:numFmt w:val="bullet"/>
      <w:lvlText w:val="•"/>
      <w:lvlJc w:val="left"/>
      <w:pPr>
        <w:ind w:left="8243" w:hanging="347"/>
      </w:pPr>
      <w:rPr>
        <w:rFonts w:hint="default"/>
      </w:rPr>
    </w:lvl>
    <w:lvl w:ilvl="5">
      <w:start w:val="0"/>
      <w:numFmt w:val="bullet"/>
      <w:lvlText w:val="•"/>
      <w:lvlJc w:val="left"/>
      <w:pPr>
        <w:ind w:left="9759" w:hanging="347"/>
      </w:pPr>
      <w:rPr>
        <w:rFonts w:hint="default"/>
      </w:rPr>
    </w:lvl>
    <w:lvl w:ilvl="6">
      <w:start w:val="0"/>
      <w:numFmt w:val="bullet"/>
      <w:lvlText w:val="•"/>
      <w:lvlJc w:val="left"/>
      <w:pPr>
        <w:ind w:left="11275" w:hanging="347"/>
      </w:pPr>
      <w:rPr>
        <w:rFonts w:hint="default"/>
      </w:rPr>
    </w:lvl>
    <w:lvl w:ilvl="7">
      <w:start w:val="0"/>
      <w:numFmt w:val="bullet"/>
      <w:lvlText w:val="•"/>
      <w:lvlJc w:val="left"/>
      <w:pPr>
        <w:ind w:left="12791" w:hanging="347"/>
      </w:pPr>
      <w:rPr>
        <w:rFonts w:hint="default"/>
      </w:rPr>
    </w:lvl>
    <w:lvl w:ilvl="8">
      <w:start w:val="0"/>
      <w:numFmt w:val="bullet"/>
      <w:lvlText w:val="•"/>
      <w:lvlJc w:val="left"/>
      <w:pPr>
        <w:ind w:left="14307" w:hanging="347"/>
      </w:pPr>
      <w:rPr>
        <w:rFonts w:hint="default"/>
      </w:rPr>
    </w:lvl>
  </w:abstractNum>
  <w:abstractNum w:abstractNumId="8">
    <w:nsid w:val="3C86E412"/>
    <w:multiLevelType w:val="hybridMultilevel"/>
    <w:tmpl w:val="00000000"/>
    <w:lvl w:ilvl="0">
      <w:start w:val="5"/>
      <w:numFmt w:val="decimal"/>
      <w:lvlText w:val="%1."/>
      <w:lvlJc w:val="left"/>
      <w:pPr>
        <w:ind w:left="2044" w:hanging="479"/>
        <w:jc w:val="right"/>
      </w:pPr>
      <w:rPr>
        <w:rFonts w:ascii="华文细黑" w:eastAsia="华文细黑" w:hAnsi="华文细黑" w:cs="华文细黑" w:hint="default"/>
        <w:w w:val="100"/>
        <w:sz w:val="36"/>
        <w:szCs w:val="36"/>
      </w:rPr>
    </w:lvl>
    <w:lvl w:ilvl="1">
      <w:start w:val="0"/>
      <w:numFmt w:val="bullet"/>
      <w:lvlText w:val="•"/>
      <w:lvlJc w:val="left"/>
      <w:pPr>
        <w:ind w:left="2180" w:hanging="479"/>
      </w:pPr>
      <w:rPr>
        <w:rFonts w:hint="default"/>
      </w:rPr>
    </w:lvl>
    <w:lvl w:ilvl="2">
      <w:start w:val="0"/>
      <w:numFmt w:val="bullet"/>
      <w:lvlText w:val="•"/>
      <w:lvlJc w:val="left"/>
      <w:pPr>
        <w:ind w:left="2693" w:hanging="479"/>
      </w:pPr>
      <w:rPr>
        <w:rFonts w:hint="default"/>
      </w:rPr>
    </w:lvl>
    <w:lvl w:ilvl="3">
      <w:start w:val="0"/>
      <w:numFmt w:val="bullet"/>
      <w:lvlText w:val="•"/>
      <w:lvlJc w:val="left"/>
      <w:pPr>
        <w:ind w:left="3207" w:hanging="479"/>
      </w:pPr>
      <w:rPr>
        <w:rFonts w:hint="default"/>
      </w:rPr>
    </w:lvl>
    <w:lvl w:ilvl="4">
      <w:start w:val="0"/>
      <w:numFmt w:val="bullet"/>
      <w:lvlText w:val="•"/>
      <w:lvlJc w:val="left"/>
      <w:pPr>
        <w:ind w:left="3721" w:hanging="479"/>
      </w:pPr>
      <w:rPr>
        <w:rFonts w:hint="default"/>
      </w:rPr>
    </w:lvl>
    <w:lvl w:ilvl="5">
      <w:start w:val="0"/>
      <w:numFmt w:val="bullet"/>
      <w:lvlText w:val="•"/>
      <w:lvlJc w:val="left"/>
      <w:pPr>
        <w:ind w:left="4234" w:hanging="479"/>
      </w:pPr>
      <w:rPr>
        <w:rFonts w:hint="default"/>
      </w:rPr>
    </w:lvl>
    <w:lvl w:ilvl="6">
      <w:start w:val="0"/>
      <w:numFmt w:val="bullet"/>
      <w:lvlText w:val="•"/>
      <w:lvlJc w:val="left"/>
      <w:pPr>
        <w:ind w:left="4748" w:hanging="479"/>
      </w:pPr>
      <w:rPr>
        <w:rFonts w:hint="default"/>
      </w:rPr>
    </w:lvl>
    <w:lvl w:ilvl="7">
      <w:start w:val="0"/>
      <w:numFmt w:val="bullet"/>
      <w:lvlText w:val="•"/>
      <w:lvlJc w:val="left"/>
      <w:pPr>
        <w:ind w:left="5262" w:hanging="479"/>
      </w:pPr>
      <w:rPr>
        <w:rFonts w:hint="default"/>
      </w:rPr>
    </w:lvl>
    <w:lvl w:ilvl="8">
      <w:start w:val="0"/>
      <w:numFmt w:val="bullet"/>
      <w:lvlText w:val="•"/>
      <w:lvlJc w:val="left"/>
      <w:pPr>
        <w:ind w:left="5776" w:hanging="479"/>
      </w:pPr>
      <w:rPr>
        <w:rFonts w:hint="default"/>
      </w:rPr>
    </w:lvl>
  </w:abstractNum>
  <w:abstractNum w:abstractNumId="9">
    <w:nsid w:val="42FC7ECA"/>
    <w:multiLevelType w:val="hybridMultilevel"/>
    <w:tmpl w:val="00000000"/>
    <w:lvl w:ilvl="0">
      <w:start w:val="1"/>
      <w:numFmt w:val="decimal"/>
      <w:lvlText w:val="(%1)"/>
      <w:lvlJc w:val="left"/>
      <w:pPr>
        <w:ind w:left="2180" w:hanging="468"/>
        <w:jc w:val="left"/>
      </w:pPr>
      <w:rPr>
        <w:rFonts w:ascii="华文细黑" w:eastAsia="华文细黑" w:hAnsi="华文细黑" w:cs="华文细黑" w:hint="default"/>
        <w:w w:val="100"/>
        <w:sz w:val="34"/>
        <w:szCs w:val="34"/>
      </w:rPr>
    </w:lvl>
    <w:lvl w:ilvl="1">
      <w:start w:val="0"/>
      <w:numFmt w:val="bullet"/>
      <w:lvlText w:val="•"/>
      <w:lvlJc w:val="left"/>
      <w:pPr>
        <w:ind w:left="3695" w:hanging="468"/>
      </w:pPr>
      <w:rPr>
        <w:rFonts w:hint="default"/>
      </w:rPr>
    </w:lvl>
    <w:lvl w:ilvl="2">
      <w:start w:val="0"/>
      <w:numFmt w:val="bullet"/>
      <w:lvlText w:val="•"/>
      <w:lvlJc w:val="left"/>
      <w:pPr>
        <w:ind w:left="5211" w:hanging="468"/>
      </w:pPr>
      <w:rPr>
        <w:rFonts w:hint="default"/>
      </w:rPr>
    </w:lvl>
    <w:lvl w:ilvl="3">
      <w:start w:val="0"/>
      <w:numFmt w:val="bullet"/>
      <w:lvlText w:val="•"/>
      <w:lvlJc w:val="left"/>
      <w:pPr>
        <w:ind w:left="6727" w:hanging="468"/>
      </w:pPr>
      <w:rPr>
        <w:rFonts w:hint="default"/>
      </w:rPr>
    </w:lvl>
    <w:lvl w:ilvl="4">
      <w:start w:val="0"/>
      <w:numFmt w:val="bullet"/>
      <w:lvlText w:val="•"/>
      <w:lvlJc w:val="left"/>
      <w:pPr>
        <w:ind w:left="8243" w:hanging="468"/>
      </w:pPr>
      <w:rPr>
        <w:rFonts w:hint="default"/>
      </w:rPr>
    </w:lvl>
    <w:lvl w:ilvl="5">
      <w:start w:val="0"/>
      <w:numFmt w:val="bullet"/>
      <w:lvlText w:val="•"/>
      <w:lvlJc w:val="left"/>
      <w:pPr>
        <w:ind w:left="9759" w:hanging="468"/>
      </w:pPr>
      <w:rPr>
        <w:rFonts w:hint="default"/>
      </w:rPr>
    </w:lvl>
    <w:lvl w:ilvl="6">
      <w:start w:val="0"/>
      <w:numFmt w:val="bullet"/>
      <w:lvlText w:val="•"/>
      <w:lvlJc w:val="left"/>
      <w:pPr>
        <w:ind w:left="11275" w:hanging="468"/>
      </w:pPr>
      <w:rPr>
        <w:rFonts w:hint="default"/>
      </w:rPr>
    </w:lvl>
    <w:lvl w:ilvl="7">
      <w:start w:val="0"/>
      <w:numFmt w:val="bullet"/>
      <w:lvlText w:val="•"/>
      <w:lvlJc w:val="left"/>
      <w:pPr>
        <w:ind w:left="12791" w:hanging="468"/>
      </w:pPr>
      <w:rPr>
        <w:rFonts w:hint="default"/>
      </w:rPr>
    </w:lvl>
    <w:lvl w:ilvl="8">
      <w:start w:val="0"/>
      <w:numFmt w:val="bullet"/>
      <w:lvlText w:val="•"/>
      <w:lvlJc w:val="left"/>
      <w:pPr>
        <w:ind w:left="14307" w:hanging="468"/>
      </w:pPr>
      <w:rPr>
        <w:rFonts w:hint="default"/>
      </w:rPr>
    </w:lvl>
  </w:abstractNum>
  <w:abstractNum w:abstractNumId="10">
    <w:nsid w:val="46D7BB1F"/>
    <w:multiLevelType w:val="hybridMultilevel"/>
    <w:tmpl w:val="00000000"/>
    <w:lvl w:ilvl="0">
      <w:start w:val="1"/>
      <w:numFmt w:val="decimal"/>
      <w:lvlText w:val="%1）"/>
      <w:lvlJc w:val="left"/>
      <w:pPr>
        <w:ind w:left="2180" w:hanging="559"/>
        <w:jc w:val="left"/>
      </w:pPr>
      <w:rPr>
        <w:rFonts w:ascii="华文细黑" w:eastAsia="华文细黑" w:hAnsi="华文细黑" w:cs="华文细黑" w:hint="default"/>
        <w:spacing w:val="-2"/>
        <w:w w:val="100"/>
        <w:sz w:val="34"/>
        <w:szCs w:val="34"/>
      </w:rPr>
    </w:lvl>
    <w:lvl w:ilvl="1">
      <w:start w:val="0"/>
      <w:numFmt w:val="bullet"/>
      <w:lvlText w:val="•"/>
      <w:lvlJc w:val="left"/>
      <w:pPr>
        <w:ind w:left="3695" w:hanging="559"/>
      </w:pPr>
      <w:rPr>
        <w:rFonts w:hint="default"/>
      </w:rPr>
    </w:lvl>
    <w:lvl w:ilvl="2">
      <w:start w:val="0"/>
      <w:numFmt w:val="bullet"/>
      <w:lvlText w:val="•"/>
      <w:lvlJc w:val="left"/>
      <w:pPr>
        <w:ind w:left="5211" w:hanging="559"/>
      </w:pPr>
      <w:rPr>
        <w:rFonts w:hint="default"/>
      </w:rPr>
    </w:lvl>
    <w:lvl w:ilvl="3">
      <w:start w:val="0"/>
      <w:numFmt w:val="bullet"/>
      <w:lvlText w:val="•"/>
      <w:lvlJc w:val="left"/>
      <w:pPr>
        <w:ind w:left="6727" w:hanging="559"/>
      </w:pPr>
      <w:rPr>
        <w:rFonts w:hint="default"/>
      </w:rPr>
    </w:lvl>
    <w:lvl w:ilvl="4">
      <w:start w:val="0"/>
      <w:numFmt w:val="bullet"/>
      <w:lvlText w:val="•"/>
      <w:lvlJc w:val="left"/>
      <w:pPr>
        <w:ind w:left="8243" w:hanging="559"/>
      </w:pPr>
      <w:rPr>
        <w:rFonts w:hint="default"/>
      </w:rPr>
    </w:lvl>
    <w:lvl w:ilvl="5">
      <w:start w:val="0"/>
      <w:numFmt w:val="bullet"/>
      <w:lvlText w:val="•"/>
      <w:lvlJc w:val="left"/>
      <w:pPr>
        <w:ind w:left="9759" w:hanging="559"/>
      </w:pPr>
      <w:rPr>
        <w:rFonts w:hint="default"/>
      </w:rPr>
    </w:lvl>
    <w:lvl w:ilvl="6">
      <w:start w:val="0"/>
      <w:numFmt w:val="bullet"/>
      <w:lvlText w:val="•"/>
      <w:lvlJc w:val="left"/>
      <w:pPr>
        <w:ind w:left="11275" w:hanging="559"/>
      </w:pPr>
      <w:rPr>
        <w:rFonts w:hint="default"/>
      </w:rPr>
    </w:lvl>
    <w:lvl w:ilvl="7">
      <w:start w:val="0"/>
      <w:numFmt w:val="bullet"/>
      <w:lvlText w:val="•"/>
      <w:lvlJc w:val="left"/>
      <w:pPr>
        <w:ind w:left="12791" w:hanging="559"/>
      </w:pPr>
      <w:rPr>
        <w:rFonts w:hint="default"/>
      </w:rPr>
    </w:lvl>
    <w:lvl w:ilvl="8">
      <w:start w:val="0"/>
      <w:numFmt w:val="bullet"/>
      <w:lvlText w:val="•"/>
      <w:lvlJc w:val="left"/>
      <w:pPr>
        <w:ind w:left="14307" w:hanging="559"/>
      </w:pPr>
      <w:rPr>
        <w:rFonts w:hint="default"/>
      </w:rPr>
    </w:lvl>
  </w:abstractNum>
  <w:abstractNum w:abstractNumId="11">
    <w:nsid w:val="60806A16"/>
    <w:multiLevelType w:val="hybridMultilevel"/>
    <w:tmpl w:val="00000000"/>
    <w:lvl w:ilvl="0">
      <w:start w:val="1"/>
      <w:numFmt w:val="decimal"/>
      <w:lvlText w:val="%1."/>
      <w:lvlJc w:val="left"/>
      <w:pPr>
        <w:ind w:left="2180" w:hanging="301"/>
        <w:jc w:val="left"/>
      </w:pPr>
      <w:rPr>
        <w:rFonts w:ascii="华文细黑" w:eastAsia="华文细黑" w:hAnsi="华文细黑" w:cs="华文细黑" w:hint="default"/>
        <w:spacing w:val="-1"/>
        <w:w w:val="100"/>
        <w:sz w:val="34"/>
        <w:szCs w:val="34"/>
      </w:rPr>
    </w:lvl>
    <w:lvl w:ilvl="1">
      <w:start w:val="0"/>
      <w:numFmt w:val="bullet"/>
      <w:lvlText w:val="•"/>
      <w:lvlJc w:val="left"/>
      <w:pPr>
        <w:ind w:left="3695" w:hanging="301"/>
      </w:pPr>
      <w:rPr>
        <w:rFonts w:hint="default"/>
      </w:rPr>
    </w:lvl>
    <w:lvl w:ilvl="2">
      <w:start w:val="0"/>
      <w:numFmt w:val="bullet"/>
      <w:lvlText w:val="•"/>
      <w:lvlJc w:val="left"/>
      <w:pPr>
        <w:ind w:left="5211" w:hanging="301"/>
      </w:pPr>
      <w:rPr>
        <w:rFonts w:hint="default"/>
      </w:rPr>
    </w:lvl>
    <w:lvl w:ilvl="3">
      <w:start w:val="0"/>
      <w:numFmt w:val="bullet"/>
      <w:lvlText w:val="•"/>
      <w:lvlJc w:val="left"/>
      <w:pPr>
        <w:ind w:left="6727" w:hanging="301"/>
      </w:pPr>
      <w:rPr>
        <w:rFonts w:hint="default"/>
      </w:rPr>
    </w:lvl>
    <w:lvl w:ilvl="4">
      <w:start w:val="0"/>
      <w:numFmt w:val="bullet"/>
      <w:lvlText w:val="•"/>
      <w:lvlJc w:val="left"/>
      <w:pPr>
        <w:ind w:left="8243" w:hanging="301"/>
      </w:pPr>
      <w:rPr>
        <w:rFonts w:hint="default"/>
      </w:rPr>
    </w:lvl>
    <w:lvl w:ilvl="5">
      <w:start w:val="0"/>
      <w:numFmt w:val="bullet"/>
      <w:lvlText w:val="•"/>
      <w:lvlJc w:val="left"/>
      <w:pPr>
        <w:ind w:left="9759" w:hanging="301"/>
      </w:pPr>
      <w:rPr>
        <w:rFonts w:hint="default"/>
      </w:rPr>
    </w:lvl>
    <w:lvl w:ilvl="6">
      <w:start w:val="0"/>
      <w:numFmt w:val="bullet"/>
      <w:lvlText w:val="•"/>
      <w:lvlJc w:val="left"/>
      <w:pPr>
        <w:ind w:left="11275" w:hanging="301"/>
      </w:pPr>
      <w:rPr>
        <w:rFonts w:hint="default"/>
      </w:rPr>
    </w:lvl>
    <w:lvl w:ilvl="7">
      <w:start w:val="0"/>
      <w:numFmt w:val="bullet"/>
      <w:lvlText w:val="•"/>
      <w:lvlJc w:val="left"/>
      <w:pPr>
        <w:ind w:left="12791" w:hanging="301"/>
      </w:pPr>
      <w:rPr>
        <w:rFonts w:hint="default"/>
      </w:rPr>
    </w:lvl>
    <w:lvl w:ilvl="8">
      <w:start w:val="0"/>
      <w:numFmt w:val="bullet"/>
      <w:lvlText w:val="•"/>
      <w:lvlJc w:val="left"/>
      <w:pPr>
        <w:ind w:left="14307" w:hanging="301"/>
      </w:pPr>
      <w:rPr>
        <w:rFonts w:hint="default"/>
      </w:rPr>
    </w:lvl>
  </w:abstractNum>
  <w:abstractNum w:abstractNumId="12">
    <w:nsid w:val="678EAEF0"/>
    <w:multiLevelType w:val="hybridMultilevel"/>
    <w:tmpl w:val="00000000"/>
    <w:lvl w:ilvl="0">
      <w:start w:val="1"/>
      <w:numFmt w:val="decimal"/>
      <w:lvlText w:val="（%1）"/>
      <w:lvlJc w:val="left"/>
      <w:pPr>
        <w:ind w:left="3427" w:hanging="919"/>
        <w:jc w:val="left"/>
      </w:pPr>
      <w:rPr>
        <w:rFonts w:ascii="华文细黑" w:eastAsia="华文细黑" w:hAnsi="华文细黑" w:cs="华文细黑" w:hint="default"/>
        <w:spacing w:val="-2"/>
        <w:w w:val="100"/>
        <w:sz w:val="34"/>
        <w:szCs w:val="34"/>
      </w:rPr>
    </w:lvl>
    <w:lvl w:ilvl="1">
      <w:start w:val="0"/>
      <w:numFmt w:val="bullet"/>
      <w:lvlText w:val="•"/>
      <w:lvlJc w:val="left"/>
      <w:pPr>
        <w:ind w:left="4811" w:hanging="919"/>
      </w:pPr>
      <w:rPr>
        <w:rFonts w:hint="default"/>
      </w:rPr>
    </w:lvl>
    <w:lvl w:ilvl="2">
      <w:start w:val="0"/>
      <w:numFmt w:val="bullet"/>
      <w:lvlText w:val="•"/>
      <w:lvlJc w:val="left"/>
      <w:pPr>
        <w:ind w:left="6203" w:hanging="919"/>
      </w:pPr>
      <w:rPr>
        <w:rFonts w:hint="default"/>
      </w:rPr>
    </w:lvl>
    <w:lvl w:ilvl="3">
      <w:start w:val="0"/>
      <w:numFmt w:val="bullet"/>
      <w:lvlText w:val="•"/>
      <w:lvlJc w:val="left"/>
      <w:pPr>
        <w:ind w:left="7595" w:hanging="919"/>
      </w:pPr>
      <w:rPr>
        <w:rFonts w:hint="default"/>
      </w:rPr>
    </w:lvl>
    <w:lvl w:ilvl="4">
      <w:start w:val="0"/>
      <w:numFmt w:val="bullet"/>
      <w:lvlText w:val="•"/>
      <w:lvlJc w:val="left"/>
      <w:pPr>
        <w:ind w:left="8987" w:hanging="919"/>
      </w:pPr>
      <w:rPr>
        <w:rFonts w:hint="default"/>
      </w:rPr>
    </w:lvl>
    <w:lvl w:ilvl="5">
      <w:start w:val="0"/>
      <w:numFmt w:val="bullet"/>
      <w:lvlText w:val="•"/>
      <w:lvlJc w:val="left"/>
      <w:pPr>
        <w:ind w:left="10379" w:hanging="919"/>
      </w:pPr>
      <w:rPr>
        <w:rFonts w:hint="default"/>
      </w:rPr>
    </w:lvl>
    <w:lvl w:ilvl="6">
      <w:start w:val="0"/>
      <w:numFmt w:val="bullet"/>
      <w:lvlText w:val="•"/>
      <w:lvlJc w:val="left"/>
      <w:pPr>
        <w:ind w:left="11771" w:hanging="919"/>
      </w:pPr>
      <w:rPr>
        <w:rFonts w:hint="default"/>
      </w:rPr>
    </w:lvl>
    <w:lvl w:ilvl="7">
      <w:start w:val="0"/>
      <w:numFmt w:val="bullet"/>
      <w:lvlText w:val="•"/>
      <w:lvlJc w:val="left"/>
      <w:pPr>
        <w:ind w:left="13163" w:hanging="919"/>
      </w:pPr>
      <w:rPr>
        <w:rFonts w:hint="default"/>
      </w:rPr>
    </w:lvl>
    <w:lvl w:ilvl="8">
      <w:start w:val="0"/>
      <w:numFmt w:val="bullet"/>
      <w:lvlText w:val="•"/>
      <w:lvlJc w:val="left"/>
      <w:pPr>
        <w:ind w:left="14555" w:hanging="919"/>
      </w:pPr>
      <w:rPr>
        <w:rFonts w:hint="default"/>
      </w:rPr>
    </w:lvl>
  </w:abstractNum>
  <w:abstractNum w:abstractNumId="13">
    <w:nsid w:val="6C9703E1"/>
    <w:multiLevelType w:val="hybridMultilevel"/>
    <w:tmpl w:val="00000000"/>
    <w:lvl w:ilvl="0">
      <w:start w:val="1"/>
      <w:numFmt w:val="decimal"/>
      <w:lvlText w:val="%1."/>
      <w:lvlJc w:val="left"/>
      <w:pPr>
        <w:ind w:left="2180" w:hanging="301"/>
        <w:jc w:val="left"/>
      </w:pPr>
      <w:rPr>
        <w:rFonts w:ascii="华文细黑" w:eastAsia="华文细黑" w:hAnsi="华文细黑" w:cs="华文细黑" w:hint="default"/>
        <w:b/>
        <w:bCs/>
        <w:spacing w:val="-1"/>
        <w:w w:val="99"/>
        <w:sz w:val="34"/>
        <w:szCs w:val="34"/>
      </w:rPr>
    </w:lvl>
    <w:lvl w:ilvl="1">
      <w:start w:val="1"/>
      <w:numFmt w:val="decimal"/>
      <w:lvlText w:val="（%2）"/>
      <w:lvlJc w:val="left"/>
      <w:pPr>
        <w:ind w:left="3819" w:hanging="919"/>
        <w:jc w:val="left"/>
      </w:pPr>
      <w:rPr>
        <w:rFonts w:ascii="华文细黑" w:eastAsia="华文细黑" w:hAnsi="华文细黑" w:cs="华文细黑" w:hint="default"/>
        <w:spacing w:val="-2"/>
        <w:w w:val="100"/>
        <w:sz w:val="34"/>
        <w:szCs w:val="34"/>
      </w:rPr>
    </w:lvl>
    <w:lvl w:ilvl="2">
      <w:start w:val="0"/>
      <w:numFmt w:val="bullet"/>
      <w:lvlText w:val="•"/>
      <w:lvlJc w:val="left"/>
      <w:pPr>
        <w:ind w:left="5322" w:hanging="919"/>
      </w:pPr>
      <w:rPr>
        <w:rFonts w:hint="default"/>
      </w:rPr>
    </w:lvl>
    <w:lvl w:ilvl="3">
      <w:start w:val="0"/>
      <w:numFmt w:val="bullet"/>
      <w:lvlText w:val="•"/>
      <w:lvlJc w:val="left"/>
      <w:pPr>
        <w:ind w:left="6824" w:hanging="919"/>
      </w:pPr>
      <w:rPr>
        <w:rFonts w:hint="default"/>
      </w:rPr>
    </w:lvl>
    <w:lvl w:ilvl="4">
      <w:start w:val="0"/>
      <w:numFmt w:val="bullet"/>
      <w:lvlText w:val="•"/>
      <w:lvlJc w:val="left"/>
      <w:pPr>
        <w:ind w:left="8326" w:hanging="919"/>
      </w:pPr>
      <w:rPr>
        <w:rFonts w:hint="default"/>
      </w:rPr>
    </w:lvl>
    <w:lvl w:ilvl="5">
      <w:start w:val="0"/>
      <w:numFmt w:val="bullet"/>
      <w:lvlText w:val="•"/>
      <w:lvlJc w:val="left"/>
      <w:pPr>
        <w:ind w:left="9828" w:hanging="919"/>
      </w:pPr>
      <w:rPr>
        <w:rFonts w:hint="default"/>
      </w:rPr>
    </w:lvl>
    <w:lvl w:ilvl="6">
      <w:start w:val="0"/>
      <w:numFmt w:val="bullet"/>
      <w:lvlText w:val="•"/>
      <w:lvlJc w:val="left"/>
      <w:pPr>
        <w:ind w:left="11330" w:hanging="919"/>
      </w:pPr>
      <w:rPr>
        <w:rFonts w:hint="default"/>
      </w:rPr>
    </w:lvl>
    <w:lvl w:ilvl="7">
      <w:start w:val="0"/>
      <w:numFmt w:val="bullet"/>
      <w:lvlText w:val="•"/>
      <w:lvlJc w:val="left"/>
      <w:pPr>
        <w:ind w:left="12833" w:hanging="919"/>
      </w:pPr>
      <w:rPr>
        <w:rFonts w:hint="default"/>
      </w:rPr>
    </w:lvl>
    <w:lvl w:ilvl="8">
      <w:start w:val="0"/>
      <w:numFmt w:val="bullet"/>
      <w:lvlText w:val="•"/>
      <w:lvlJc w:val="left"/>
      <w:pPr>
        <w:ind w:left="14335" w:hanging="919"/>
      </w:pPr>
      <w:rPr>
        <w:rFonts w:hint="default"/>
      </w:rPr>
    </w:lvl>
  </w:abstractNum>
  <w:abstractNum w:abstractNumId="14">
    <w:nsid w:val="71C9EDED"/>
    <w:multiLevelType w:val="hybridMultilevel"/>
    <w:tmpl w:val="00000000"/>
    <w:lvl w:ilvl="0">
      <w:start w:val="4"/>
      <w:numFmt w:val="lowerLetter"/>
      <w:lvlText w:val="%1."/>
      <w:lvlJc w:val="left"/>
      <w:pPr>
        <w:ind w:left="2180" w:hanging="530"/>
        <w:jc w:val="left"/>
      </w:pPr>
      <w:rPr>
        <w:rFonts w:ascii="华文细黑" w:eastAsia="华文细黑" w:hAnsi="华文细黑" w:cs="华文细黑" w:hint="default"/>
        <w:w w:val="100"/>
        <w:sz w:val="36"/>
        <w:szCs w:val="36"/>
      </w:rPr>
    </w:lvl>
    <w:lvl w:ilvl="1">
      <w:start w:val="0"/>
      <w:numFmt w:val="bullet"/>
      <w:lvlText w:val="•"/>
      <w:lvlJc w:val="left"/>
      <w:pPr>
        <w:ind w:left="3695" w:hanging="530"/>
      </w:pPr>
      <w:rPr>
        <w:rFonts w:hint="default"/>
      </w:rPr>
    </w:lvl>
    <w:lvl w:ilvl="2">
      <w:start w:val="0"/>
      <w:numFmt w:val="bullet"/>
      <w:lvlText w:val="•"/>
      <w:lvlJc w:val="left"/>
      <w:pPr>
        <w:ind w:left="5211" w:hanging="530"/>
      </w:pPr>
      <w:rPr>
        <w:rFonts w:hint="default"/>
      </w:rPr>
    </w:lvl>
    <w:lvl w:ilvl="3">
      <w:start w:val="0"/>
      <w:numFmt w:val="bullet"/>
      <w:lvlText w:val="•"/>
      <w:lvlJc w:val="left"/>
      <w:pPr>
        <w:ind w:left="6727" w:hanging="530"/>
      </w:pPr>
      <w:rPr>
        <w:rFonts w:hint="default"/>
      </w:rPr>
    </w:lvl>
    <w:lvl w:ilvl="4">
      <w:start w:val="0"/>
      <w:numFmt w:val="bullet"/>
      <w:lvlText w:val="•"/>
      <w:lvlJc w:val="left"/>
      <w:pPr>
        <w:ind w:left="8243" w:hanging="530"/>
      </w:pPr>
      <w:rPr>
        <w:rFonts w:hint="default"/>
      </w:rPr>
    </w:lvl>
    <w:lvl w:ilvl="5">
      <w:start w:val="0"/>
      <w:numFmt w:val="bullet"/>
      <w:lvlText w:val="•"/>
      <w:lvlJc w:val="left"/>
      <w:pPr>
        <w:ind w:left="9759" w:hanging="530"/>
      </w:pPr>
      <w:rPr>
        <w:rFonts w:hint="default"/>
      </w:rPr>
    </w:lvl>
    <w:lvl w:ilvl="6">
      <w:start w:val="0"/>
      <w:numFmt w:val="bullet"/>
      <w:lvlText w:val="•"/>
      <w:lvlJc w:val="left"/>
      <w:pPr>
        <w:ind w:left="11275" w:hanging="530"/>
      </w:pPr>
      <w:rPr>
        <w:rFonts w:hint="default"/>
      </w:rPr>
    </w:lvl>
    <w:lvl w:ilvl="7">
      <w:start w:val="0"/>
      <w:numFmt w:val="bullet"/>
      <w:lvlText w:val="•"/>
      <w:lvlJc w:val="left"/>
      <w:pPr>
        <w:ind w:left="12791" w:hanging="530"/>
      </w:pPr>
      <w:rPr>
        <w:rFonts w:hint="default"/>
      </w:rPr>
    </w:lvl>
    <w:lvl w:ilvl="8">
      <w:start w:val="0"/>
      <w:numFmt w:val="bullet"/>
      <w:lvlText w:val="•"/>
      <w:lvlJc w:val="left"/>
      <w:pPr>
        <w:ind w:left="14307" w:hanging="530"/>
      </w:pPr>
      <w:rPr>
        <w:rFonts w:hint="default"/>
      </w:rPr>
    </w:lvl>
  </w:abstractNum>
  <w:num w:numId="1">
    <w:abstractNumId w:val="8"/>
  </w:num>
  <w:num w:numId="2">
    <w:abstractNumId w:val="10"/>
  </w:num>
  <w:num w:numId="3">
    <w:abstractNumId w:val="9"/>
  </w:num>
  <w:num w:numId="4">
    <w:abstractNumId w:val="4"/>
  </w:num>
  <w:num w:numId="5">
    <w:abstractNumId w:val="5"/>
  </w:num>
  <w:num w:numId="6">
    <w:abstractNumId w:val="3"/>
  </w:num>
  <w:num w:numId="7">
    <w:abstractNumId w:val="6"/>
  </w:num>
  <w:num w:numId="8">
    <w:abstractNumId w:val="14"/>
  </w:num>
  <w:num w:numId="9">
    <w:abstractNumId w:val="1"/>
  </w:num>
  <w:num w:numId="10">
    <w:abstractNumId w:val="0"/>
  </w:num>
  <w:num w:numId="11">
    <w:abstractNumId w:val="12"/>
  </w:num>
  <w:num w:numId="12">
    <w:abstractNumId w:val="2"/>
  </w:num>
  <w:num w:numId="13">
    <w:abstractNumId w:val="11"/>
  </w:num>
  <w:num w:numId="14">
    <w:abstractNumId w:val="13"/>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细黑" w:eastAsia="华文细黑" w:hAnsi="华文细黑" w:cs="华文细黑"/>
    </w:rPr>
  </w:style>
  <w:style w:type="paragraph" w:styleId="Heading1">
    <w:name w:val="heading 1"/>
    <w:basedOn w:val="Normal"/>
    <w:uiPriority w:val="1"/>
    <w:qFormat/>
    <w:pPr>
      <w:spacing w:before="95"/>
      <w:ind w:right="527"/>
      <w:jc w:val="center"/>
      <w:outlineLvl w:val="0"/>
    </w:pPr>
    <w:rPr>
      <w:rFonts w:ascii="华文细黑" w:eastAsia="华文细黑" w:hAnsi="华文细黑" w:cs="华文细黑"/>
      <w:b/>
      <w:bCs/>
      <w:sz w:val="54"/>
      <w:szCs w:val="54"/>
    </w:rPr>
  </w:style>
  <w:style w:type="paragraph" w:styleId="Heading2">
    <w:name w:val="heading 2"/>
    <w:basedOn w:val="Normal"/>
    <w:uiPriority w:val="1"/>
    <w:qFormat/>
    <w:pPr>
      <w:ind w:left="2180"/>
      <w:outlineLvl w:val="1"/>
    </w:pPr>
    <w:rPr>
      <w:rFonts w:ascii="华文细黑" w:eastAsia="华文细黑" w:hAnsi="华文细黑" w:cs="华文细黑"/>
      <w:b/>
      <w:bCs/>
      <w:sz w:val="42"/>
      <w:szCs w:val="42"/>
    </w:rPr>
  </w:style>
  <w:style w:type="paragraph" w:styleId="Heading3">
    <w:name w:val="heading 3"/>
    <w:basedOn w:val="Normal"/>
    <w:uiPriority w:val="1"/>
    <w:qFormat/>
    <w:pPr>
      <w:ind w:left="2177"/>
      <w:outlineLvl w:val="2"/>
    </w:pPr>
    <w:rPr>
      <w:rFonts w:ascii="华文细黑" w:eastAsia="华文细黑" w:hAnsi="华文细黑" w:cs="华文细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98"/>
      <w:ind w:left="2810"/>
    </w:pPr>
    <w:rPr>
      <w:rFonts w:ascii="华文细黑" w:eastAsia="华文细黑" w:hAnsi="华文细黑" w:cs="华文细黑"/>
      <w:sz w:val="36"/>
      <w:szCs w:val="36"/>
    </w:rPr>
  </w:style>
  <w:style w:type="paragraph" w:styleId="TOC2">
    <w:name w:val="toc 2"/>
    <w:basedOn w:val="Normal"/>
    <w:uiPriority w:val="1"/>
    <w:qFormat/>
    <w:pPr>
      <w:spacing w:before="398"/>
      <w:ind w:left="3530"/>
    </w:pPr>
    <w:rPr>
      <w:rFonts w:ascii="华文细黑" w:eastAsia="华文细黑" w:hAnsi="华文细黑" w:cs="华文细黑"/>
      <w:sz w:val="36"/>
      <w:szCs w:val="36"/>
    </w:rPr>
  </w:style>
  <w:style w:type="paragraph" w:styleId="BodyText">
    <w:name w:val="Body Text"/>
    <w:basedOn w:val="Normal"/>
    <w:uiPriority w:val="1"/>
    <w:qFormat/>
    <w:rPr>
      <w:rFonts w:ascii="华文细黑" w:eastAsia="华文细黑" w:hAnsi="华文细黑" w:cs="华文细黑"/>
      <w:sz w:val="36"/>
      <w:szCs w:val="36"/>
    </w:rPr>
  </w:style>
  <w:style w:type="paragraph" w:styleId="Title">
    <w:name w:val="Title"/>
    <w:basedOn w:val="Normal"/>
    <w:uiPriority w:val="1"/>
    <w:qFormat/>
    <w:pPr>
      <w:spacing w:before="87"/>
      <w:ind w:left="7689" w:right="8209"/>
      <w:jc w:val="both"/>
    </w:pPr>
    <w:rPr>
      <w:rFonts w:ascii="华文细黑" w:eastAsia="华文细黑" w:hAnsi="华文细黑" w:cs="华文细黑"/>
      <w:sz w:val="144"/>
      <w:szCs w:val="144"/>
    </w:rPr>
  </w:style>
  <w:style w:type="paragraph" w:styleId="ListParagraph">
    <w:name w:val="List Paragraph"/>
    <w:basedOn w:val="Normal"/>
    <w:uiPriority w:val="1"/>
    <w:qFormat/>
    <w:pPr>
      <w:ind w:left="2180" w:firstLine="719"/>
    </w:pPr>
    <w:rPr>
      <w:rFonts w:ascii="华文细黑" w:eastAsia="华文细黑" w:hAnsi="华文细黑" w:cs="华文细黑"/>
    </w:rPr>
  </w:style>
  <w:style w:type="paragraph" w:customStyle="1" w:styleId="TableParagraph">
    <w:name w:val="Table Paragraph"/>
    <w:basedOn w:val="Normal"/>
    <w:uiPriority w:val="1"/>
    <w:qFormat/>
    <w:pPr>
      <w:jc w:val="center"/>
    </w:pPr>
    <w:rPr>
      <w:rFonts w:ascii="华文细黑" w:eastAsia="华文细黑" w:hAnsi="华文细黑" w:cs="华文细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1.png" /><Relationship Id="rId15" Type="http://schemas.openxmlformats.org/officeDocument/2006/relationships/image" Target="media/image2.pn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image" Target="media/image4.png" /><Relationship Id="rId32" Type="http://schemas.openxmlformats.org/officeDocument/2006/relationships/image" Target="media/image5.png" /><Relationship Id="rId33" Type="http://schemas.openxmlformats.org/officeDocument/2006/relationships/image" Target="media/image6.png"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image" Target="media/image7.png" /><Relationship Id="rId51" Type="http://schemas.openxmlformats.org/officeDocument/2006/relationships/header" Target="header21.xml" /><Relationship Id="rId52" Type="http://schemas.openxmlformats.org/officeDocument/2006/relationships/footer" Target="footer21.xml" /><Relationship Id="rId53" Type="http://schemas.openxmlformats.org/officeDocument/2006/relationships/header" Target="header22.xml" /><Relationship Id="rId54" Type="http://schemas.openxmlformats.org/officeDocument/2006/relationships/footer" Target="footer22.xml" /><Relationship Id="rId55" Type="http://schemas.openxmlformats.org/officeDocument/2006/relationships/header" Target="header23.xml" /><Relationship Id="rId56" Type="http://schemas.openxmlformats.org/officeDocument/2006/relationships/footer" Target="footer23.xml" /><Relationship Id="rId57" Type="http://schemas.openxmlformats.org/officeDocument/2006/relationships/header" Target="header24.xml" /><Relationship Id="rId58" Type="http://schemas.openxmlformats.org/officeDocument/2006/relationships/footer" Target="footer24.xml" /><Relationship Id="rId59" Type="http://schemas.openxmlformats.org/officeDocument/2006/relationships/header" Target="header25.xml" /><Relationship Id="rId6" Type="http://schemas.openxmlformats.org/officeDocument/2006/relationships/header" Target="header2.xml" /><Relationship Id="rId60" Type="http://schemas.openxmlformats.org/officeDocument/2006/relationships/footer" Target="footer25.xml" /><Relationship Id="rId61" Type="http://schemas.openxmlformats.org/officeDocument/2006/relationships/header" Target="header26.xml" /><Relationship Id="rId62" Type="http://schemas.openxmlformats.org/officeDocument/2006/relationships/footer" Target="footer26.xml" /><Relationship Id="rId63" Type="http://schemas.openxmlformats.org/officeDocument/2006/relationships/hyperlink" Target="https://d.book118.com/788012126101006023" TargetMode="External" /><Relationship Id="rId64" Type="http://schemas.openxmlformats.org/officeDocument/2006/relationships/header" Target="header27.xml" /><Relationship Id="rId65" Type="http://schemas.openxmlformats.org/officeDocument/2006/relationships/footer" Target="footer27.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2023-12-19T20:38:58Z</dcterms:created>
  <dcterms:modified xsi:type="dcterms:W3CDTF">2023-12-19T20:38:58Z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2022-10-24T00:00:00Z</vt:filetime>
  </property>
  <property fmtid="{D5CDD505-2E9C-101B-9397-08002B2CF9AE}" pid="3" name="LastSaved">
    <vt:filetime>2023-12-19T00:00:00Z</vt:filetime>
  </property>
</Properties>
</file>