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氢氧化铟项目风险可行性方案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91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90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_Toc31190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_Toc15072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_Toc4559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2" w:history="1">
        <w:r>
          <w:rPr>
            <w:rFonts w:ascii="仿宋" w:eastAsia="仿宋" w:hAnsi="仿宋" w:cs="仿宋" w:hint="eastAsia"/>
            <w:lang w:eastAsia="zh-CN"/>
          </w:rPr>
          <w:t>(三)、氢氧化铟项目组成</w:t>
        </w:r>
        <w:r>
          <w:tab/>
        </w:r>
        <w:r>
          <w:fldChar w:fldCharType="begin"/>
        </w:r>
        <w:r>
          <w:instrText xml:space="preserve"> PAGEREF _Toc30412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_Toc1528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_Toc259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4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_Toc21504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5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_Toc19025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7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_Toc16277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30" w:history="1">
        <w:r>
          <w:rPr>
            <w:rFonts w:ascii="仿宋" w:eastAsia="仿宋" w:hAnsi="仿宋" w:cs="仿宋" w:hint="eastAsia"/>
            <w:lang w:eastAsia="zh-CN"/>
          </w:rPr>
          <w:t>三、氢氧化铟项目建设内容</w:t>
        </w:r>
        <w:r>
          <w:tab/>
        </w:r>
        <w:r>
          <w:fldChar w:fldCharType="begin"/>
        </w:r>
        <w:r>
          <w:instrText xml:space="preserve"> PAGEREF _Toc26030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8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_Toc18408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_Toc6414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5" w:history="1">
        <w:r>
          <w:rPr>
            <w:rFonts w:ascii="仿宋" w:eastAsia="仿宋" w:hAnsi="仿宋" w:cs="仿宋" w:hint="eastAsia"/>
            <w:lang w:eastAsia="zh-CN"/>
          </w:rPr>
          <w:t>四、氢氧化铟项目建设目标</w:t>
        </w:r>
        <w:r>
          <w:tab/>
        </w:r>
        <w:r>
          <w:fldChar w:fldCharType="begin"/>
        </w:r>
        <w:r>
          <w:instrText xml:space="preserve"> PAGEREF _Toc31035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8" w:history="1">
        <w:r>
          <w:rPr>
            <w:rFonts w:ascii="仿宋" w:eastAsia="仿宋" w:hAnsi="仿宋" w:cs="仿宋" w:hint="eastAsia"/>
            <w:lang w:eastAsia="zh-CN"/>
          </w:rPr>
          <w:t>(一)、氢氧化铟项目建设目标</w:t>
        </w:r>
        <w:r>
          <w:tab/>
        </w:r>
        <w:r>
          <w:fldChar w:fldCharType="begin"/>
        </w:r>
        <w:r>
          <w:instrText xml:space="preserve"> PAGEREF _Toc24838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0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_Toc3940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_Toc18181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0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_Toc18700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7" w:history="1">
        <w:r>
          <w:rPr>
            <w:rFonts w:ascii="仿宋" w:eastAsia="仿宋" w:hAnsi="仿宋" w:cs="仿宋" w:hint="eastAsia"/>
            <w:lang w:eastAsia="zh-CN"/>
          </w:rPr>
          <w:t>(一)、氢氧化铟项目实施预备阶段</w:t>
        </w:r>
        <w:r>
          <w:tab/>
        </w:r>
        <w:r>
          <w:fldChar w:fldCharType="begin"/>
        </w:r>
        <w:r>
          <w:instrText xml:space="preserve"> PAGEREF _Toc22147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eastAsia="zh-CN"/>
          </w:rPr>
          <w:t>(二)、氢氧化铟项目实施进度安排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4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_Toc22774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_Toc14848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_Toc20115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3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_Toc25403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5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_Toc21855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_Toc15870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0" w:history="1">
        <w:r>
          <w:rPr>
            <w:rFonts w:ascii="仿宋" w:eastAsia="仿宋" w:hAnsi="仿宋" w:cs="仿宋" w:hint="eastAsia"/>
            <w:lang w:eastAsia="zh-CN"/>
          </w:rPr>
          <w:t>九、氢氧化铟项目节能分析</w:t>
        </w:r>
        <w:r>
          <w:tab/>
        </w:r>
        <w:r>
          <w:fldChar w:fldCharType="begin"/>
        </w:r>
        <w:r>
          <w:instrText xml:space="preserve"> PAGEREF _Toc18080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(二)、氢氧化铟项目预期节能综合评价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0" w:history="1">
        <w:r>
          <w:rPr>
            <w:rFonts w:ascii="仿宋" w:eastAsia="仿宋" w:hAnsi="仿宋" w:cs="仿宋" w:hint="eastAsia"/>
            <w:lang w:eastAsia="zh-CN"/>
          </w:rPr>
          <w:t>(三)、氢氧化铟项目节能设计</w:t>
        </w:r>
        <w:r>
          <w:tab/>
        </w:r>
        <w:r>
          <w:fldChar w:fldCharType="begin"/>
        </w:r>
        <w:r>
          <w:instrText xml:space="preserve"> PAGEREF _Toc14390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5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_Toc13975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2" w:history="1">
        <w:r>
          <w:rPr>
            <w:rFonts w:ascii="仿宋" w:eastAsia="仿宋" w:hAnsi="仿宋" w:cs="仿宋" w:hint="eastAsia"/>
            <w:lang w:eastAsia="zh-CN"/>
          </w:rPr>
          <w:t>十、危机管理与应急预案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5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_Toc5635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416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_Toc15416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3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_Toc5113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9" w:history="1">
        <w:r>
          <w:rPr>
            <w:rFonts w:ascii="仿宋" w:eastAsia="仿宋" w:hAnsi="仿宋" w:cs="仿宋" w:hint="eastAsia"/>
            <w:lang w:eastAsia="zh-CN"/>
          </w:rPr>
          <w:t>十一、氢氧化铟项目总结与展望</w:t>
        </w:r>
        <w:r>
          <w:tab/>
        </w:r>
        <w:r>
          <w:fldChar w:fldCharType="begin"/>
        </w:r>
        <w:r>
          <w:instrText xml:space="preserve"> PAGEREF _Toc30859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eastAsia="zh-CN"/>
          </w:rPr>
          <w:t>(一)、氢氧化铟项目总结回顾</w:t>
        </w:r>
        <w:r>
          <w:tab/>
        </w:r>
        <w:r>
          <w:fldChar w:fldCharType="begin"/>
        </w:r>
        <w:r>
          <w:instrText xml:space="preserve"> PAGEREF _Toc25697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8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_Toc15998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1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_Toc26361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9" w:history="1">
        <w:r>
          <w:rPr>
            <w:rFonts w:ascii="仿宋" w:eastAsia="仿宋" w:hAnsi="仿宋" w:cs="仿宋" w:hint="eastAsia"/>
            <w:lang w:eastAsia="zh-CN"/>
          </w:rPr>
          <w:t>(四)、氢氧化铟项目总结报告</w:t>
        </w:r>
        <w:r>
          <w:tab/>
        </w:r>
        <w:r>
          <w:fldChar w:fldCharType="begin"/>
        </w:r>
        <w:r>
          <w:instrText xml:space="preserve"> PAGEREF _Toc23049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64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_Toc18564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_Toc15999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0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_Toc3830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0" w:history="1">
        <w:r>
          <w:rPr>
            <w:rFonts w:ascii="仿宋" w:eastAsia="仿宋" w:hAnsi="仿宋" w:cs="仿宋" w:hint="eastAsia"/>
            <w:lang w:eastAsia="zh-CN"/>
          </w:rPr>
          <w:t>十三、知识管理与技术创新</w:t>
        </w:r>
        <w:r>
          <w:tab/>
        </w:r>
        <w:r>
          <w:fldChar w:fldCharType="begin"/>
        </w:r>
        <w:r>
          <w:instrText xml:space="preserve"> PAGEREF _Toc15360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_Toc18449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2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_Toc9082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9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_Toc26349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32" w:history="1">
        <w:r>
          <w:rPr>
            <w:rFonts w:ascii="仿宋" w:eastAsia="仿宋" w:hAnsi="仿宋" w:cs="仿宋" w:hint="eastAsia"/>
            <w:lang w:eastAsia="zh-CN"/>
          </w:rPr>
          <w:t>十四、建设及运营风险分析</w:t>
        </w:r>
        <w:r>
          <w:tab/>
        </w:r>
        <w:r>
          <w:fldChar w:fldCharType="begin"/>
        </w:r>
        <w:r>
          <w:instrText xml:space="preserve"> PAGEREF _Toc28732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_Toc6984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_Toc16234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_Toc31688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_Toc3797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_Toc17780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_Toc5812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_Toc13901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91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190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072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符合国家环保法规和标准，以确保生产过程中对环境的负面影响最大限度地减少。这包括对排放物、废水和废气的处理与控制，以及采用环保友好型原材料和生产工艺，促使氢氧化铟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氢氧化铟项目能够满足预期的产能需求。通过优化生产流程和采用先进的技术手段，工艺方案应致力于提高生产效率，从而有效降低生产周期、提升产能利用率，并确保氢氧化铟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https://d.book118.com/788044050105006032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氢氧化铟项目风险可行性方案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氢氧化铟项目风险可行性方案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氢氧化铟项目风险可行性方案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氢氧化铟项目风险可行性方案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6E0114"/>
    <w:rsid w:val="4A6E01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8044050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2024-01-26T08:06:00Z</dcterms:created>
  <dcterms:modified xsi:type="dcterms:W3CDTF">2024-01-26T08:06:34Z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8ABA9330A61641B2BBDEF8883A0B415F_11</vt:lpwstr>
  </property>
  <property fmtid="{D5CDD505-2E9C-101B-9397-08002B2CF9AE}" pid="3" name="KSOProductBuildVer">
    <vt:lpwstr>2052-12.1.0.16250</vt:lpwstr>
  </property>
</Properties>
</file>