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65" w:line="225" w:lineRule="auto"/>
        <w:ind w:left="185"/>
        <w:outlineLvl w:val="0"/>
        <w:rPr>
          <w:sz w:val="31"/>
          <w:szCs w:val="31"/>
        </w:rPr>
      </w:pPr>
      <w:r>
        <w:rPr>
          <w:b/>
          <w:bCs/>
          <w:spacing w:val="6"/>
          <w:sz w:val="31"/>
          <w:szCs w:val="31"/>
        </w:rPr>
        <w:t>《农村地区新能源汽车私有充电桩质量及安装技术要求》</w:t>
      </w:r>
    </w:p>
    <w:p>
      <w:pPr>
        <w:spacing w:line="454" w:lineRule="auto"/>
        <w:rPr>
          <w:rFonts w:ascii="Arial"/>
          <w:sz w:val="21"/>
        </w:rPr>
      </w:pPr>
    </w:p>
    <w:p>
      <w:pPr>
        <w:pStyle w:val="BodyText"/>
        <w:spacing w:before="101" w:line="227" w:lineRule="auto"/>
        <w:ind w:left="3321"/>
        <w:rPr>
          <w:sz w:val="31"/>
          <w:szCs w:val="31"/>
        </w:rPr>
      </w:pPr>
      <w:r>
        <w:rPr>
          <w:b/>
          <w:bCs/>
          <w:spacing w:val="2"/>
          <w:sz w:val="31"/>
          <w:szCs w:val="31"/>
        </w:rPr>
        <w:t>征求意见稿</w:t>
      </w:r>
      <w:r>
        <w:rPr>
          <w:spacing w:val="32"/>
          <w:sz w:val="31"/>
          <w:szCs w:val="31"/>
        </w:rPr>
        <w:t xml:space="preserve"> </w:t>
      </w:r>
      <w:r>
        <w:rPr>
          <w:b/>
          <w:bCs/>
          <w:spacing w:val="2"/>
          <w:sz w:val="31"/>
          <w:szCs w:val="31"/>
        </w:rPr>
        <w:t>编制说明</w:t>
      </w:r>
    </w:p>
    <w:p>
      <w:pPr>
        <w:spacing w:line="385" w:lineRule="auto"/>
        <w:rPr>
          <w:rFonts w:ascii="Arial"/>
          <w:sz w:val="21"/>
        </w:rPr>
      </w:pPr>
    </w:p>
    <w:p>
      <w:pPr>
        <w:pStyle w:val="BodyText"/>
        <w:spacing w:before="65" w:line="230" w:lineRule="auto"/>
        <w:ind w:left="20"/>
      </w:pPr>
      <w:r>
        <w:rPr>
          <w:b/>
          <w:bCs/>
          <w:spacing w:val="5"/>
        </w:rPr>
        <w:t>一、任务来源</w:t>
      </w:r>
    </w:p>
    <w:p>
      <w:pPr>
        <w:spacing w:line="465" w:lineRule="auto"/>
        <w:rPr>
          <w:rFonts w:ascii="Arial"/>
          <w:sz w:val="21"/>
        </w:rPr>
      </w:pPr>
    </w:p>
    <w:p>
      <w:pPr>
        <w:pStyle w:val="BodyText"/>
        <w:spacing w:before="65" w:line="415" w:lineRule="auto"/>
        <w:ind w:left="17" w:right="203" w:firstLine="464"/>
      </w:pPr>
      <w:r>
        <w:rPr>
          <w:spacing w:val="9"/>
        </w:rPr>
        <w:t>日前，</w:t>
      </w:r>
      <w:r>
        <w:rPr>
          <w:spacing w:val="-39"/>
        </w:rPr>
        <w:t xml:space="preserve"> </w:t>
      </w:r>
      <w:r>
        <w:rPr>
          <w:spacing w:val="9"/>
        </w:rPr>
        <w:t>国家发改委联合国家能源局印发《关于加快推进充电基础设施建设</w:t>
      </w:r>
      <w:r>
        <w:rPr>
          <w:spacing w:val="9"/>
        </w:rPr>
        <w:t xml:space="preserve"> </w:t>
      </w:r>
      <w:r>
        <w:rPr>
          <w:spacing w:val="9"/>
        </w:rPr>
        <w:t>更好支持新能源汽车下乡</w:t>
      </w:r>
      <w:r>
        <w:t xml:space="preserve"> </w:t>
      </w:r>
      <w:r>
        <w:rPr>
          <w:spacing w:val="9"/>
        </w:rPr>
        <w:t>和乡村振兴的实施意见》。其中提到，支持地方政府结合实际开展县乡公共充电网络规划，并做好与国土</w:t>
      </w:r>
      <w:r>
        <w:rPr>
          <w:spacing w:val="7"/>
        </w:rPr>
        <w:t xml:space="preserve"> </w:t>
      </w:r>
      <w:r>
        <w:rPr>
          <w:spacing w:val="4"/>
        </w:rPr>
        <w:t>空间规划、配电网规划等的衔接，加快实现</w:t>
      </w:r>
      <w:r>
        <w:rPr>
          <w:spacing w:val="3"/>
        </w:rPr>
        <w:t>适宜使用新能源汽车的地区充电站“县县全覆盖</w:t>
      </w:r>
      <w:r>
        <w:rPr>
          <w:spacing w:val="-72"/>
        </w:rPr>
        <w:t xml:space="preserve"> </w:t>
      </w:r>
      <w:r>
        <w:rPr>
          <w:spacing w:val="3"/>
        </w:rPr>
        <w:t>”、充电桩“</w:t>
      </w:r>
      <w:r>
        <w:rPr>
          <w:spacing w:val="-65"/>
        </w:rPr>
        <w:t xml:space="preserve"> </w:t>
      </w:r>
      <w:r>
        <w:rPr>
          <w:spacing w:val="3"/>
        </w:rPr>
        <w:t>乡</w:t>
      </w:r>
    </w:p>
    <w:p>
      <w:pPr>
        <w:pStyle w:val="BodyText"/>
        <w:spacing w:line="232" w:lineRule="auto"/>
        <w:ind w:left="37"/>
      </w:pPr>
      <w:r>
        <w:rPr>
          <w:spacing w:val="2"/>
        </w:rPr>
        <w:t>乡全覆盖</w:t>
      </w:r>
      <w:r>
        <w:rPr>
          <w:spacing w:val="-66"/>
        </w:rPr>
        <w:t xml:space="preserve"> </w:t>
      </w:r>
      <w:r>
        <w:rPr>
          <w:spacing w:val="2"/>
        </w:rPr>
        <w:t>”。</w:t>
      </w:r>
    </w:p>
    <w:p>
      <w:pPr>
        <w:pStyle w:val="BodyText"/>
        <w:spacing w:before="200" w:line="415" w:lineRule="auto"/>
        <w:ind w:left="42" w:right="205" w:firstLine="394"/>
      </w:pPr>
      <w:r>
        <w:rPr>
          <w:spacing w:val="9"/>
        </w:rPr>
        <w:t>新能源汽车既是产业风口，也是消费风口。</w:t>
      </w:r>
      <w:r>
        <w:rPr>
          <w:spacing w:val="-56"/>
        </w:rPr>
        <w:t xml:space="preserve"> </w:t>
      </w:r>
      <w:r>
        <w:rPr>
          <w:spacing w:val="9"/>
        </w:rPr>
        <w:t>当前我国一线城市新能源汽车渗</w:t>
      </w:r>
      <w:r>
        <w:rPr>
          <w:spacing w:val="8"/>
        </w:rPr>
        <w:t>透率已超</w:t>
      </w:r>
      <w:r>
        <w:rPr>
          <w:spacing w:val="-36"/>
        </w:rPr>
        <w:t xml:space="preserve"> </w:t>
      </w:r>
      <w:r>
        <w:rPr>
          <w:spacing w:val="8"/>
        </w:rPr>
        <w:t>50%，但部分三</w:t>
      </w:r>
      <w:r>
        <w:t xml:space="preserve"> </w:t>
      </w:r>
      <w:r>
        <w:rPr>
          <w:spacing w:val="8"/>
        </w:rPr>
        <w:t>四线城市尤其是农村地区的渗透率不足</w:t>
      </w:r>
      <w:r>
        <w:rPr>
          <w:spacing w:val="-7"/>
        </w:rPr>
        <w:t xml:space="preserve"> </w:t>
      </w:r>
      <w:r>
        <w:rPr>
          <w:spacing w:val="8"/>
        </w:rPr>
        <w:t>10%。而加快推进充电基础设施建设“下沉</w:t>
      </w:r>
      <w:r>
        <w:rPr>
          <w:spacing w:val="-73"/>
        </w:rPr>
        <w:t xml:space="preserve"> </w:t>
      </w:r>
      <w:r>
        <w:rPr>
          <w:spacing w:val="8"/>
        </w:rPr>
        <w:t>”，不仅可让新能源汽</w:t>
      </w:r>
    </w:p>
    <w:p>
      <w:pPr>
        <w:pStyle w:val="BodyText"/>
        <w:spacing w:before="1" w:line="227" w:lineRule="auto"/>
        <w:ind w:left="22"/>
      </w:pPr>
      <w:r>
        <w:rPr>
          <w:spacing w:val="9"/>
        </w:rPr>
        <w:t>车的下乡之路更顺畅，从而助力扩大内需，也是完善农村基础设施，更好促进乡村振兴的务实举措。</w:t>
      </w:r>
    </w:p>
    <w:p>
      <w:pPr>
        <w:pStyle w:val="BodyText"/>
        <w:spacing w:before="201" w:line="452" w:lineRule="exact"/>
        <w:ind w:left="444"/>
      </w:pPr>
      <w:r>
        <w:rPr>
          <w:spacing w:val="9"/>
          <w:position w:val="18"/>
        </w:rPr>
        <w:t>我国已连续数年推进新能源汽车下乡，但广大农村地区在公共充电基础建设上的滞后局面，仍</w:t>
      </w:r>
      <w:r>
        <w:rPr>
          <w:spacing w:val="8"/>
          <w:position w:val="18"/>
        </w:rPr>
        <w:t>制约着</w:t>
      </w:r>
    </w:p>
    <w:p>
      <w:pPr>
        <w:pStyle w:val="BodyText"/>
        <w:spacing w:before="1" w:line="227" w:lineRule="auto"/>
        <w:ind w:left="18"/>
      </w:pPr>
      <w:r>
        <w:rPr>
          <w:spacing w:val="9"/>
        </w:rPr>
        <w:t>农村地区新能源汽车消费潜力的释放，也切实影响到农村地区新能源汽车的使用便利。</w:t>
      </w:r>
    </w:p>
    <w:p>
      <w:pPr>
        <w:pStyle w:val="BodyText"/>
        <w:spacing w:before="202" w:line="415" w:lineRule="auto"/>
        <w:ind w:left="16" w:right="203" w:firstLine="444"/>
      </w:pPr>
      <w:r>
        <w:rPr>
          <w:spacing w:val="9"/>
        </w:rPr>
        <w:t>比如，过去几年每逢春节，驾新能源汽车返乡人员遭遇充电难</w:t>
      </w:r>
      <w:r>
        <w:rPr>
          <w:spacing w:val="8"/>
        </w:rPr>
        <w:t>的话题都受到关注。因此，在继续推进</w:t>
      </w:r>
      <w:r>
        <w:t xml:space="preserve"> </w:t>
      </w:r>
      <w:r>
        <w:rPr>
          <w:spacing w:val="9"/>
        </w:rPr>
        <w:t>新能源汽车下乡的同时，有针对性地加快配套基础设施建设，早日实现适宜使用新能源汽车的地区充电站</w:t>
      </w:r>
    </w:p>
    <w:p>
      <w:pPr>
        <w:pStyle w:val="BodyText"/>
        <w:spacing w:before="1" w:line="228" w:lineRule="auto"/>
      </w:pPr>
      <w:r>
        <w:rPr>
          <w:spacing w:val="6"/>
        </w:rPr>
        <w:t>“县县全覆盖</w:t>
      </w:r>
      <w:r>
        <w:rPr>
          <w:spacing w:val="-68"/>
        </w:rPr>
        <w:t xml:space="preserve"> </w:t>
      </w:r>
      <w:r>
        <w:rPr>
          <w:spacing w:val="6"/>
        </w:rPr>
        <w:t>”、充电桩“</w:t>
      </w:r>
      <w:r>
        <w:rPr>
          <w:spacing w:val="-67"/>
        </w:rPr>
        <w:t xml:space="preserve"> </w:t>
      </w:r>
      <w:r>
        <w:rPr>
          <w:spacing w:val="6"/>
        </w:rPr>
        <w:t>乡乡全覆盖</w:t>
      </w:r>
      <w:r>
        <w:rPr>
          <w:spacing w:val="-70"/>
        </w:rPr>
        <w:t xml:space="preserve"> </w:t>
      </w:r>
      <w:r>
        <w:rPr>
          <w:spacing w:val="6"/>
        </w:rPr>
        <w:t>”，可谓正当其时。</w:t>
      </w:r>
    </w:p>
    <w:p>
      <w:pPr>
        <w:pStyle w:val="BodyText"/>
        <w:spacing w:before="205" w:line="415" w:lineRule="auto"/>
        <w:ind w:left="16" w:firstLine="442"/>
      </w:pPr>
      <w:r>
        <w:rPr>
          <w:spacing w:val="9"/>
        </w:rPr>
        <w:t>当然，具体落实上，这是一个系统工程。一方面，需要尽快完</w:t>
      </w:r>
      <w:r>
        <w:rPr>
          <w:spacing w:val="8"/>
        </w:rPr>
        <w:t>善相应的配套支持系统。意见就明确要</w:t>
      </w:r>
      <w:r>
        <w:t xml:space="preserve">   </w:t>
      </w:r>
      <w:r>
        <w:rPr>
          <w:spacing w:val="9"/>
        </w:rPr>
        <w:t>求，要统筹考虑乡村级充电网络建设和输配电网发展，加大用地保障等支持力度，并开展配套电网建设改</w:t>
      </w:r>
      <w:r>
        <w:rPr>
          <w:spacing w:val="2"/>
        </w:rPr>
        <w:t xml:space="preserve">   </w:t>
      </w:r>
      <w:r>
        <w:rPr>
          <w:spacing w:val="8"/>
        </w:rPr>
        <w:t>造，增强农村电网的支撑保障能力。这些基础支持有赖于不同部门协同配合，为充电站、充电桩的“</w:t>
      </w:r>
      <w:r>
        <w:rPr>
          <w:spacing w:val="-77"/>
        </w:rPr>
        <w:t xml:space="preserve"> </w:t>
      </w:r>
      <w:r>
        <w:rPr>
          <w:spacing w:val="8"/>
        </w:rPr>
        <w:t>落</w:t>
      </w:r>
      <w:r>
        <w:rPr>
          <w:spacing w:val="7"/>
        </w:rPr>
        <w:t>地</w:t>
      </w:r>
      <w:r>
        <w:rPr>
          <w:spacing w:val="-70"/>
        </w:rPr>
        <w:t xml:space="preserve"> </w:t>
      </w:r>
      <w:r>
        <w:rPr>
          <w:spacing w:val="7"/>
        </w:rPr>
        <w:t>”</w:t>
      </w:r>
      <w:r>
        <w:t xml:space="preserve"> </w:t>
      </w:r>
      <w:r>
        <w:rPr>
          <w:spacing w:val="9"/>
        </w:rPr>
        <w:t>扫清障碍。另一方面，既要加快建设，也要保障运维服务跟得上，防止出</w:t>
      </w:r>
      <w:r>
        <w:rPr>
          <w:spacing w:val="8"/>
        </w:rPr>
        <w:t>现“重建设轻运维</w:t>
      </w:r>
      <w:r>
        <w:rPr>
          <w:spacing w:val="-70"/>
        </w:rPr>
        <w:t xml:space="preserve"> </w:t>
      </w:r>
      <w:r>
        <w:rPr>
          <w:spacing w:val="8"/>
        </w:rPr>
        <w:t>”的弊端。像</w:t>
      </w:r>
    </w:p>
    <w:p>
      <w:pPr>
        <w:pStyle w:val="BodyText"/>
        <w:spacing w:before="1" w:line="227" w:lineRule="auto"/>
        <w:ind w:left="20"/>
      </w:pPr>
      <w:r>
        <w:rPr>
          <w:spacing w:val="9"/>
        </w:rPr>
        <w:t>作为新事物，新能源汽车在使用及充电过程中的安全问题，就需要格外注意。</w:t>
      </w:r>
    </w:p>
    <w:p>
      <w:pPr>
        <w:pStyle w:val="BodyText"/>
        <w:spacing w:before="204" w:line="415" w:lineRule="auto"/>
        <w:ind w:left="19" w:right="203" w:firstLine="427"/>
        <w:sectPr>
          <w:footerReference w:type="default" r:id="rId4"/>
          <w:pgSz w:w="11906" w:h="16839"/>
          <w:pgMar w:top="1250" w:right="931" w:bottom="1313" w:left="1129" w:header="0" w:footer="1134" w:gutter="0"/>
          <w:cols w:space="708"/>
        </w:sectPr>
      </w:pPr>
      <w:r>
        <w:rPr>
          <w:spacing w:val="9"/>
        </w:rPr>
        <w:t>随着政策对新能源行业的大力支持，私人充电桩的市场需求不断增长，在市场趋势展望方面，</w:t>
      </w:r>
      <w:r>
        <w:rPr>
          <w:spacing w:val="8"/>
        </w:rPr>
        <w:t>私人充</w:t>
      </w:r>
      <w:r>
        <w:t xml:space="preserve"> </w:t>
      </w:r>
      <w:r>
        <w:rPr>
          <w:spacing w:val="9"/>
        </w:rPr>
        <w:t>电桩市场有望持续迎来增长。新能源车的普及度将继续提高，越来越多的国家和地区推出政策鼓励电动汽</w:t>
      </w:r>
      <w:r>
        <w:rPr>
          <w:spacing w:val="7"/>
        </w:rPr>
        <w:t xml:space="preserve"> </w:t>
      </w:r>
      <w:r>
        <w:rPr>
          <w:spacing w:val="9"/>
        </w:rPr>
        <w:t>车的销售和使用，同时，续航里程的增加和充电速度的提升使得电动汽车更具竞争力。这将进一步推动私</w:t>
      </w:r>
      <w:r>
        <w:rPr>
          <w:spacing w:val="4"/>
        </w:rPr>
        <w:t xml:space="preserve"> </w:t>
      </w:r>
      <w:r>
        <w:rPr>
          <w:spacing w:val="8"/>
        </w:rPr>
        <w:t>人充电桩的需求。</w:t>
      </w:r>
      <w:r>
        <w:rPr>
          <w:spacing w:val="-47"/>
        </w:rPr>
        <w:t xml:space="preserve"> </w:t>
      </w:r>
      <w:r>
        <w:rPr>
          <w:spacing w:val="8"/>
        </w:rPr>
        <w:t>目前，国家鼓励创新团体标准，制定一批具体示范作用高水准的团体标准，相关政策鼓</w:t>
      </w:r>
      <w:r>
        <w:t xml:space="preserve"> </w:t>
      </w:r>
    </w:p>
    <w:p>
      <w:pPr>
        <w:pStyle w:val="BodyText"/>
        <w:spacing w:before="204" w:line="415" w:lineRule="auto"/>
        <w:ind w:left="19" w:right="203" w:firstLine="427"/>
      </w:pPr>
      <w:r>
        <w:rPr>
          <w:spacing w:val="9"/>
        </w:rPr>
        <w:t>励新能源汽车私有充电桩的建设发展，规范农村地区新能源汽车私有充电桩的建设，科学引导私有充电桩</w:t>
      </w:r>
      <w:r>
        <w:rPr>
          <w:spacing w:val="7"/>
        </w:rPr>
        <w:t xml:space="preserve"> </w:t>
      </w:r>
      <w:r>
        <w:rPr>
          <w:spacing w:val="9"/>
        </w:rPr>
        <w:t>的建设，可以为接下来广大充电站施工企业、设备供应企业提供科学的标准支撑，让更多的新能源制造商</w:t>
      </w:r>
    </w:p>
    <w:p>
      <w:pPr>
        <w:pStyle w:val="BodyText"/>
        <w:spacing w:before="1" w:line="228" w:lineRule="auto"/>
        <w:ind w:left="20"/>
      </w:pPr>
      <w:r>
        <w:rPr>
          <w:spacing w:val="9"/>
        </w:rPr>
        <w:t>参与到充电站下乡标准的制定当中，发挥市场化、创新化的标准体系作用。</w:t>
      </w:r>
    </w:p>
    <w:p>
      <w:pPr>
        <w:pStyle w:val="BodyText"/>
        <w:spacing w:before="204" w:line="448" w:lineRule="exact"/>
        <w:ind w:left="444"/>
      </w:pPr>
      <w:r>
        <w:rPr>
          <w:spacing w:val="9"/>
          <w:position w:val="18"/>
        </w:rPr>
        <w:t>为贯彻落实《</w:t>
      </w:r>
      <w:r>
        <w:rPr>
          <w:spacing w:val="-53"/>
          <w:position w:val="18"/>
        </w:rPr>
        <w:t xml:space="preserve"> </w:t>
      </w:r>
      <w:r>
        <w:rPr>
          <w:spacing w:val="9"/>
          <w:position w:val="18"/>
        </w:rPr>
        <w:t>“十四五</w:t>
      </w:r>
      <w:r>
        <w:rPr>
          <w:spacing w:val="-70"/>
          <w:position w:val="18"/>
        </w:rPr>
        <w:t xml:space="preserve"> </w:t>
      </w:r>
      <w:r>
        <w:rPr>
          <w:spacing w:val="9"/>
          <w:position w:val="18"/>
        </w:rPr>
        <w:t>”现代能源体系规划》</w:t>
      </w:r>
      <w:r>
        <w:rPr>
          <w:spacing w:val="-80"/>
          <w:position w:val="18"/>
        </w:rPr>
        <w:t xml:space="preserve"> </w:t>
      </w:r>
      <w:r>
        <w:rPr>
          <w:spacing w:val="9"/>
          <w:position w:val="18"/>
        </w:rPr>
        <w:t>《关于加快推进充电基础设施建设</w:t>
      </w:r>
      <w:r>
        <w:rPr>
          <w:spacing w:val="9"/>
          <w:position w:val="18"/>
        </w:rPr>
        <w:t xml:space="preserve"> </w:t>
      </w:r>
      <w:r>
        <w:rPr>
          <w:spacing w:val="9"/>
          <w:position w:val="18"/>
        </w:rPr>
        <w:t>更好支持新能源汽</w:t>
      </w:r>
    </w:p>
    <w:p>
      <w:pPr>
        <w:pStyle w:val="BodyText"/>
        <w:spacing w:before="1" w:line="227" w:lineRule="auto"/>
        <w:ind w:left="22"/>
      </w:pPr>
      <w:r>
        <w:rPr>
          <w:spacing w:val="9"/>
        </w:rPr>
        <w:t>车下乡和乡村振兴的实施意见》等文件精神，规范私有充电桩下乡的科学建设，为农村新能源汽车私有充</w:t>
      </w:r>
    </w:p>
    <w:p>
      <w:pPr>
        <w:spacing w:line="227" w:lineRule="auto"/>
        <w:sectPr>
          <w:footerReference w:type="default" r:id="rId5"/>
          <w:type w:val="nextPage"/>
          <w:pgSz w:w="11906" w:h="16839"/>
          <w:pgMar w:top="1250" w:right="931" w:bottom="1313" w:left="1129" w:header="0" w:footer="1134" w:gutter="0"/>
          <w:pgNumType w:start="2"/>
          <w:cols w:space="708"/>
          <w:titlePg w:val="0"/>
        </w:sectPr>
      </w:pPr>
    </w:p>
    <w:p>
      <w:pPr>
        <w:spacing w:line="309" w:lineRule="auto"/>
        <w:rPr>
          <w:rFonts w:ascii="Arial"/>
          <w:sz w:val="21"/>
        </w:rPr>
      </w:pPr>
    </w:p>
    <w:p>
      <w:pPr>
        <w:spacing w:line="309" w:lineRule="auto"/>
        <w:rPr>
          <w:rFonts w:ascii="Arial"/>
          <w:sz w:val="21"/>
        </w:rPr>
      </w:pPr>
    </w:p>
    <w:p>
      <w:pPr>
        <w:pStyle w:val="BodyText"/>
        <w:spacing w:before="65" w:line="451" w:lineRule="exact"/>
        <w:ind w:left="148"/>
      </w:pPr>
      <w:r>
        <w:rPr>
          <w:spacing w:val="9"/>
          <w:position w:val="18"/>
        </w:rPr>
        <w:t>电桩标准化建设提供依据，推动行业绿色低碳发展，制定《农村地区</w:t>
      </w:r>
      <w:r>
        <w:rPr>
          <w:spacing w:val="8"/>
          <w:position w:val="18"/>
        </w:rPr>
        <w:t>新能源汽车私有充电桩质量及安装技</w:t>
      </w:r>
    </w:p>
    <w:p>
      <w:pPr>
        <w:pStyle w:val="BodyText"/>
        <w:spacing w:before="1" w:line="227" w:lineRule="auto"/>
        <w:ind w:left="126"/>
      </w:pPr>
      <w:r>
        <w:rPr>
          <w:spacing w:val="7"/>
        </w:rPr>
        <w:t>术要求》势在必行。</w:t>
      </w:r>
    </w:p>
    <w:p>
      <w:pPr>
        <w:spacing w:line="290" w:lineRule="auto"/>
        <w:rPr>
          <w:rFonts w:ascii="Arial"/>
          <w:sz w:val="21"/>
        </w:rPr>
      </w:pPr>
    </w:p>
    <w:p>
      <w:pPr>
        <w:pStyle w:val="BodyText"/>
        <w:spacing w:before="65" w:line="229" w:lineRule="auto"/>
        <w:ind w:left="132"/>
        <w:outlineLvl w:val="0"/>
      </w:pPr>
      <w:r>
        <w:rPr>
          <w:b/>
          <w:bCs/>
          <w:spacing w:val="7"/>
        </w:rPr>
        <w:t>二、起草单位和主要工作成员及其所作工作</w:t>
      </w:r>
    </w:p>
    <w:p>
      <w:pPr>
        <w:spacing w:line="309" w:lineRule="auto"/>
        <w:rPr>
          <w:rFonts w:ascii="Arial"/>
          <w:sz w:val="21"/>
        </w:rPr>
      </w:pPr>
    </w:p>
    <w:p>
      <w:pPr>
        <w:pStyle w:val="BodyText"/>
        <w:spacing w:before="65" w:line="229" w:lineRule="auto"/>
        <w:ind w:left="134"/>
        <w:outlineLvl w:val="0"/>
      </w:pPr>
      <w:r>
        <w:rPr>
          <w:b/>
          <w:bCs/>
          <w:spacing w:val="3"/>
        </w:rPr>
        <w:t>1、起草单位</w:t>
      </w:r>
    </w:p>
    <w:p>
      <w:pPr>
        <w:pStyle w:val="BodyText"/>
        <w:spacing w:before="62" w:line="269" w:lineRule="auto"/>
        <w:ind w:left="124" w:right="40" w:firstLine="421"/>
        <w:jc w:val="both"/>
      </w:pPr>
      <w:r>
        <w:rPr>
          <w:spacing w:val="9"/>
        </w:rPr>
        <w:t>本标准由中国国际科技促进会标准化工作委员会提出，由中国国际科技促进会归口</w:t>
      </w:r>
      <w:r>
        <w:rPr>
          <w:spacing w:val="8"/>
        </w:rPr>
        <w:t>。本标准由杭州伽</w:t>
      </w:r>
      <w:r>
        <w:rPr>
          <w:spacing w:val="8"/>
        </w:rPr>
        <w:t xml:space="preserve"> </w:t>
      </w:r>
      <w:r>
        <w:rPr>
          <w:spacing w:val="9"/>
        </w:rPr>
        <w:t>加新能源有限公司、浙江晨泰科技股份有限公司、深圳市江机实业有限公司、深圳市鸿嘉利新</w:t>
      </w:r>
      <w:r>
        <w:rPr>
          <w:spacing w:val="8"/>
        </w:rPr>
        <w:t>能源有限公</w:t>
      </w:r>
      <w:r>
        <w:rPr>
          <w:spacing w:val="8"/>
        </w:rPr>
        <w:t xml:space="preserve"> </w:t>
      </w:r>
      <w:r>
        <w:rPr>
          <w:spacing w:val="6"/>
        </w:rPr>
        <w:t>司、宁波三星智能电气有限公司、广州蔚景科技有限公司、北京通标华信标准技术服务有限公司共同起草。</w:t>
      </w:r>
    </w:p>
    <w:p>
      <w:pPr>
        <w:pStyle w:val="BodyText"/>
        <w:spacing w:before="62" w:line="229" w:lineRule="auto"/>
        <w:ind w:left="121"/>
        <w:outlineLvl w:val="0"/>
      </w:pPr>
      <w:r>
        <w:rPr>
          <w:b/>
          <w:bCs/>
          <w:spacing w:val="7"/>
        </w:rPr>
        <w:t>2、主要工作成员及其所作工作</w:t>
      </w:r>
    </w:p>
    <w:p>
      <w:pPr>
        <w:pStyle w:val="BodyText"/>
        <w:spacing w:before="64" w:line="229" w:lineRule="auto"/>
        <w:ind w:left="126"/>
      </w:pPr>
      <w:r>
        <w:rPr>
          <w:spacing w:val="8"/>
        </w:rPr>
        <w:t>本文件主要起草人及工作职责见表1。</w:t>
      </w:r>
    </w:p>
    <w:p>
      <w:pPr>
        <w:pStyle w:val="BodyText"/>
        <w:spacing w:before="64" w:line="229" w:lineRule="auto"/>
        <w:ind w:left="3686"/>
      </w:pPr>
      <w:r>
        <w:rPr>
          <w:spacing w:val="7"/>
        </w:rPr>
        <w:t>表1</w:t>
      </w:r>
      <w:r>
        <w:rPr>
          <w:spacing w:val="7"/>
        </w:rPr>
        <w:t xml:space="preserve"> </w:t>
      </w:r>
      <w:r>
        <w:rPr>
          <w:spacing w:val="7"/>
        </w:rPr>
        <w:t>主要起草人及工作职责</w:t>
      </w:r>
    </w:p>
    <w:p>
      <w:pPr>
        <w:spacing w:line="132" w:lineRule="auto"/>
        <w:rPr>
          <w:rFonts w:ascii="Arial"/>
          <w:sz w:val="2"/>
        </w:rPr>
      </w:pPr>
    </w:p>
    <w:tbl>
      <w:tblPr>
        <w:tblStyle w:val="TableNormal0"/>
        <w:tblW w:w="98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14"/>
        <w:gridCol w:w="5344"/>
      </w:tblGrid>
      <w:tr>
        <w:tblPrEx>
          <w:tblW w:w="985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514" w:type="dxa"/>
            <w:vAlign w:val="top"/>
          </w:tcPr>
          <w:p>
            <w:pPr>
              <w:pStyle w:val="TableText"/>
              <w:spacing w:before="56" w:line="231" w:lineRule="auto"/>
              <w:ind w:left="121"/>
            </w:pPr>
            <w:r>
              <w:rPr>
                <w:spacing w:val="4"/>
              </w:rPr>
              <w:t>起草人</w:t>
            </w:r>
          </w:p>
        </w:tc>
        <w:tc>
          <w:tcPr>
            <w:tcW w:w="5344" w:type="dxa"/>
            <w:vAlign w:val="top"/>
          </w:tcPr>
          <w:p>
            <w:pPr>
              <w:pStyle w:val="TableText"/>
              <w:spacing w:before="56" w:line="229" w:lineRule="auto"/>
              <w:ind w:left="123"/>
            </w:pPr>
            <w:r>
              <w:rPr>
                <w:spacing w:val="4"/>
              </w:rPr>
              <w:t>工作职责</w:t>
            </w:r>
          </w:p>
        </w:tc>
      </w:tr>
      <w:tr>
        <w:tblPrEx>
          <w:tblW w:w="9858" w:type="dxa"/>
          <w:tblInd w:w="2" w:type="dxa"/>
          <w:tblLayout w:type="fixed"/>
        </w:tblPrEx>
        <w:trPr>
          <w:trHeight w:val="1251"/>
        </w:trPr>
        <w:tc>
          <w:tcPr>
            <w:tcW w:w="4514" w:type="dxa"/>
            <w:vAlign w:val="top"/>
          </w:tcPr>
          <w:p>
            <w:pPr>
              <w:pStyle w:val="TableText"/>
              <w:spacing w:before="53" w:line="259" w:lineRule="auto"/>
              <w:ind w:left="118" w:right="108" w:firstLine="1"/>
            </w:pPr>
            <w:r>
              <w:rPr>
                <w:spacing w:val="14"/>
              </w:rPr>
              <w:t>杭州伽加新能源有限公司、浙江晨泰科技股份</w:t>
            </w:r>
            <w:r>
              <w:t xml:space="preserve"> </w:t>
            </w:r>
            <w:r>
              <w:rPr>
                <w:spacing w:val="6"/>
              </w:rPr>
              <w:t>有限公司</w:t>
            </w:r>
          </w:p>
        </w:tc>
        <w:tc>
          <w:tcPr>
            <w:tcW w:w="5344" w:type="dxa"/>
            <w:vAlign w:val="top"/>
          </w:tcPr>
          <w:p>
            <w:pPr>
              <w:pStyle w:val="TableText"/>
              <w:spacing w:before="53" w:line="273" w:lineRule="auto"/>
              <w:ind w:left="116" w:right="107" w:firstLine="3"/>
              <w:jc w:val="both"/>
            </w:pPr>
            <w:r>
              <w:rPr>
                <w:spacing w:val="13"/>
              </w:rPr>
              <w:t>项目主编单位主编人员，负责标准制定的统筹</w:t>
            </w:r>
            <w:r>
              <w:rPr>
                <w:spacing w:val="12"/>
              </w:rPr>
              <w:t>规划与安</w:t>
            </w:r>
            <w:r>
              <w:t xml:space="preserve"> </w:t>
            </w:r>
            <w:r>
              <w:rPr>
                <w:spacing w:val="13"/>
              </w:rPr>
              <w:t>排，标准内容和试验方案编制与确定，标准水平的把握</w:t>
            </w:r>
            <w:r>
              <w:t xml:space="preserve"> </w:t>
            </w:r>
            <w:r>
              <w:rPr>
                <w:spacing w:val="13"/>
              </w:rPr>
              <w:t>及标准编制运行的组织协调。人员中包括了私有充电桩</w:t>
            </w:r>
            <w:r>
              <w:rPr>
                <w:spacing w:val="2"/>
              </w:rPr>
              <w:t xml:space="preserve"> </w:t>
            </w:r>
            <w:r>
              <w:rPr>
                <w:spacing w:val="8"/>
              </w:rPr>
              <w:t>专业人员，私有充电桩行业管理人员。</w:t>
            </w:r>
          </w:p>
        </w:tc>
      </w:tr>
      <w:tr>
        <w:tblPrEx>
          <w:tblW w:w="9858" w:type="dxa"/>
          <w:tblInd w:w="2" w:type="dxa"/>
          <w:tblLayout w:type="fixed"/>
        </w:tblPrEx>
        <w:trPr>
          <w:trHeight w:val="628"/>
        </w:trPr>
        <w:tc>
          <w:tcPr>
            <w:tcW w:w="4514" w:type="dxa"/>
            <w:vAlign w:val="top"/>
          </w:tcPr>
          <w:p>
            <w:pPr>
              <w:pStyle w:val="TableText"/>
              <w:spacing w:before="54" w:line="259" w:lineRule="auto"/>
              <w:ind w:left="120" w:right="108" w:firstLine="5"/>
            </w:pPr>
            <w:r>
              <w:rPr>
                <w:spacing w:val="13"/>
              </w:rPr>
              <w:t>北京政企联创信息咨询有限公司、北京通标华</w:t>
            </w:r>
            <w:r>
              <w:rPr>
                <w:spacing w:val="13"/>
              </w:rPr>
              <w:t xml:space="preserve"> </w:t>
            </w:r>
            <w:r>
              <w:rPr>
                <w:spacing w:val="8"/>
              </w:rPr>
              <w:t>信标准技术服务有限公司</w:t>
            </w:r>
          </w:p>
        </w:tc>
        <w:tc>
          <w:tcPr>
            <w:tcW w:w="5344" w:type="dxa"/>
            <w:vAlign w:val="top"/>
          </w:tcPr>
          <w:p>
            <w:pPr>
              <w:pStyle w:val="TableText"/>
              <w:spacing w:before="54" w:line="259" w:lineRule="auto"/>
              <w:ind w:left="138" w:right="110" w:hanging="21"/>
            </w:pPr>
            <w:r>
              <w:rPr>
                <w:spacing w:val="13"/>
              </w:rPr>
              <w:t>标准化协调机构，负责协调标准制定过程中出现</w:t>
            </w:r>
            <w:r>
              <w:rPr>
                <w:spacing w:val="12"/>
              </w:rPr>
              <w:t>了各类</w:t>
            </w:r>
            <w:r>
              <w:t xml:space="preserve"> </w:t>
            </w:r>
            <w:r>
              <w:rPr>
                <w:spacing w:val="6"/>
              </w:rPr>
              <w:t>问题，提供国外的技术信息等。</w:t>
            </w:r>
          </w:p>
        </w:tc>
      </w:tr>
      <w:tr>
        <w:tblPrEx>
          <w:tblW w:w="9858" w:type="dxa"/>
          <w:tblInd w:w="2" w:type="dxa"/>
          <w:tblLayout w:type="fixed"/>
        </w:tblPrEx>
        <w:trPr>
          <w:trHeight w:val="944"/>
        </w:trPr>
        <w:tc>
          <w:tcPr>
            <w:tcW w:w="4514" w:type="dxa"/>
            <w:vAlign w:val="top"/>
          </w:tcPr>
          <w:p>
            <w:pPr>
              <w:pStyle w:val="TableText"/>
              <w:spacing w:before="54" w:line="269" w:lineRule="auto"/>
              <w:ind w:left="124" w:right="106" w:hanging="2"/>
              <w:jc w:val="both"/>
            </w:pPr>
            <w:r>
              <w:rPr>
                <w:spacing w:val="13"/>
              </w:rPr>
              <w:t>深圳市江机实业有限公司、深圳市鸿嘉利新能</w:t>
            </w:r>
            <w:r>
              <w:rPr>
                <w:spacing w:val="17"/>
              </w:rPr>
              <w:t xml:space="preserve"> </w:t>
            </w:r>
            <w:r>
              <w:rPr>
                <w:spacing w:val="13"/>
              </w:rPr>
              <w:t>源有限公司、宁波三星智能电气有限公司、广</w:t>
            </w:r>
            <w:r>
              <w:rPr>
                <w:spacing w:val="17"/>
              </w:rPr>
              <w:t xml:space="preserve"> </w:t>
            </w:r>
            <w:r>
              <w:rPr>
                <w:spacing w:val="7"/>
              </w:rPr>
              <w:t>州蔚景科技有限公司</w:t>
            </w:r>
          </w:p>
        </w:tc>
        <w:tc>
          <w:tcPr>
            <w:tcW w:w="5344" w:type="dxa"/>
            <w:vAlign w:val="top"/>
          </w:tcPr>
          <w:p>
            <w:pPr>
              <w:pStyle w:val="TableText"/>
              <w:spacing w:before="54" w:line="259" w:lineRule="auto"/>
              <w:ind w:left="117" w:right="110" w:firstLine="4"/>
            </w:pPr>
            <w:r>
              <w:rPr>
                <w:spacing w:val="12"/>
              </w:rPr>
              <w:t>实际生产单位、负责汇报企业私有充电桩生产数据、试</w:t>
            </w:r>
            <w:r>
              <w:rPr>
                <w:spacing w:val="17"/>
              </w:rPr>
              <w:t xml:space="preserve"> </w:t>
            </w:r>
            <w:r>
              <w:rPr>
                <w:spacing w:val="7"/>
              </w:rPr>
              <w:t>验方法，参与标准编制。</w:t>
            </w:r>
          </w:p>
        </w:tc>
      </w:tr>
    </w:tbl>
    <w:p>
      <w:pPr>
        <w:pStyle w:val="BodyText"/>
        <w:spacing w:before="206" w:line="230" w:lineRule="auto"/>
        <w:ind w:left="131"/>
        <w:outlineLvl w:val="0"/>
      </w:pPr>
      <w:r>
        <w:rPr>
          <w:b/>
          <w:bCs/>
          <w:spacing w:val="6"/>
        </w:rPr>
        <w:t>三、标准的编制原则</w:t>
      </w:r>
    </w:p>
    <w:p>
      <w:pPr>
        <w:pStyle w:val="BodyText"/>
        <w:spacing w:before="298" w:line="432" w:lineRule="auto"/>
        <w:ind w:left="125" w:right="113" w:firstLine="419"/>
        <w:jc w:val="both"/>
      </w:pPr>
      <w:r>
        <w:rPr>
          <w:spacing w:val="9"/>
        </w:rPr>
        <w:t>标准起草小组在编制标准过程中，以国家、行业现有的标准为制订基础，结合我国目前的机械行业现</w:t>
      </w:r>
      <w:r>
        <w:rPr>
          <w:spacing w:val="8"/>
        </w:rPr>
        <w:t xml:space="preserve"> </w:t>
      </w:r>
      <w:r>
        <w:rPr>
          <w:spacing w:val="8"/>
        </w:rPr>
        <w:t>状，按照</w:t>
      </w:r>
      <w:r>
        <w:t>GB</w:t>
      </w:r>
      <w:r>
        <w:rPr>
          <w:spacing w:val="8"/>
        </w:rPr>
        <w:t>/T</w:t>
      </w:r>
      <w:r>
        <w:rPr>
          <w:spacing w:val="8"/>
        </w:rPr>
        <w:t xml:space="preserve"> </w:t>
      </w:r>
      <w:r>
        <w:rPr>
          <w:spacing w:val="8"/>
        </w:rPr>
        <w:t>1.1—2020《标准化工作导则</w:t>
      </w:r>
      <w:r>
        <w:rPr>
          <w:spacing w:val="8"/>
        </w:rPr>
        <w:t xml:space="preserve"> </w:t>
      </w:r>
      <w:r>
        <w:rPr>
          <w:spacing w:val="8"/>
        </w:rPr>
        <w:t>第1部分：标准化文件的结构和起草规则》的规定及相关要求</w:t>
      </w:r>
    </w:p>
    <w:p>
      <w:pPr>
        <w:pStyle w:val="BodyText"/>
        <w:spacing w:line="230" w:lineRule="auto"/>
        <w:ind w:left="127"/>
      </w:pPr>
      <w:r>
        <w:t>编制。</w:t>
      </w:r>
    </w:p>
    <w:p>
      <w:pPr>
        <w:pStyle w:val="BodyText"/>
        <w:spacing w:before="296" w:line="230" w:lineRule="auto"/>
        <w:ind w:left="150"/>
        <w:outlineLvl w:val="0"/>
      </w:pPr>
      <w:r>
        <w:rPr>
          <w:b/>
          <w:bCs/>
          <w:spacing w:val="3"/>
        </w:rPr>
        <w:t>四、标准编制过程</w:t>
      </w:r>
    </w:p>
    <w:p>
      <w:pPr>
        <w:pStyle w:val="BodyText"/>
        <w:spacing w:before="220" w:line="259" w:lineRule="auto"/>
        <w:ind w:left="131" w:right="113" w:firstLine="410"/>
        <w:sectPr>
          <w:footerReference w:type="default" r:id="rId6"/>
          <w:pgSz w:w="11906" w:h="16839"/>
          <w:pgMar w:top="1431" w:right="1021" w:bottom="1312" w:left="1021" w:header="0" w:footer="1134" w:gutter="0"/>
          <w:pgNumType w:start="3"/>
          <w:cols w:space="708"/>
        </w:sectPr>
      </w:pPr>
      <w:r>
        <w:rPr>
          <w:spacing w:val="10"/>
        </w:rPr>
        <w:t>2022年6月13日，</w:t>
      </w:r>
      <w:r>
        <w:rPr>
          <w:spacing w:val="-48"/>
        </w:rPr>
        <w:t xml:space="preserve"> </w:t>
      </w:r>
      <w:r>
        <w:rPr>
          <w:spacing w:val="10"/>
        </w:rPr>
        <w:t>中国国际科技促进会正式批准《农村地区新能源</w:t>
      </w:r>
      <w:r>
        <w:rPr>
          <w:spacing w:val="9"/>
        </w:rPr>
        <w:t>汽车私有充电桩质量及安装技术要</w:t>
      </w:r>
      <w:r>
        <w:t xml:space="preserve"> </w:t>
      </w:r>
      <w:r>
        <w:rPr>
          <w:spacing w:val="4"/>
        </w:rPr>
        <w:t>求》立项。</w:t>
      </w:r>
    </w:p>
    <w:p>
      <w:pPr>
        <w:pStyle w:val="BodyText"/>
        <w:spacing w:before="64" w:line="276" w:lineRule="auto"/>
        <w:ind w:left="126" w:right="55" w:firstLine="415"/>
      </w:pPr>
      <w:r>
        <w:rPr>
          <w:spacing w:val="6"/>
        </w:rPr>
        <w:t>2023年12月19日，《农村地区新能源</w:t>
      </w:r>
      <w:r>
        <w:rPr>
          <w:spacing w:val="5"/>
        </w:rPr>
        <w:t>汽车私有充电桩质量及安装技术要求》团体标准启动会正式召开，</w:t>
      </w:r>
      <w:r>
        <w:t xml:space="preserve"> </w:t>
      </w:r>
      <w:r>
        <w:rPr>
          <w:spacing w:val="9"/>
        </w:rPr>
        <w:t>中国国际科技促进会标准化工作委员会质量强国工作组主持了本次会议召开，中国国际科技促进会相关领</w:t>
      </w:r>
      <w:r>
        <w:rPr>
          <w:spacing w:val="6"/>
        </w:rPr>
        <w:t xml:space="preserve"> </w:t>
      </w:r>
      <w:r>
        <w:rPr>
          <w:spacing w:val="9"/>
        </w:rPr>
        <w:t>导出席会议，本次会议成立了编制组，编制组单位为杭州伽加新能源有限公司、浙江晨泰科技股份有限公</w:t>
      </w:r>
      <w:r>
        <w:rPr>
          <w:spacing w:val="8"/>
        </w:rPr>
        <w:t xml:space="preserve"> </w:t>
      </w:r>
      <w:r>
        <w:rPr>
          <w:spacing w:val="9"/>
        </w:rPr>
        <w:t>司、深圳市江机实业有限公司、深圳市鸿嘉利新能源有限公司、宁波三星智能电气有限公司、广州蔚景科</w:t>
      </w:r>
      <w:r>
        <w:rPr>
          <w:spacing w:val="8"/>
        </w:rPr>
        <w:t xml:space="preserve"> </w:t>
      </w:r>
      <w:r>
        <w:rPr>
          <w:spacing w:val="8"/>
        </w:rPr>
        <w:t>技有限公司、北京通标华信标准技术服务有限公司。</w:t>
      </w:r>
    </w:p>
    <w:p>
      <w:pPr>
        <w:pStyle w:val="BodyText"/>
        <w:spacing w:before="63" w:line="229" w:lineRule="auto"/>
        <w:ind w:left="547"/>
      </w:pPr>
      <w:r>
        <w:rPr>
          <w:spacing w:val="9"/>
        </w:rPr>
        <w:t>对草案稿进行了讨论，编制组根据讨论会意见形成了征求意见稿。</w:t>
      </w:r>
    </w:p>
    <w:p>
      <w:pPr>
        <w:pStyle w:val="BodyText"/>
        <w:spacing w:before="63" w:line="261" w:lineRule="auto"/>
        <w:ind w:left="127" w:right="113" w:firstLine="414"/>
      </w:pPr>
      <w:r>
        <w:rPr>
          <w:spacing w:val="10"/>
        </w:rPr>
        <w:t>2024年1月17日，《农村地区新能源汽车私有充电桩质量及安装技</w:t>
      </w:r>
      <w:r>
        <w:rPr>
          <w:spacing w:val="9"/>
        </w:rPr>
        <w:t>术要求》</w:t>
      </w:r>
      <w:r>
        <w:rPr>
          <w:spacing w:val="-48"/>
        </w:rPr>
        <w:t xml:space="preserve"> </w:t>
      </w:r>
      <w:r>
        <w:rPr>
          <w:spacing w:val="9"/>
        </w:rPr>
        <w:t>团体标准申请开始征求意</w:t>
      </w:r>
      <w:r>
        <w:t xml:space="preserve"> </w:t>
      </w:r>
      <w:r>
        <w:rPr>
          <w:spacing w:val="-4"/>
        </w:rPr>
        <w:t>见。</w:t>
      </w:r>
    </w:p>
    <w:p>
      <w:pPr>
        <w:pStyle w:val="BodyText"/>
        <w:spacing w:before="215" w:line="231" w:lineRule="auto"/>
        <w:ind w:left="128"/>
        <w:outlineLvl w:val="0"/>
      </w:pPr>
      <w:r>
        <w:rPr>
          <w:b/>
          <w:bCs/>
          <w:spacing w:val="6"/>
        </w:rPr>
        <w:t>五、标准主要内容</w:t>
      </w:r>
    </w:p>
    <w:p>
      <w:pPr>
        <w:spacing w:line="231" w:lineRule="auto"/>
        <w:sectPr>
          <w:footerReference w:type="default" r:id="rId7"/>
          <w:type w:val="nextPage"/>
          <w:pgSz w:w="11906" w:h="16839"/>
          <w:pgMar w:top="1431" w:right="1021" w:bottom="1312" w:left="1021" w:header="0" w:footer="1134" w:gutter="0"/>
          <w:pgNumType w:start="4"/>
          <w:cols w:space="708"/>
          <w:titlePg w:val="0"/>
        </w:sectPr>
      </w:pPr>
    </w:p>
    <w:p>
      <w:pPr>
        <w:pStyle w:val="BodyText"/>
        <w:spacing w:before="41" w:line="226" w:lineRule="auto"/>
        <w:ind w:left="17"/>
      </w:pPr>
      <w:r>
        <w:rPr>
          <w:rFonts w:ascii="SimHei" w:eastAsia="SimHei" w:hAnsi="SimHei" w:cs="SimHei"/>
          <w:spacing w:val="-8"/>
        </w:rPr>
        <w:t>1</w:t>
      </w:r>
      <w:r>
        <w:rPr>
          <w:rFonts w:ascii="SimHei" w:eastAsia="SimHei" w:hAnsi="SimHei" w:cs="SimHei"/>
          <w:spacing w:val="19"/>
        </w:rPr>
        <w:t xml:space="preserve">  </w:t>
      </w:r>
      <w:r>
        <w:rPr>
          <w:spacing w:val="-8"/>
        </w:rPr>
        <w:t>范围</w:t>
      </w:r>
    </w:p>
    <w:p>
      <w:pPr>
        <w:spacing w:line="312" w:lineRule="auto"/>
        <w:rPr>
          <w:rFonts w:ascii="Arial"/>
          <w:sz w:val="21"/>
        </w:rPr>
      </w:pPr>
    </w:p>
    <w:p>
      <w:pPr>
        <w:pStyle w:val="BodyText"/>
        <w:spacing w:before="65" w:line="255" w:lineRule="auto"/>
        <w:ind w:firstLine="426"/>
      </w:pPr>
      <w:r>
        <w:rPr>
          <w:spacing w:val="6"/>
        </w:rPr>
        <w:t>本文件规定了农村地区新能源汽车充电桩的基本要求、技术要求、安装、试验方法、检验规则和标志、</w:t>
      </w:r>
      <w:r>
        <w:rPr>
          <w:spacing w:val="2"/>
        </w:rPr>
        <w:t xml:space="preserve"> </w:t>
      </w:r>
      <w:r>
        <w:rPr>
          <w:spacing w:val="8"/>
        </w:rPr>
        <w:t>包装、运输及贮存等。</w:t>
      </w:r>
    </w:p>
    <w:p>
      <w:pPr>
        <w:pStyle w:val="BodyText"/>
        <w:spacing w:before="70" w:line="624" w:lineRule="exact"/>
        <w:ind w:left="426"/>
      </w:pPr>
      <w:r>
        <w:rPr>
          <w:spacing w:val="9"/>
          <w:position w:val="32"/>
        </w:rPr>
        <w:t>本文件适用于农村地区新能源汽车私有充电桩。</w:t>
      </w:r>
    </w:p>
    <w:p>
      <w:pPr>
        <w:pStyle w:val="BodyText"/>
        <w:spacing w:line="223" w:lineRule="auto"/>
        <w:ind w:left="4"/>
      </w:pPr>
      <w:r>
        <w:rPr>
          <w:rFonts w:ascii="SimHei" w:eastAsia="SimHei" w:hAnsi="SimHei" w:cs="SimHei"/>
          <w:spacing w:val="6"/>
        </w:rPr>
        <w:t>2</w:t>
      </w:r>
      <w:r>
        <w:rPr>
          <w:rFonts w:ascii="SimHei" w:eastAsia="SimHei" w:hAnsi="SimHei" w:cs="SimHei"/>
          <w:spacing w:val="15"/>
        </w:rPr>
        <w:t xml:space="preserve">  </w:t>
      </w:r>
      <w:r>
        <w:rPr>
          <w:spacing w:val="6"/>
        </w:rPr>
        <w:t>规范性引用文件</w:t>
      </w:r>
    </w:p>
    <w:p>
      <w:pPr>
        <w:spacing w:line="315" w:lineRule="auto"/>
        <w:rPr>
          <w:rFonts w:ascii="Arial"/>
          <w:sz w:val="21"/>
        </w:rPr>
      </w:pPr>
    </w:p>
    <w:p>
      <w:pPr>
        <w:pStyle w:val="BodyText"/>
        <w:spacing w:before="66" w:line="267" w:lineRule="auto"/>
        <w:ind w:left="3" w:right="62" w:firstLine="431"/>
      </w:pPr>
      <w:r>
        <w:rPr>
          <w:spacing w:val="9"/>
        </w:rPr>
        <w:t>下列文件中的内容通过文中的规范性引用而构成本文件必不可少的条款。其中，注日期的引用文件，</w:t>
      </w:r>
      <w:r>
        <w:rPr>
          <w:spacing w:val="4"/>
        </w:rPr>
        <w:t xml:space="preserve"> </w:t>
      </w:r>
      <w:r>
        <w:rPr>
          <w:spacing w:val="9"/>
        </w:rPr>
        <w:t>仅该日期对应的版本适用于本文件；不注日期的引用文件，其最新版本（包括所有的修改单）适用于本文</w:t>
      </w:r>
      <w:r>
        <w:rPr>
          <w:spacing w:val="17"/>
        </w:rPr>
        <w:t xml:space="preserve"> </w:t>
      </w:r>
      <w:r>
        <w:rPr>
          <w:spacing w:val="1"/>
        </w:rPr>
        <w:t>件。</w:t>
      </w:r>
    </w:p>
    <w:p>
      <w:pPr>
        <w:pStyle w:val="BodyText"/>
        <w:spacing w:before="68" w:line="225" w:lineRule="auto"/>
        <w:ind w:left="427"/>
      </w:pPr>
      <w:r>
        <w:t>GB</w:t>
      </w:r>
      <w:r>
        <w:rPr>
          <w:spacing w:val="6"/>
        </w:rPr>
        <w:t>/T</w:t>
      </w:r>
      <w:r>
        <w:rPr>
          <w:spacing w:val="29"/>
        </w:rPr>
        <w:t xml:space="preserve"> </w:t>
      </w:r>
      <w:r>
        <w:rPr>
          <w:spacing w:val="6"/>
        </w:rPr>
        <w:t>191</w:t>
      </w:r>
      <w:r>
        <w:rPr>
          <w:spacing w:val="6"/>
        </w:rPr>
        <w:t xml:space="preserve"> </w:t>
      </w:r>
      <w:r>
        <w:rPr>
          <w:spacing w:val="6"/>
        </w:rPr>
        <w:t>包装储运图示标志</w:t>
      </w:r>
    </w:p>
    <w:p>
      <w:pPr>
        <w:pStyle w:val="BodyText"/>
        <w:spacing w:before="68" w:line="312" w:lineRule="exact"/>
        <w:ind w:left="427"/>
      </w:pPr>
      <w:r>
        <w:rPr>
          <w:position w:val="7"/>
        </w:rPr>
        <w:t>GB</w:t>
      </w:r>
      <w:r>
        <w:rPr>
          <w:spacing w:val="7"/>
          <w:position w:val="7"/>
        </w:rPr>
        <w:t>/T</w:t>
      </w:r>
      <w:r>
        <w:rPr>
          <w:spacing w:val="7"/>
          <w:position w:val="7"/>
        </w:rPr>
        <w:t xml:space="preserve"> </w:t>
      </w:r>
      <w:r>
        <w:rPr>
          <w:spacing w:val="7"/>
          <w:position w:val="7"/>
        </w:rPr>
        <w:t>2423.1</w:t>
      </w:r>
      <w:r>
        <w:rPr>
          <w:spacing w:val="43"/>
          <w:position w:val="7"/>
        </w:rPr>
        <w:t xml:space="preserve"> </w:t>
      </w:r>
      <w:r>
        <w:rPr>
          <w:spacing w:val="7"/>
          <w:position w:val="7"/>
        </w:rPr>
        <w:t>电工电子产品环境试验</w:t>
      </w:r>
      <w:r>
        <w:rPr>
          <w:spacing w:val="7"/>
          <w:position w:val="7"/>
        </w:rPr>
        <w:t xml:space="preserve"> </w:t>
      </w:r>
      <w:r>
        <w:rPr>
          <w:spacing w:val="7"/>
          <w:position w:val="7"/>
        </w:rPr>
        <w:t>第2部分:试验方法</w:t>
      </w:r>
      <w:r>
        <w:rPr>
          <w:spacing w:val="7"/>
          <w:position w:val="7"/>
        </w:rPr>
        <w:t xml:space="preserve"> </w:t>
      </w:r>
      <w:r>
        <w:rPr>
          <w:spacing w:val="7"/>
          <w:position w:val="7"/>
        </w:rPr>
        <w:t>试验A：低温</w:t>
      </w:r>
    </w:p>
    <w:p>
      <w:pPr>
        <w:pStyle w:val="BodyText"/>
        <w:spacing w:line="225" w:lineRule="auto"/>
        <w:ind w:left="427"/>
      </w:pPr>
      <w:r>
        <w:t>GB</w:t>
      </w:r>
      <w:r>
        <w:rPr>
          <w:spacing w:val="7"/>
        </w:rPr>
        <w:t>/T</w:t>
      </w:r>
      <w:r>
        <w:rPr>
          <w:spacing w:val="7"/>
        </w:rPr>
        <w:t xml:space="preserve"> </w:t>
      </w:r>
      <w:r>
        <w:rPr>
          <w:spacing w:val="7"/>
        </w:rPr>
        <w:t>2423.2</w:t>
      </w:r>
      <w:r>
        <w:rPr>
          <w:spacing w:val="43"/>
        </w:rPr>
        <w:t xml:space="preserve"> </w:t>
      </w:r>
      <w:r>
        <w:rPr>
          <w:spacing w:val="7"/>
        </w:rPr>
        <w:t>电工电子产品环境试验</w:t>
      </w:r>
      <w:r>
        <w:rPr>
          <w:spacing w:val="7"/>
        </w:rPr>
        <w:t xml:space="preserve"> </w:t>
      </w:r>
      <w:r>
        <w:rPr>
          <w:spacing w:val="7"/>
        </w:rPr>
        <w:t>第2部分:试验方法</w:t>
      </w:r>
      <w:r>
        <w:rPr>
          <w:spacing w:val="7"/>
        </w:rPr>
        <w:t xml:space="preserve"> </w:t>
      </w:r>
      <w:r>
        <w:rPr>
          <w:spacing w:val="7"/>
        </w:rPr>
        <w:t>试验B：高温</w:t>
      </w:r>
    </w:p>
    <w:p>
      <w:pPr>
        <w:pStyle w:val="BodyText"/>
        <w:spacing w:before="69" w:line="225" w:lineRule="auto"/>
        <w:ind w:left="427"/>
      </w:pPr>
      <w:r>
        <w:t>GB</w:t>
      </w:r>
      <w:r>
        <w:rPr>
          <w:spacing w:val="8"/>
        </w:rPr>
        <w:t>/T</w:t>
      </w:r>
      <w:r>
        <w:rPr>
          <w:spacing w:val="8"/>
        </w:rPr>
        <w:t xml:space="preserve"> </w:t>
      </w:r>
      <w:r>
        <w:rPr>
          <w:spacing w:val="8"/>
        </w:rPr>
        <w:t>2423.3</w:t>
      </w:r>
      <w:r>
        <w:rPr>
          <w:spacing w:val="8"/>
        </w:rPr>
        <w:t xml:space="preserve"> </w:t>
      </w:r>
      <w:r>
        <w:rPr>
          <w:spacing w:val="8"/>
        </w:rPr>
        <w:t>环境试验</w:t>
      </w:r>
      <w:r>
        <w:rPr>
          <w:spacing w:val="8"/>
        </w:rPr>
        <w:t xml:space="preserve"> </w:t>
      </w:r>
      <w:r>
        <w:rPr>
          <w:spacing w:val="8"/>
        </w:rPr>
        <w:t>第2部分:试验方法</w:t>
      </w:r>
      <w:r>
        <w:rPr>
          <w:spacing w:val="14"/>
        </w:rPr>
        <w:t xml:space="preserve"> </w:t>
      </w:r>
      <w:r>
        <w:rPr>
          <w:spacing w:val="8"/>
        </w:rPr>
        <w:t>试验</w:t>
      </w:r>
      <w:r>
        <w:rPr>
          <w:spacing w:val="17"/>
        </w:rPr>
        <w:t xml:space="preserve"> </w:t>
      </w:r>
      <w:r>
        <w:t>Cab</w:t>
      </w:r>
      <w:r>
        <w:rPr>
          <w:spacing w:val="8"/>
        </w:rPr>
        <w:t>：恒</w:t>
      </w:r>
      <w:r>
        <w:rPr>
          <w:spacing w:val="7"/>
        </w:rPr>
        <w:t>定湿热试验</w:t>
      </w:r>
    </w:p>
    <w:p>
      <w:pPr>
        <w:pStyle w:val="BodyText"/>
        <w:spacing w:before="67" w:line="223" w:lineRule="auto"/>
        <w:ind w:left="427"/>
      </w:pPr>
      <w:r>
        <w:t>GB</w:t>
      </w:r>
      <w:r>
        <w:rPr>
          <w:spacing w:val="7"/>
        </w:rPr>
        <w:t>/T</w:t>
      </w:r>
      <w:r>
        <w:rPr>
          <w:spacing w:val="7"/>
        </w:rPr>
        <w:t xml:space="preserve"> </w:t>
      </w:r>
      <w:r>
        <w:rPr>
          <w:spacing w:val="7"/>
        </w:rPr>
        <w:t>2829</w:t>
      </w:r>
      <w:r>
        <w:rPr>
          <w:spacing w:val="7"/>
        </w:rPr>
        <w:t xml:space="preserve"> </w:t>
      </w:r>
      <w:r>
        <w:rPr>
          <w:spacing w:val="7"/>
        </w:rPr>
        <w:t>周期检验计数抽样程序及表</w:t>
      </w:r>
      <w:r>
        <w:rPr>
          <w:spacing w:val="60"/>
        </w:rPr>
        <w:t xml:space="preserve"> </w:t>
      </w:r>
      <w:r>
        <w:rPr>
          <w:spacing w:val="7"/>
        </w:rPr>
        <w:t>(适用于对过程稳定性</w:t>
      </w:r>
      <w:r>
        <w:rPr>
          <w:spacing w:val="6"/>
        </w:rPr>
        <w:t>的检验)</w:t>
      </w:r>
    </w:p>
    <w:p>
      <w:pPr>
        <w:pStyle w:val="BodyText"/>
        <w:spacing w:before="71" w:line="225" w:lineRule="auto"/>
        <w:ind w:left="427"/>
      </w:pPr>
      <w:r>
        <w:t>GB</w:t>
      </w:r>
      <w:r>
        <w:rPr>
          <w:spacing w:val="3"/>
        </w:rPr>
        <w:t>/T</w:t>
      </w:r>
      <w:r>
        <w:rPr>
          <w:spacing w:val="3"/>
        </w:rPr>
        <w:t xml:space="preserve"> </w:t>
      </w:r>
      <w:r>
        <w:rPr>
          <w:spacing w:val="3"/>
        </w:rPr>
        <w:t>4208</w:t>
      </w:r>
      <w:r>
        <w:rPr>
          <w:spacing w:val="29"/>
        </w:rPr>
        <w:t xml:space="preserve"> </w:t>
      </w:r>
      <w:r>
        <w:rPr>
          <w:spacing w:val="3"/>
        </w:rPr>
        <w:t>外壳防护等级</w:t>
      </w:r>
      <w:r>
        <w:rPr>
          <w:spacing w:val="60"/>
        </w:rPr>
        <w:t xml:space="preserve"> </w:t>
      </w:r>
      <w:r>
        <w:rPr>
          <w:spacing w:val="3"/>
        </w:rPr>
        <w:t>(</w:t>
      </w:r>
      <w:r>
        <w:t>IP</w:t>
      </w:r>
      <w:r>
        <w:rPr>
          <w:spacing w:val="11"/>
        </w:rPr>
        <w:t xml:space="preserve"> </w:t>
      </w:r>
      <w:r>
        <w:rPr>
          <w:spacing w:val="3"/>
        </w:rPr>
        <w:t>代码)</w:t>
      </w:r>
    </w:p>
    <w:p>
      <w:pPr>
        <w:pStyle w:val="BodyText"/>
        <w:spacing w:before="68" w:line="225" w:lineRule="auto"/>
        <w:ind w:left="427"/>
      </w:pPr>
      <w:r>
        <w:t>GB</w:t>
      </w:r>
      <w:r>
        <w:rPr>
          <w:spacing w:val="8"/>
        </w:rPr>
        <w:t>/T</w:t>
      </w:r>
      <w:r>
        <w:rPr>
          <w:spacing w:val="8"/>
        </w:rPr>
        <w:t xml:space="preserve"> </w:t>
      </w:r>
      <w:r>
        <w:rPr>
          <w:spacing w:val="8"/>
        </w:rPr>
        <w:t>9254</w:t>
      </w:r>
      <w:r>
        <w:rPr>
          <w:spacing w:val="8"/>
        </w:rPr>
        <w:t xml:space="preserve"> </w:t>
      </w:r>
      <w:r>
        <w:rPr>
          <w:spacing w:val="8"/>
        </w:rPr>
        <w:t>信息技术设备的无线电骚扰限值和测量方法</w:t>
      </w:r>
    </w:p>
    <w:p>
      <w:pPr>
        <w:pStyle w:val="BodyText"/>
        <w:spacing w:before="68" w:line="257" w:lineRule="auto"/>
        <w:ind w:left="427" w:right="881"/>
      </w:pPr>
      <w:r>
        <w:t>GB</w:t>
      </w:r>
      <w:r>
        <w:rPr>
          <w:spacing w:val="8"/>
        </w:rPr>
        <w:t>/T</w:t>
      </w:r>
      <w:r>
        <w:rPr>
          <w:spacing w:val="8"/>
        </w:rPr>
        <w:t xml:space="preserve"> </w:t>
      </w:r>
      <w:r>
        <w:rPr>
          <w:spacing w:val="8"/>
        </w:rPr>
        <w:t>10963.1</w:t>
      </w:r>
      <w:r>
        <w:rPr>
          <w:spacing w:val="37"/>
        </w:rPr>
        <w:t xml:space="preserve"> </w:t>
      </w:r>
      <w:r>
        <w:rPr>
          <w:spacing w:val="8"/>
        </w:rPr>
        <w:t>电气附件</w:t>
      </w:r>
      <w:r>
        <w:rPr>
          <w:spacing w:val="8"/>
        </w:rPr>
        <w:t xml:space="preserve"> </w:t>
      </w:r>
      <w:r>
        <w:rPr>
          <w:spacing w:val="8"/>
        </w:rPr>
        <w:t>家用及类似场所用过电流保护断路器</w:t>
      </w:r>
      <w:r>
        <w:rPr>
          <w:spacing w:val="8"/>
        </w:rPr>
        <w:t xml:space="preserve"> </w:t>
      </w:r>
      <w:r>
        <w:rPr>
          <w:spacing w:val="8"/>
        </w:rPr>
        <w:t>第1部分：用</w:t>
      </w:r>
      <w:r>
        <w:rPr>
          <w:spacing w:val="7"/>
        </w:rPr>
        <w:t>于交流的断路器</w:t>
      </w:r>
      <w:r>
        <w:t xml:space="preserve"> </w:t>
      </w:r>
      <w:r>
        <w:t>GB</w:t>
      </w:r>
      <w:r>
        <w:rPr>
          <w:spacing w:val="7"/>
        </w:rPr>
        <w:t>/T</w:t>
      </w:r>
      <w:r>
        <w:rPr>
          <w:spacing w:val="7"/>
        </w:rPr>
        <w:t xml:space="preserve"> </w:t>
      </w:r>
      <w:r>
        <w:rPr>
          <w:spacing w:val="7"/>
        </w:rPr>
        <w:t>13384</w:t>
      </w:r>
      <w:r>
        <w:rPr>
          <w:spacing w:val="7"/>
        </w:rPr>
        <w:t xml:space="preserve"> </w:t>
      </w:r>
      <w:r>
        <w:rPr>
          <w:spacing w:val="7"/>
        </w:rPr>
        <w:t>机电产品包装通用技术条件</w:t>
      </w:r>
    </w:p>
    <w:p>
      <w:pPr>
        <w:pStyle w:val="BodyText"/>
        <w:spacing w:before="67" w:line="224" w:lineRule="auto"/>
        <w:ind w:left="427"/>
      </w:pPr>
      <w:r>
        <w:t>GB</w:t>
      </w:r>
      <w:r>
        <w:rPr>
          <w:spacing w:val="7"/>
        </w:rPr>
        <w:t>/T</w:t>
      </w:r>
      <w:r>
        <w:rPr>
          <w:spacing w:val="7"/>
        </w:rPr>
        <w:t xml:space="preserve"> </w:t>
      </w:r>
      <w:r>
        <w:rPr>
          <w:spacing w:val="7"/>
        </w:rPr>
        <w:t>14048.2</w:t>
      </w:r>
      <w:r>
        <w:rPr>
          <w:spacing w:val="7"/>
        </w:rPr>
        <w:t xml:space="preserve"> </w:t>
      </w:r>
      <w:r>
        <w:rPr>
          <w:spacing w:val="7"/>
        </w:rPr>
        <w:t>低压开关设备和控制设备</w:t>
      </w:r>
      <w:r>
        <w:rPr>
          <w:spacing w:val="34"/>
        </w:rPr>
        <w:t xml:space="preserve"> </w:t>
      </w:r>
      <w:r>
        <w:rPr>
          <w:spacing w:val="7"/>
        </w:rPr>
        <w:t>第2部分：断路器</w:t>
      </w:r>
    </w:p>
    <w:p>
      <w:pPr>
        <w:pStyle w:val="BodyText"/>
        <w:spacing w:before="70" w:line="224" w:lineRule="auto"/>
        <w:ind w:left="427"/>
      </w:pPr>
      <w:r>
        <w:t>GB</w:t>
      </w:r>
      <w:r>
        <w:rPr>
          <w:spacing w:val="9"/>
        </w:rPr>
        <w:t>/T</w:t>
      </w:r>
      <w:r>
        <w:rPr>
          <w:spacing w:val="9"/>
        </w:rPr>
        <w:t xml:space="preserve"> </w:t>
      </w:r>
      <w:r>
        <w:rPr>
          <w:spacing w:val="9"/>
        </w:rPr>
        <w:t>14048.3</w:t>
      </w:r>
      <w:r>
        <w:rPr>
          <w:spacing w:val="9"/>
        </w:rPr>
        <w:t xml:space="preserve"> </w:t>
      </w:r>
      <w:r>
        <w:rPr>
          <w:spacing w:val="9"/>
        </w:rPr>
        <w:t>低压开关设备和控制设备</w:t>
      </w:r>
      <w:r>
        <w:rPr>
          <w:spacing w:val="9"/>
        </w:rPr>
        <w:t xml:space="preserve"> </w:t>
      </w:r>
      <w:r>
        <w:rPr>
          <w:spacing w:val="9"/>
        </w:rPr>
        <w:t>第3部分：</w:t>
      </w:r>
      <w:r>
        <w:rPr>
          <w:spacing w:val="8"/>
        </w:rPr>
        <w:t>开关、隔离器、隔离开关及熔断器组合电器</w:t>
      </w:r>
    </w:p>
    <w:p>
      <w:pPr>
        <w:pStyle w:val="BodyText"/>
        <w:spacing w:before="69" w:line="256" w:lineRule="auto"/>
        <w:ind w:left="50" w:right="62" w:firstLine="376"/>
      </w:pPr>
      <w:r>
        <w:t>GB</w:t>
      </w:r>
      <w:r>
        <w:rPr>
          <w:spacing w:val="12"/>
        </w:rPr>
        <w:t>/T</w:t>
      </w:r>
      <w:r>
        <w:rPr>
          <w:spacing w:val="12"/>
        </w:rPr>
        <w:t xml:space="preserve"> </w:t>
      </w:r>
      <w:r>
        <w:rPr>
          <w:spacing w:val="12"/>
        </w:rPr>
        <w:t>14048.4</w:t>
      </w:r>
      <w:r>
        <w:rPr>
          <w:spacing w:val="12"/>
        </w:rPr>
        <w:t xml:space="preserve"> </w:t>
      </w:r>
      <w:r>
        <w:rPr>
          <w:spacing w:val="12"/>
        </w:rPr>
        <w:t>低压开关设备和控制设备</w:t>
      </w:r>
      <w:r>
        <w:rPr>
          <w:spacing w:val="34"/>
        </w:rPr>
        <w:t xml:space="preserve"> </w:t>
      </w:r>
      <w:r>
        <w:rPr>
          <w:spacing w:val="12"/>
        </w:rPr>
        <w:t>第4-1部分，接器和电动机</w:t>
      </w:r>
      <w:r>
        <w:rPr>
          <w:spacing w:val="11"/>
        </w:rPr>
        <w:t>起动器</w:t>
      </w:r>
      <w:r>
        <w:rPr>
          <w:spacing w:val="11"/>
        </w:rPr>
        <w:t xml:space="preserve"> </w:t>
      </w:r>
      <w:r>
        <w:rPr>
          <w:spacing w:val="11"/>
        </w:rPr>
        <w:t>机电式接触器和电动器</w:t>
      </w:r>
      <w:r>
        <w:t xml:space="preserve"> </w:t>
      </w:r>
      <w:r>
        <w:rPr>
          <w:spacing w:val="3"/>
        </w:rPr>
        <w:t>(含电动机保护器)</w:t>
      </w:r>
    </w:p>
    <w:p>
      <w:pPr>
        <w:pStyle w:val="BodyText"/>
        <w:spacing w:before="70" w:line="223" w:lineRule="auto"/>
        <w:ind w:left="427"/>
      </w:pPr>
      <w:r>
        <w:t>GB</w:t>
      </w:r>
      <w:r>
        <w:rPr>
          <w:spacing w:val="9"/>
        </w:rPr>
        <w:t>/T</w:t>
      </w:r>
      <w:r>
        <w:rPr>
          <w:spacing w:val="9"/>
        </w:rPr>
        <w:t xml:space="preserve"> </w:t>
      </w:r>
      <w:r>
        <w:rPr>
          <w:spacing w:val="9"/>
        </w:rPr>
        <w:t>16916.1</w:t>
      </w:r>
      <w:r>
        <w:rPr>
          <w:spacing w:val="9"/>
        </w:rPr>
        <w:t xml:space="preserve"> </w:t>
      </w:r>
      <w:r>
        <w:rPr>
          <w:spacing w:val="9"/>
        </w:rPr>
        <w:t>家用和类似用途的不带过电流保护的剩余电流动作断</w:t>
      </w:r>
      <w:r>
        <w:rPr>
          <w:spacing w:val="8"/>
        </w:rPr>
        <w:t>路器(</w:t>
      </w:r>
      <w:r>
        <w:t>RCCB</w:t>
      </w:r>
      <w:r>
        <w:rPr>
          <w:spacing w:val="8"/>
        </w:rPr>
        <w:t>)</w:t>
      </w:r>
      <w:r>
        <w:rPr>
          <w:spacing w:val="8"/>
        </w:rPr>
        <w:t xml:space="preserve"> </w:t>
      </w:r>
      <w:r>
        <w:rPr>
          <w:spacing w:val="8"/>
        </w:rPr>
        <w:t>第1部分:一般规则</w:t>
      </w:r>
    </w:p>
    <w:p>
      <w:pPr>
        <w:pStyle w:val="BodyText"/>
        <w:spacing w:before="70" w:line="223" w:lineRule="auto"/>
        <w:ind w:left="427"/>
      </w:pPr>
      <w:r>
        <w:t>GB</w:t>
      </w:r>
      <w:r>
        <w:rPr>
          <w:spacing w:val="7"/>
        </w:rPr>
        <w:t>/T</w:t>
      </w:r>
      <w:r>
        <w:rPr>
          <w:spacing w:val="7"/>
        </w:rPr>
        <w:t xml:space="preserve"> </w:t>
      </w:r>
      <w:r>
        <w:rPr>
          <w:spacing w:val="7"/>
        </w:rPr>
        <w:t>17626.3</w:t>
      </w:r>
      <w:r>
        <w:rPr>
          <w:spacing w:val="48"/>
        </w:rPr>
        <w:t xml:space="preserve"> </w:t>
      </w:r>
      <w:r>
        <w:rPr>
          <w:spacing w:val="7"/>
        </w:rPr>
        <w:t>电磁兼容</w:t>
      </w:r>
      <w:r>
        <w:rPr>
          <w:spacing w:val="7"/>
        </w:rPr>
        <w:t xml:space="preserve"> </w:t>
      </w:r>
      <w:r>
        <w:rPr>
          <w:spacing w:val="7"/>
        </w:rPr>
        <w:t>试验和测量技术</w:t>
      </w:r>
      <w:r>
        <w:rPr>
          <w:spacing w:val="7"/>
        </w:rPr>
        <w:t xml:space="preserve"> </w:t>
      </w:r>
      <w:r>
        <w:rPr>
          <w:spacing w:val="7"/>
        </w:rPr>
        <w:t>射频电磁场辐射抗扰度试验</w:t>
      </w:r>
    </w:p>
    <w:p>
      <w:pPr>
        <w:pStyle w:val="BodyText"/>
        <w:spacing w:before="70" w:line="312" w:lineRule="exact"/>
        <w:ind w:left="427"/>
      </w:pPr>
      <w:r>
        <w:rPr>
          <w:position w:val="8"/>
        </w:rPr>
        <w:t>GB</w:t>
      </w:r>
      <w:r>
        <w:rPr>
          <w:spacing w:val="7"/>
          <w:position w:val="8"/>
        </w:rPr>
        <w:t>/T</w:t>
      </w:r>
      <w:r>
        <w:rPr>
          <w:spacing w:val="7"/>
          <w:position w:val="8"/>
        </w:rPr>
        <w:t xml:space="preserve"> </w:t>
      </w:r>
      <w:r>
        <w:rPr>
          <w:spacing w:val="7"/>
          <w:position w:val="8"/>
        </w:rPr>
        <w:t>17626.4</w:t>
      </w:r>
      <w:r>
        <w:rPr>
          <w:spacing w:val="37"/>
          <w:position w:val="8"/>
        </w:rPr>
        <w:t xml:space="preserve"> </w:t>
      </w:r>
      <w:r>
        <w:rPr>
          <w:spacing w:val="7"/>
          <w:position w:val="8"/>
        </w:rPr>
        <w:t>电磁兼容</w:t>
      </w:r>
      <w:r>
        <w:rPr>
          <w:spacing w:val="7"/>
          <w:position w:val="8"/>
        </w:rPr>
        <w:t xml:space="preserve"> </w:t>
      </w:r>
      <w:r>
        <w:rPr>
          <w:spacing w:val="7"/>
          <w:position w:val="8"/>
        </w:rPr>
        <w:t>试验和测</w:t>
      </w:r>
      <w:r>
        <w:rPr>
          <w:spacing w:val="6"/>
          <w:position w:val="8"/>
        </w:rPr>
        <w:t>量技术</w:t>
      </w:r>
      <w:r>
        <w:rPr>
          <w:spacing w:val="38"/>
          <w:position w:val="8"/>
        </w:rPr>
        <w:t xml:space="preserve"> </w:t>
      </w:r>
      <w:r>
        <w:rPr>
          <w:spacing w:val="6"/>
          <w:position w:val="8"/>
        </w:rPr>
        <w:t>电快速瞬变脉冲群抗扰度试验</w:t>
      </w:r>
    </w:p>
    <w:p>
      <w:pPr>
        <w:pStyle w:val="BodyText"/>
        <w:spacing w:before="1" w:line="223" w:lineRule="auto"/>
        <w:ind w:left="427"/>
      </w:pPr>
      <w:r>
        <w:t>GB</w:t>
      </w:r>
      <w:r>
        <w:rPr>
          <w:spacing w:val="6"/>
        </w:rPr>
        <w:t>/T</w:t>
      </w:r>
      <w:r>
        <w:rPr>
          <w:spacing w:val="6"/>
        </w:rPr>
        <w:t xml:space="preserve"> </w:t>
      </w:r>
      <w:r>
        <w:rPr>
          <w:spacing w:val="6"/>
        </w:rPr>
        <w:t>17626.5</w:t>
      </w:r>
      <w:r>
        <w:rPr>
          <w:spacing w:val="51"/>
        </w:rPr>
        <w:t xml:space="preserve"> </w:t>
      </w:r>
      <w:r>
        <w:rPr>
          <w:spacing w:val="6"/>
        </w:rPr>
        <w:t>电磁兼容</w:t>
      </w:r>
      <w:r>
        <w:rPr>
          <w:spacing w:val="6"/>
        </w:rPr>
        <w:t xml:space="preserve"> </w:t>
      </w:r>
      <w:r>
        <w:rPr>
          <w:spacing w:val="6"/>
        </w:rPr>
        <w:t>试验和测量技术</w:t>
      </w:r>
      <w:r>
        <w:rPr>
          <w:spacing w:val="24"/>
        </w:rPr>
        <w:t xml:space="preserve"> </w:t>
      </w:r>
      <w:r>
        <w:rPr>
          <w:spacing w:val="6"/>
        </w:rPr>
        <w:t>浪涌(冲击)</w:t>
      </w:r>
      <w:r>
        <w:rPr>
          <w:spacing w:val="6"/>
        </w:rPr>
        <w:t xml:space="preserve"> </w:t>
      </w:r>
      <w:r>
        <w:rPr>
          <w:spacing w:val="6"/>
        </w:rPr>
        <w:t>抗扰度试验)</w:t>
      </w:r>
    </w:p>
    <w:p>
      <w:pPr>
        <w:pStyle w:val="BodyText"/>
        <w:spacing w:before="70" w:line="312" w:lineRule="exact"/>
        <w:ind w:left="427"/>
      </w:pPr>
      <w:r>
        <w:rPr>
          <w:position w:val="8"/>
        </w:rPr>
        <w:t>GB</w:t>
      </w:r>
      <w:r>
        <w:rPr>
          <w:spacing w:val="7"/>
          <w:position w:val="8"/>
        </w:rPr>
        <w:t>/T</w:t>
      </w:r>
      <w:r>
        <w:rPr>
          <w:spacing w:val="7"/>
          <w:position w:val="8"/>
        </w:rPr>
        <w:t xml:space="preserve"> </w:t>
      </w:r>
      <w:r>
        <w:rPr>
          <w:spacing w:val="7"/>
          <w:position w:val="8"/>
        </w:rPr>
        <w:t>17626.6</w:t>
      </w:r>
      <w:r>
        <w:rPr>
          <w:spacing w:val="52"/>
          <w:position w:val="8"/>
        </w:rPr>
        <w:t xml:space="preserve"> </w:t>
      </w:r>
      <w:r>
        <w:rPr>
          <w:spacing w:val="7"/>
          <w:position w:val="8"/>
        </w:rPr>
        <w:t>电磁兼容</w:t>
      </w:r>
      <w:r>
        <w:rPr>
          <w:spacing w:val="7"/>
          <w:position w:val="8"/>
        </w:rPr>
        <w:t xml:space="preserve"> </w:t>
      </w:r>
      <w:r>
        <w:rPr>
          <w:spacing w:val="7"/>
          <w:position w:val="8"/>
        </w:rPr>
        <w:t>试验和测量技术</w:t>
      </w:r>
      <w:r>
        <w:rPr>
          <w:spacing w:val="7"/>
          <w:position w:val="8"/>
        </w:rPr>
        <w:t xml:space="preserve"> </w:t>
      </w:r>
      <w:r>
        <w:rPr>
          <w:spacing w:val="7"/>
          <w:position w:val="8"/>
        </w:rPr>
        <w:t>射频场感应的传导骚扰抗扰度</w:t>
      </w:r>
    </w:p>
    <w:p>
      <w:pPr>
        <w:pStyle w:val="BodyText"/>
        <w:spacing w:line="222" w:lineRule="auto"/>
        <w:ind w:left="427"/>
      </w:pPr>
      <w:r>
        <w:t>GB</w:t>
      </w:r>
      <w:r>
        <w:rPr>
          <w:spacing w:val="7"/>
        </w:rPr>
        <w:t>/T</w:t>
      </w:r>
      <w:r>
        <w:rPr>
          <w:spacing w:val="7"/>
        </w:rPr>
        <w:t xml:space="preserve"> </w:t>
      </w:r>
      <w:r>
        <w:rPr>
          <w:spacing w:val="7"/>
        </w:rPr>
        <w:t>18487.1-2015</w:t>
      </w:r>
      <w:r>
        <w:rPr>
          <w:spacing w:val="37"/>
        </w:rPr>
        <w:t xml:space="preserve"> </w:t>
      </w:r>
      <w:r>
        <w:rPr>
          <w:spacing w:val="7"/>
        </w:rPr>
        <w:t>电动汽车传导充电</w:t>
      </w:r>
      <w:r>
        <w:rPr>
          <w:spacing w:val="6"/>
        </w:rPr>
        <w:t>系统</w:t>
      </w:r>
      <w:r>
        <w:rPr>
          <w:spacing w:val="6"/>
        </w:rPr>
        <w:t xml:space="preserve"> </w:t>
      </w:r>
      <w:r>
        <w:rPr>
          <w:spacing w:val="6"/>
        </w:rPr>
        <w:t>第1部分：通用要求</w:t>
      </w:r>
    </w:p>
    <w:p>
      <w:pPr>
        <w:pStyle w:val="BodyText"/>
        <w:spacing w:before="71" w:line="223" w:lineRule="auto"/>
        <w:ind w:left="427"/>
      </w:pPr>
      <w:r>
        <w:t>GB</w:t>
      </w:r>
      <w:r>
        <w:rPr>
          <w:spacing w:val="7"/>
        </w:rPr>
        <w:t>/T</w:t>
      </w:r>
      <w:r>
        <w:rPr>
          <w:spacing w:val="7"/>
        </w:rPr>
        <w:t xml:space="preserve"> </w:t>
      </w:r>
      <w:r>
        <w:rPr>
          <w:spacing w:val="7"/>
        </w:rPr>
        <w:t>20234.2</w:t>
      </w:r>
      <w:r>
        <w:rPr>
          <w:spacing w:val="50"/>
        </w:rPr>
        <w:t xml:space="preserve"> </w:t>
      </w:r>
      <w:r>
        <w:rPr>
          <w:spacing w:val="7"/>
        </w:rPr>
        <w:t>电动汽车传导充电用连接装置</w:t>
      </w:r>
      <w:r>
        <w:rPr>
          <w:spacing w:val="7"/>
        </w:rPr>
        <w:t xml:space="preserve"> </w:t>
      </w:r>
      <w:r>
        <w:rPr>
          <w:spacing w:val="7"/>
        </w:rPr>
        <w:t>第2部分：交流充电接口</w:t>
      </w:r>
    </w:p>
    <w:p>
      <w:pPr>
        <w:pStyle w:val="BodyText"/>
        <w:spacing w:before="71" w:line="255" w:lineRule="auto"/>
        <w:ind w:left="427" w:right="1617"/>
      </w:pPr>
      <w:r>
        <w:t>GB</w:t>
      </w:r>
      <w:r>
        <w:rPr>
          <w:spacing w:val="9"/>
        </w:rPr>
        <w:t>/T</w:t>
      </w:r>
      <w:r>
        <w:rPr>
          <w:spacing w:val="9"/>
        </w:rPr>
        <w:t xml:space="preserve"> </w:t>
      </w:r>
      <w:r>
        <w:rPr>
          <w:spacing w:val="9"/>
        </w:rPr>
        <w:t>22794</w:t>
      </w:r>
      <w:r>
        <w:rPr>
          <w:spacing w:val="9"/>
        </w:rPr>
        <w:t xml:space="preserve"> </w:t>
      </w:r>
      <w:r>
        <w:rPr>
          <w:spacing w:val="9"/>
        </w:rPr>
        <w:t>家用和类似用途的不带和带过电流保</w:t>
      </w:r>
      <w:r>
        <w:rPr>
          <w:spacing w:val="8"/>
        </w:rPr>
        <w:t>护的F型和B型剩余电流动作断路器</w:t>
      </w:r>
      <w:r>
        <w:t xml:space="preserve"> </w:t>
      </w:r>
      <w:r>
        <w:t>GB</w:t>
      </w:r>
      <w:r>
        <w:rPr>
          <w:spacing w:val="6"/>
        </w:rPr>
        <w:t>/T</w:t>
      </w:r>
      <w:r>
        <w:rPr>
          <w:spacing w:val="6"/>
        </w:rPr>
        <w:t xml:space="preserve"> </w:t>
      </w:r>
      <w:r>
        <w:rPr>
          <w:spacing w:val="6"/>
        </w:rPr>
        <w:t>28569</w:t>
      </w:r>
      <w:r>
        <w:rPr>
          <w:spacing w:val="49"/>
        </w:rPr>
        <w:t xml:space="preserve"> </w:t>
      </w:r>
      <w:r>
        <w:rPr>
          <w:spacing w:val="6"/>
        </w:rPr>
        <w:t>电动汽车交流充电桩电能计量</w:t>
      </w:r>
    </w:p>
    <w:p>
      <w:pPr>
        <w:pStyle w:val="BodyText"/>
        <w:spacing w:before="71" w:line="624" w:lineRule="exact"/>
        <w:ind w:left="426"/>
      </w:pPr>
      <w:r>
        <w:rPr>
          <w:position w:val="33"/>
        </w:rPr>
        <w:t>NB</w:t>
      </w:r>
      <w:r>
        <w:rPr>
          <w:spacing w:val="7"/>
          <w:position w:val="33"/>
        </w:rPr>
        <w:t>/T</w:t>
      </w:r>
      <w:r>
        <w:rPr>
          <w:spacing w:val="7"/>
          <w:position w:val="33"/>
        </w:rPr>
        <w:t xml:space="preserve"> </w:t>
      </w:r>
      <w:r>
        <w:rPr>
          <w:spacing w:val="7"/>
          <w:position w:val="33"/>
        </w:rPr>
        <w:t>33008.2</w:t>
      </w:r>
      <w:r>
        <w:rPr>
          <w:spacing w:val="49"/>
          <w:position w:val="33"/>
        </w:rPr>
        <w:t xml:space="preserve"> </w:t>
      </w:r>
      <w:r>
        <w:rPr>
          <w:spacing w:val="7"/>
          <w:position w:val="33"/>
        </w:rPr>
        <w:t>电动汽车充电设备检验试验规范</w:t>
      </w:r>
      <w:r>
        <w:rPr>
          <w:spacing w:val="7"/>
          <w:position w:val="33"/>
        </w:rPr>
        <w:t xml:space="preserve"> </w:t>
      </w:r>
      <w:r>
        <w:rPr>
          <w:spacing w:val="7"/>
          <w:position w:val="33"/>
        </w:rPr>
        <w:t>第2部分：交流充电桩</w:t>
      </w:r>
    </w:p>
    <w:p>
      <w:pPr>
        <w:pStyle w:val="BodyText"/>
        <w:spacing w:before="1" w:line="225" w:lineRule="auto"/>
        <w:ind w:left="6"/>
      </w:pPr>
      <w:r>
        <w:rPr>
          <w:rFonts w:ascii="SimHei" w:eastAsia="SimHei" w:hAnsi="SimHei" w:cs="SimHei"/>
          <w:spacing w:val="5"/>
        </w:rPr>
        <w:t>3</w:t>
      </w:r>
      <w:r>
        <w:rPr>
          <w:rFonts w:ascii="SimHei" w:eastAsia="SimHei" w:hAnsi="SimHei" w:cs="SimHei"/>
          <w:spacing w:val="13"/>
        </w:rPr>
        <w:t xml:space="preserve">  </w:t>
      </w:r>
      <w:r>
        <w:rPr>
          <w:spacing w:val="5"/>
        </w:rPr>
        <w:t>术语和定义</w:t>
      </w:r>
    </w:p>
    <w:p>
      <w:pPr>
        <w:spacing w:line="312" w:lineRule="auto"/>
        <w:rPr>
          <w:rFonts w:ascii="Arial"/>
          <w:sz w:val="21"/>
        </w:rPr>
        <w:sectPr>
          <w:footerReference w:type="default" r:id="rId8"/>
          <w:pgSz w:w="11906" w:h="16839"/>
          <w:pgMar w:top="860" w:right="1071" w:bottom="1312" w:left="1134" w:header="0" w:footer="1134" w:gutter="0"/>
          <w:pgNumType w:start="5"/>
          <w:cols w:space="708"/>
        </w:sectPr>
      </w:pPr>
    </w:p>
    <w:p>
      <w:pPr>
        <w:pStyle w:val="BodyText"/>
        <w:spacing w:before="65" w:line="624" w:lineRule="exact"/>
        <w:ind w:left="427"/>
      </w:pPr>
      <w:r>
        <w:rPr>
          <w:position w:val="32"/>
        </w:rPr>
        <w:t>GB</w:t>
      </w:r>
      <w:r>
        <w:rPr>
          <w:spacing w:val="7"/>
          <w:position w:val="32"/>
        </w:rPr>
        <w:t>/T</w:t>
      </w:r>
      <w:r>
        <w:rPr>
          <w:spacing w:val="7"/>
          <w:position w:val="32"/>
        </w:rPr>
        <w:t xml:space="preserve"> </w:t>
      </w:r>
      <w:r>
        <w:rPr>
          <w:spacing w:val="7"/>
          <w:position w:val="32"/>
        </w:rPr>
        <w:t>18487.1-2015界定的术语和定义适用于本文件。</w:t>
      </w:r>
    </w:p>
    <w:p>
      <w:pPr>
        <w:pStyle w:val="BodyText"/>
        <w:spacing w:before="1" w:line="225" w:lineRule="auto"/>
      </w:pPr>
      <w:r>
        <w:rPr>
          <w:rFonts w:ascii="SimHei" w:eastAsia="SimHei" w:hAnsi="SimHei" w:cs="SimHei"/>
          <w:spacing w:val="7"/>
        </w:rPr>
        <w:t>4</w:t>
      </w:r>
      <w:r>
        <w:rPr>
          <w:rFonts w:ascii="SimHei" w:eastAsia="SimHei" w:hAnsi="SimHei" w:cs="SimHei"/>
          <w:spacing w:val="7"/>
        </w:rPr>
        <w:t xml:space="preserve">  </w:t>
      </w:r>
      <w:r>
        <w:rPr>
          <w:spacing w:val="7"/>
        </w:rPr>
        <w:t>基本要求</w:t>
      </w:r>
    </w:p>
    <w:p>
      <w:pPr>
        <w:spacing w:line="313" w:lineRule="auto"/>
        <w:rPr>
          <w:rFonts w:ascii="Arial"/>
          <w:sz w:val="21"/>
        </w:rPr>
      </w:pPr>
    </w:p>
    <w:p>
      <w:pPr>
        <w:pStyle w:val="BodyText"/>
        <w:spacing w:before="65" w:line="225" w:lineRule="auto"/>
      </w:pPr>
      <w:r>
        <w:rPr>
          <w:rFonts w:ascii="SimHei" w:eastAsia="SimHei" w:hAnsi="SimHei" w:cs="SimHei"/>
          <w:spacing w:val="6"/>
        </w:rPr>
        <w:t>4.1</w:t>
      </w:r>
      <w:r>
        <w:rPr>
          <w:rFonts w:ascii="SimHei" w:eastAsia="SimHei" w:hAnsi="SimHei" w:cs="SimHei"/>
          <w:spacing w:val="6"/>
        </w:rPr>
        <w:t xml:space="preserve">  </w:t>
      </w:r>
      <w:r>
        <w:rPr>
          <w:spacing w:val="6"/>
        </w:rPr>
        <w:t>设计研发</w:t>
      </w:r>
    </w:p>
    <w:p>
      <w:pPr>
        <w:pStyle w:val="BodyText"/>
        <w:spacing w:before="224" w:line="224" w:lineRule="auto"/>
      </w:pPr>
      <w:r>
        <w:rPr>
          <w:rFonts w:ascii="SimHei" w:eastAsia="SimHei" w:hAnsi="SimHei" w:cs="SimHei"/>
          <w:spacing w:val="9"/>
        </w:rPr>
        <w:t>4.1.1</w:t>
      </w:r>
      <w:r>
        <w:rPr>
          <w:rFonts w:ascii="SimHei" w:eastAsia="SimHei" w:hAnsi="SimHei" w:cs="SimHei"/>
          <w:spacing w:val="9"/>
        </w:rPr>
        <w:t xml:space="preserve">  </w:t>
      </w:r>
      <w:r>
        <w:rPr>
          <w:spacing w:val="9"/>
        </w:rPr>
        <w:t>应使用三维设计软件对充电桩的结</w:t>
      </w:r>
      <w:r>
        <w:rPr>
          <w:spacing w:val="8"/>
        </w:rPr>
        <w:t>构与工艺进行分析和优化设计。</w:t>
      </w:r>
    </w:p>
    <w:p>
      <w:pPr>
        <w:pStyle w:val="BodyText"/>
        <w:spacing w:before="70" w:line="256" w:lineRule="auto"/>
        <w:ind w:left="14" w:right="63" w:hanging="14"/>
      </w:pPr>
      <w:r>
        <w:rPr>
          <w:rFonts w:ascii="SimHei" w:eastAsia="SimHei" w:hAnsi="SimHei" w:cs="SimHei"/>
          <w:spacing w:val="10"/>
        </w:rPr>
        <w:t>4.1.2</w:t>
      </w:r>
      <w:r>
        <w:rPr>
          <w:rFonts w:ascii="SimHei" w:eastAsia="SimHei" w:hAnsi="SimHei" w:cs="SimHei"/>
          <w:spacing w:val="10"/>
        </w:rPr>
        <w:t xml:space="preserve">  </w:t>
      </w:r>
      <w:r>
        <w:rPr>
          <w:spacing w:val="10"/>
        </w:rPr>
        <w:t>应采用信息化管理系统，</w:t>
      </w:r>
      <w:r>
        <w:rPr>
          <w:spacing w:val="-48"/>
        </w:rPr>
        <w:t xml:space="preserve"> </w:t>
      </w:r>
      <w:r>
        <w:rPr>
          <w:spacing w:val="10"/>
        </w:rPr>
        <w:t>以实现对产品数据与文档管理、产品生命周期的过程</w:t>
      </w:r>
      <w:r>
        <w:rPr>
          <w:spacing w:val="9"/>
        </w:rPr>
        <w:t>管理、产品结构与</w:t>
      </w:r>
      <w:r>
        <w:t xml:space="preserve"> </w:t>
      </w:r>
      <w:r>
        <w:rPr>
          <w:spacing w:val="8"/>
        </w:rPr>
        <w:t>配置管理、产品开发项目管理、产品质量信息管理等。</w:t>
      </w:r>
    </w:p>
    <w:p>
      <w:pPr>
        <w:pStyle w:val="BodyText"/>
        <w:spacing w:before="69" w:line="225" w:lineRule="auto"/>
      </w:pPr>
      <w:r>
        <w:rPr>
          <w:rFonts w:ascii="SimHei" w:eastAsia="SimHei" w:hAnsi="SimHei" w:cs="SimHei"/>
          <w:spacing w:val="9"/>
        </w:rPr>
        <w:t>4.1.3</w:t>
      </w:r>
      <w:r>
        <w:rPr>
          <w:rFonts w:ascii="SimHei" w:eastAsia="SimHei" w:hAnsi="SimHei" w:cs="SimHei"/>
          <w:spacing w:val="9"/>
        </w:rPr>
        <w:t xml:space="preserve">  </w:t>
      </w:r>
      <w:r>
        <w:rPr>
          <w:spacing w:val="9"/>
        </w:rPr>
        <w:t>应形成设计的策划输入、输出、评</w:t>
      </w:r>
      <w:r>
        <w:rPr>
          <w:spacing w:val="8"/>
        </w:rPr>
        <w:t>审、验证、确认等技术文件。</w:t>
      </w:r>
    </w:p>
    <w:p>
      <w:pPr>
        <w:spacing w:line="225" w:lineRule="auto"/>
        <w:sectPr>
          <w:footerReference w:type="default" r:id="rId9"/>
          <w:type w:val="nextPage"/>
          <w:pgSz w:w="11906" w:h="16839"/>
          <w:pgMar w:top="860" w:right="1071" w:bottom="1312" w:left="1134" w:header="0" w:footer="1134" w:gutter="0"/>
          <w:pgNumType w:start="6"/>
          <w:cols w:space="708"/>
          <w:titlePg w:val="0"/>
        </w:sectPr>
      </w:pPr>
    </w:p>
    <w:p>
      <w:pPr>
        <w:spacing w:line="464" w:lineRule="auto"/>
        <w:rPr>
          <w:rFonts w:ascii="Arial"/>
          <w:sz w:val="21"/>
        </w:rPr>
      </w:pPr>
    </w:p>
    <w:p>
      <w:pPr>
        <w:pStyle w:val="BodyText"/>
        <w:spacing w:before="65" w:line="223" w:lineRule="auto"/>
      </w:pPr>
      <w:r>
        <w:rPr>
          <w:rFonts w:ascii="SimHei" w:eastAsia="SimHei" w:hAnsi="SimHei" w:cs="SimHei"/>
          <w:spacing w:val="9"/>
        </w:rPr>
        <w:t>4.1.4</w:t>
      </w:r>
      <w:r>
        <w:rPr>
          <w:rFonts w:ascii="SimHei" w:eastAsia="SimHei" w:hAnsi="SimHei" w:cs="SimHei"/>
          <w:spacing w:val="9"/>
        </w:rPr>
        <w:t xml:space="preserve">  </w:t>
      </w:r>
      <w:r>
        <w:rPr>
          <w:spacing w:val="9"/>
        </w:rPr>
        <w:t>器件安装及线缆布线的空间应方便检修，与器件拆装</w:t>
      </w:r>
      <w:r>
        <w:rPr>
          <w:spacing w:val="8"/>
        </w:rPr>
        <w:t>、操作位置互不干涉。</w:t>
      </w:r>
    </w:p>
    <w:p>
      <w:pPr>
        <w:pStyle w:val="BodyText"/>
        <w:spacing w:before="70" w:line="224" w:lineRule="auto"/>
      </w:pPr>
      <w:r>
        <w:rPr>
          <w:rFonts w:ascii="SimHei" w:eastAsia="SimHei" w:hAnsi="SimHei" w:cs="SimHei"/>
          <w:spacing w:val="8"/>
        </w:rPr>
        <w:t>4.1.5</w:t>
      </w:r>
      <w:r>
        <w:rPr>
          <w:rFonts w:ascii="SimHei" w:eastAsia="SimHei" w:hAnsi="SimHei" w:cs="SimHei"/>
          <w:spacing w:val="8"/>
        </w:rPr>
        <w:t xml:space="preserve">  </w:t>
      </w:r>
      <w:r>
        <w:rPr>
          <w:spacing w:val="8"/>
        </w:rPr>
        <w:t>充电桩应具备远程升级功能、远程配置、远程诊断功能。</w:t>
      </w:r>
    </w:p>
    <w:p>
      <w:pPr>
        <w:pStyle w:val="BodyText"/>
        <w:spacing w:before="225" w:line="225" w:lineRule="auto"/>
      </w:pPr>
      <w:r>
        <w:rPr>
          <w:rFonts w:ascii="SimHei" w:eastAsia="SimHei" w:hAnsi="SimHei" w:cs="SimHei"/>
          <w:spacing w:val="4"/>
        </w:rPr>
        <w:t>4.2</w:t>
      </w:r>
      <w:r>
        <w:rPr>
          <w:rFonts w:ascii="SimHei" w:eastAsia="SimHei" w:hAnsi="SimHei" w:cs="SimHei"/>
          <w:spacing w:val="13"/>
        </w:rPr>
        <w:t xml:space="preserve">  </w:t>
      </w:r>
      <w:r>
        <w:rPr>
          <w:spacing w:val="4"/>
        </w:rPr>
        <w:t>元器件</w:t>
      </w:r>
    </w:p>
    <w:p>
      <w:pPr>
        <w:pStyle w:val="BodyText"/>
        <w:spacing w:before="224" w:line="225" w:lineRule="auto"/>
      </w:pPr>
      <w:r>
        <w:rPr>
          <w:rFonts w:ascii="SimHei" w:eastAsia="SimHei" w:hAnsi="SimHei" w:cs="SimHei"/>
          <w:spacing w:val="6"/>
        </w:rPr>
        <w:t>4.2.1</w:t>
      </w:r>
      <w:r>
        <w:rPr>
          <w:rFonts w:ascii="SimHei" w:eastAsia="SimHei" w:hAnsi="SimHei" w:cs="SimHei"/>
          <w:spacing w:val="15"/>
        </w:rPr>
        <w:t xml:space="preserve">  </w:t>
      </w:r>
      <w:r>
        <w:rPr>
          <w:spacing w:val="6"/>
        </w:rPr>
        <w:t>开关和隔离开关</w:t>
      </w:r>
    </w:p>
    <w:p>
      <w:pPr>
        <w:pStyle w:val="BodyText"/>
        <w:spacing w:before="223" w:line="258" w:lineRule="auto"/>
        <w:ind w:left="5" w:right="62" w:firstLine="425"/>
      </w:pPr>
      <w:r>
        <w:rPr>
          <w:spacing w:val="12"/>
        </w:rPr>
        <w:t>应符合</w:t>
      </w:r>
      <w:r>
        <w:t>GB</w:t>
      </w:r>
      <w:r>
        <w:rPr>
          <w:spacing w:val="12"/>
        </w:rPr>
        <w:t>/T</w:t>
      </w:r>
      <w:r>
        <w:rPr>
          <w:spacing w:val="12"/>
        </w:rPr>
        <w:t xml:space="preserve"> </w:t>
      </w:r>
      <w:r>
        <w:rPr>
          <w:spacing w:val="12"/>
        </w:rPr>
        <w:t>14048.3的要求，额定电流应不小于工作电路额定电流的1.25倍，其使用类别应不低于</w:t>
      </w:r>
      <w:r>
        <w:rPr>
          <w:spacing w:val="16"/>
        </w:rPr>
        <w:t xml:space="preserve"> </w:t>
      </w:r>
      <w:r>
        <w:t>AC</w:t>
      </w:r>
      <w:r>
        <w:rPr>
          <w:spacing w:val="6"/>
        </w:rPr>
        <w:t>-22A或</w:t>
      </w:r>
      <w:r>
        <w:t>DC</w:t>
      </w:r>
      <w:r>
        <w:rPr>
          <w:spacing w:val="6"/>
        </w:rPr>
        <w:t>-21A。</w:t>
      </w:r>
    </w:p>
    <w:p>
      <w:pPr>
        <w:pStyle w:val="BodyText"/>
        <w:spacing w:before="221" w:line="226" w:lineRule="auto"/>
      </w:pPr>
      <w:r>
        <w:rPr>
          <w:rFonts w:ascii="SimHei" w:eastAsia="SimHei" w:hAnsi="SimHei" w:cs="SimHei"/>
          <w:spacing w:val="5"/>
        </w:rPr>
        <w:t>4.2.2</w:t>
      </w:r>
      <w:r>
        <w:rPr>
          <w:rFonts w:ascii="SimHei" w:eastAsia="SimHei" w:hAnsi="SimHei" w:cs="SimHei"/>
          <w:spacing w:val="11"/>
        </w:rPr>
        <w:t xml:space="preserve">  </w:t>
      </w:r>
      <w:r>
        <w:rPr>
          <w:spacing w:val="5"/>
        </w:rPr>
        <w:t>接触器</w:t>
      </w:r>
    </w:p>
    <w:p>
      <w:pPr>
        <w:pStyle w:val="BodyText"/>
        <w:spacing w:before="223" w:line="257" w:lineRule="auto"/>
        <w:ind w:left="9" w:right="65" w:firstLine="420"/>
      </w:pPr>
      <w:r>
        <w:rPr>
          <w:spacing w:val="8"/>
        </w:rPr>
        <w:t>应符合</w:t>
      </w:r>
      <w:r>
        <w:t>GB</w:t>
      </w:r>
      <w:r>
        <w:rPr>
          <w:spacing w:val="8"/>
        </w:rPr>
        <w:t>/T</w:t>
      </w:r>
      <w:r>
        <w:rPr>
          <w:spacing w:val="8"/>
        </w:rPr>
        <w:t xml:space="preserve"> </w:t>
      </w:r>
      <w:r>
        <w:rPr>
          <w:spacing w:val="8"/>
        </w:rPr>
        <w:t>14048.4的要求，接触器的额定电流应不小于工作电路额定电流的1.25倍，其使用类别应</w:t>
      </w:r>
      <w:r>
        <w:rPr>
          <w:spacing w:val="1"/>
        </w:rPr>
        <w:t xml:space="preserve"> </w:t>
      </w:r>
      <w:r>
        <w:rPr>
          <w:spacing w:val="7"/>
        </w:rPr>
        <w:t>不低于</w:t>
      </w:r>
      <w:r>
        <w:t>AC</w:t>
      </w:r>
      <w:r>
        <w:rPr>
          <w:spacing w:val="7"/>
        </w:rPr>
        <w:t>-1或</w:t>
      </w:r>
      <w:r>
        <w:t>DC</w:t>
      </w:r>
      <w:r>
        <w:rPr>
          <w:spacing w:val="7"/>
        </w:rPr>
        <w:t>-1。</w:t>
      </w:r>
    </w:p>
    <w:p>
      <w:pPr>
        <w:pStyle w:val="BodyText"/>
        <w:spacing w:before="223" w:line="224" w:lineRule="auto"/>
      </w:pPr>
      <w:r>
        <w:rPr>
          <w:rFonts w:ascii="SimHei" w:eastAsia="SimHei" w:hAnsi="SimHei" w:cs="SimHei"/>
          <w:spacing w:val="4"/>
        </w:rPr>
        <w:t>4.2.3</w:t>
      </w:r>
      <w:r>
        <w:rPr>
          <w:rFonts w:ascii="SimHei" w:eastAsia="SimHei" w:hAnsi="SimHei" w:cs="SimHei"/>
          <w:spacing w:val="15"/>
        </w:rPr>
        <w:t xml:space="preserve">  </w:t>
      </w:r>
      <w:r>
        <w:rPr>
          <w:spacing w:val="4"/>
        </w:rPr>
        <w:t>断路器</w:t>
      </w:r>
    </w:p>
    <w:p>
      <w:pPr>
        <w:pStyle w:val="BodyText"/>
        <w:spacing w:before="225" w:line="224" w:lineRule="auto"/>
        <w:ind w:left="430"/>
      </w:pPr>
      <w:r>
        <w:rPr>
          <w:spacing w:val="7"/>
        </w:rPr>
        <w:t>应符合</w:t>
      </w:r>
      <w:r>
        <w:t>GB</w:t>
      </w:r>
      <w:r>
        <w:rPr>
          <w:spacing w:val="7"/>
        </w:rPr>
        <w:t>/T</w:t>
      </w:r>
      <w:r>
        <w:rPr>
          <w:spacing w:val="7"/>
        </w:rPr>
        <w:t xml:space="preserve"> </w:t>
      </w:r>
      <w:r>
        <w:rPr>
          <w:spacing w:val="7"/>
        </w:rPr>
        <w:t>10963.1或</w:t>
      </w:r>
      <w:r>
        <w:t>GB</w:t>
      </w:r>
      <w:r>
        <w:rPr>
          <w:spacing w:val="7"/>
        </w:rPr>
        <w:t>/T</w:t>
      </w:r>
      <w:r>
        <w:rPr>
          <w:spacing w:val="7"/>
        </w:rPr>
        <w:t xml:space="preserve"> </w:t>
      </w:r>
      <w:r>
        <w:rPr>
          <w:spacing w:val="7"/>
        </w:rPr>
        <w:t>14048.2的要求，具备过载和短路保护功能。</w:t>
      </w:r>
    </w:p>
    <w:p>
      <w:pPr>
        <w:pStyle w:val="BodyText"/>
        <w:spacing w:before="226" w:line="224" w:lineRule="auto"/>
      </w:pPr>
      <w:r>
        <w:rPr>
          <w:rFonts w:ascii="SimHei" w:eastAsia="SimHei" w:hAnsi="SimHei" w:cs="SimHei"/>
          <w:spacing w:val="7"/>
        </w:rPr>
        <w:t>4.2.4</w:t>
      </w:r>
      <w:r>
        <w:rPr>
          <w:rFonts w:ascii="SimHei" w:eastAsia="SimHei" w:hAnsi="SimHei" w:cs="SimHei"/>
          <w:spacing w:val="7"/>
        </w:rPr>
        <w:t xml:space="preserve">  </w:t>
      </w:r>
      <w:r>
        <w:rPr>
          <w:spacing w:val="7"/>
        </w:rPr>
        <w:t>剩余电流保护器</w:t>
      </w:r>
    </w:p>
    <w:p>
      <w:pPr>
        <w:pStyle w:val="BodyText"/>
        <w:spacing w:before="225" w:line="223" w:lineRule="auto"/>
        <w:ind w:left="437"/>
      </w:pPr>
      <w:r>
        <w:rPr>
          <w:spacing w:val="7"/>
        </w:rPr>
        <w:t>宜采用A型或B型，并符合</w:t>
      </w:r>
      <w:r>
        <w:t>GB</w:t>
      </w:r>
      <w:r>
        <w:rPr>
          <w:spacing w:val="7"/>
        </w:rPr>
        <w:t>/T</w:t>
      </w:r>
      <w:r>
        <w:rPr>
          <w:spacing w:val="7"/>
        </w:rPr>
        <w:t xml:space="preserve"> </w:t>
      </w:r>
      <w:r>
        <w:rPr>
          <w:spacing w:val="7"/>
        </w:rPr>
        <w:t>14048.2、</w:t>
      </w:r>
      <w:r>
        <w:t>GB</w:t>
      </w:r>
      <w:r>
        <w:rPr>
          <w:spacing w:val="7"/>
        </w:rPr>
        <w:t>/T</w:t>
      </w:r>
      <w:r>
        <w:rPr>
          <w:spacing w:val="7"/>
        </w:rPr>
        <w:t xml:space="preserve"> </w:t>
      </w:r>
      <w:r>
        <w:rPr>
          <w:spacing w:val="7"/>
        </w:rPr>
        <w:t>16916.</w:t>
      </w:r>
      <w:r>
        <w:rPr>
          <w:spacing w:val="6"/>
        </w:rPr>
        <w:t>1和</w:t>
      </w:r>
      <w:r>
        <w:t>GB</w:t>
      </w:r>
      <w:r>
        <w:rPr>
          <w:spacing w:val="6"/>
        </w:rPr>
        <w:t>/T</w:t>
      </w:r>
      <w:r>
        <w:rPr>
          <w:spacing w:val="6"/>
        </w:rPr>
        <w:t xml:space="preserve"> </w:t>
      </w:r>
      <w:r>
        <w:rPr>
          <w:spacing w:val="6"/>
        </w:rPr>
        <w:t>22794的要求。</w:t>
      </w:r>
    </w:p>
    <w:p>
      <w:pPr>
        <w:pStyle w:val="BodyText"/>
        <w:spacing w:before="70" w:line="256" w:lineRule="auto"/>
        <w:ind w:left="442" w:right="523" w:firstLine="9"/>
      </w:pPr>
      <w:r>
        <w:rPr>
          <w:spacing w:val="7"/>
        </w:rPr>
        <w:t>当交流充电桩符合</w:t>
      </w:r>
      <w:r>
        <w:t>GB</w:t>
      </w:r>
      <w:r>
        <w:rPr>
          <w:spacing w:val="7"/>
        </w:rPr>
        <w:t>/T</w:t>
      </w:r>
      <w:r>
        <w:rPr>
          <w:spacing w:val="7"/>
        </w:rPr>
        <w:t xml:space="preserve"> </w:t>
      </w:r>
      <w:r>
        <w:rPr>
          <w:spacing w:val="7"/>
        </w:rPr>
        <w:t>20234.2要求的供电插座或车辆插头时，应具备防故障电流的保护措施：</w:t>
      </w:r>
      <w:r>
        <w:t xml:space="preserve"> </w:t>
      </w:r>
      <w:r>
        <w:rPr>
          <w:spacing w:val="6"/>
        </w:rPr>
        <w:t>——B</w:t>
      </w:r>
      <w:r>
        <w:rPr>
          <w:spacing w:val="-25"/>
        </w:rPr>
        <w:t xml:space="preserve"> </w:t>
      </w:r>
      <w:r>
        <w:rPr>
          <w:spacing w:val="6"/>
        </w:rPr>
        <w:t>型的剩余电流保护器，或；</w:t>
      </w:r>
    </w:p>
    <w:p>
      <w:pPr>
        <w:pStyle w:val="BodyText"/>
        <w:spacing w:before="70" w:line="224" w:lineRule="auto"/>
        <w:ind w:left="442"/>
      </w:pPr>
      <w:r>
        <w:rPr>
          <w:spacing w:val="6"/>
        </w:rPr>
        <w:t>——A</w:t>
      </w:r>
      <w:r>
        <w:rPr>
          <w:spacing w:val="-25"/>
        </w:rPr>
        <w:t xml:space="preserve"> </w:t>
      </w:r>
      <w:r>
        <w:rPr>
          <w:spacing w:val="6"/>
        </w:rPr>
        <w:t>型的剩余电流保护器，或；</w:t>
      </w:r>
    </w:p>
    <w:p>
      <w:pPr>
        <w:pStyle w:val="BodyText"/>
        <w:spacing w:before="69" w:line="224" w:lineRule="auto"/>
        <w:ind w:left="442"/>
      </w:pPr>
      <w:r>
        <w:rPr>
          <w:spacing w:val="7"/>
        </w:rPr>
        <w:t>——满足符合</w:t>
      </w:r>
      <w:r>
        <w:rPr>
          <w:spacing w:val="-38"/>
        </w:rPr>
        <w:t xml:space="preserve"> </w:t>
      </w:r>
      <w:r>
        <w:rPr>
          <w:spacing w:val="7"/>
        </w:rPr>
        <w:t>A</w:t>
      </w:r>
      <w:r>
        <w:rPr>
          <w:spacing w:val="-29"/>
        </w:rPr>
        <w:t xml:space="preserve"> </w:t>
      </w:r>
      <w:r>
        <w:rPr>
          <w:spacing w:val="7"/>
        </w:rPr>
        <w:t>型剩余电流保护功能的相关装置。</w:t>
      </w:r>
    </w:p>
    <w:p>
      <w:pPr>
        <w:pStyle w:val="BodyText"/>
        <w:spacing w:before="226" w:line="225" w:lineRule="auto"/>
      </w:pPr>
      <w:r>
        <w:rPr>
          <w:rFonts w:ascii="SimHei" w:eastAsia="SimHei" w:hAnsi="SimHei" w:cs="SimHei"/>
          <w:spacing w:val="3"/>
        </w:rPr>
        <w:t>4.2.5</w:t>
      </w:r>
      <w:r>
        <w:rPr>
          <w:rFonts w:ascii="SimHei" w:eastAsia="SimHei" w:hAnsi="SimHei" w:cs="SimHei"/>
          <w:spacing w:val="15"/>
        </w:rPr>
        <w:t xml:space="preserve">  </w:t>
      </w:r>
      <w:r>
        <w:rPr>
          <w:spacing w:val="3"/>
        </w:rPr>
        <w:t>计量</w:t>
      </w:r>
    </w:p>
    <w:p>
      <w:pPr>
        <w:pStyle w:val="BodyText"/>
        <w:spacing w:before="224" w:line="223" w:lineRule="auto"/>
        <w:ind w:left="440"/>
      </w:pPr>
      <w:r>
        <w:rPr>
          <w:spacing w:val="8"/>
        </w:rPr>
        <w:t>带电能计量功能的交流充电桩，应符合</w:t>
      </w:r>
      <w:r>
        <w:t>GB</w:t>
      </w:r>
      <w:r>
        <w:rPr>
          <w:spacing w:val="8"/>
        </w:rPr>
        <w:t>/T</w:t>
      </w:r>
      <w:r>
        <w:rPr>
          <w:spacing w:val="8"/>
        </w:rPr>
        <w:t xml:space="preserve"> </w:t>
      </w:r>
      <w:r>
        <w:rPr>
          <w:spacing w:val="8"/>
        </w:rPr>
        <w:t>28</w:t>
      </w:r>
      <w:r>
        <w:rPr>
          <w:spacing w:val="7"/>
        </w:rPr>
        <w:t>569的要求。</w:t>
      </w:r>
    </w:p>
    <w:p>
      <w:pPr>
        <w:pStyle w:val="BodyText"/>
        <w:spacing w:before="226" w:line="225" w:lineRule="auto"/>
      </w:pPr>
      <w:r>
        <w:rPr>
          <w:rFonts w:ascii="SimHei" w:eastAsia="SimHei" w:hAnsi="SimHei" w:cs="SimHei"/>
          <w:spacing w:val="3"/>
        </w:rPr>
        <w:t>4.2.6</w:t>
      </w:r>
      <w:r>
        <w:rPr>
          <w:rFonts w:ascii="SimHei" w:eastAsia="SimHei" w:hAnsi="SimHei" w:cs="SimHei"/>
          <w:spacing w:val="26"/>
        </w:rPr>
        <w:t xml:space="preserve">  </w:t>
      </w:r>
      <w:r>
        <w:rPr>
          <w:spacing w:val="3"/>
        </w:rPr>
        <w:t>印刷线路板</w:t>
      </w:r>
    </w:p>
    <w:p>
      <w:pPr>
        <w:pStyle w:val="BodyText"/>
        <w:spacing w:before="224" w:line="257" w:lineRule="auto"/>
        <w:ind w:left="23" w:right="61" w:firstLine="428"/>
      </w:pPr>
      <w:r>
        <w:rPr>
          <w:spacing w:val="7"/>
        </w:rPr>
        <w:t>印刷线路板应进行三防（防潮湿、防霉变、防盐雾）处理，其中防盐雾腐</w:t>
      </w:r>
      <w:r>
        <w:rPr>
          <w:spacing w:val="6"/>
        </w:rPr>
        <w:t>蚀能力应能满足</w:t>
      </w:r>
      <w:r>
        <w:t>GB</w:t>
      </w:r>
      <w:r>
        <w:rPr>
          <w:spacing w:val="6"/>
        </w:rPr>
        <w:t>/T</w:t>
      </w:r>
      <w:r>
        <w:rPr>
          <w:spacing w:val="-30"/>
        </w:rPr>
        <w:t xml:space="preserve"> </w:t>
      </w:r>
      <w:r>
        <w:rPr>
          <w:spacing w:val="6"/>
        </w:rPr>
        <w:t>4797.6</w:t>
      </w:r>
      <w:r>
        <w:t xml:space="preserve"> </w:t>
      </w:r>
      <w:r>
        <w:t>的要求。</w:t>
      </w:r>
    </w:p>
    <w:p>
      <w:pPr>
        <w:pStyle w:val="BodyText"/>
        <w:spacing w:before="224" w:line="226" w:lineRule="auto"/>
      </w:pPr>
      <w:r>
        <w:rPr>
          <w:rFonts w:ascii="SimHei" w:eastAsia="SimHei" w:hAnsi="SimHei" w:cs="SimHei"/>
          <w:spacing w:val="3"/>
        </w:rPr>
        <w:t>4.2.7</w:t>
      </w:r>
      <w:r>
        <w:rPr>
          <w:rFonts w:ascii="SimHei" w:eastAsia="SimHei" w:hAnsi="SimHei" w:cs="SimHei"/>
          <w:spacing w:val="15"/>
        </w:rPr>
        <w:t xml:space="preserve">  </w:t>
      </w:r>
      <w:r>
        <w:rPr>
          <w:spacing w:val="3"/>
        </w:rPr>
        <w:t>外壳</w:t>
      </w:r>
    </w:p>
    <w:p>
      <w:pPr>
        <w:pStyle w:val="BodyText"/>
        <w:spacing w:before="223" w:line="256" w:lineRule="auto"/>
        <w:ind w:left="1" w:right="62" w:firstLine="426"/>
      </w:pPr>
      <w:r>
        <w:rPr>
          <w:spacing w:val="9"/>
        </w:rPr>
        <w:t>铁质外壳和暴露在外的铁质支架、零件应采取双层防锈措施，非铁质的金属外壳也应具有防氧化保护</w:t>
      </w:r>
      <w:r>
        <w:rPr>
          <w:spacing w:val="10"/>
        </w:rPr>
        <w:t xml:space="preserve"> </w:t>
      </w:r>
      <w:r>
        <w:rPr>
          <w:spacing w:val="8"/>
        </w:rPr>
        <w:t>膜或进行防氧化处理。</w:t>
      </w:r>
    </w:p>
    <w:p>
      <w:pPr>
        <w:pStyle w:val="BodyText"/>
        <w:spacing w:before="225" w:line="225" w:lineRule="auto"/>
      </w:pPr>
      <w:r>
        <w:rPr>
          <w:rFonts w:ascii="SimHei" w:eastAsia="SimHei" w:hAnsi="SimHei" w:cs="SimHei"/>
          <w:spacing w:val="5"/>
        </w:rPr>
        <w:t>4.2.8</w:t>
      </w:r>
      <w:r>
        <w:rPr>
          <w:rFonts w:ascii="SimHei" w:eastAsia="SimHei" w:hAnsi="SimHei" w:cs="SimHei"/>
          <w:spacing w:val="13"/>
        </w:rPr>
        <w:t xml:space="preserve">  </w:t>
      </w:r>
      <w:r>
        <w:rPr>
          <w:spacing w:val="5"/>
        </w:rPr>
        <w:t>制造工艺</w:t>
      </w:r>
    </w:p>
    <w:p>
      <w:pPr>
        <w:pStyle w:val="BodyText"/>
        <w:spacing w:before="224" w:line="624" w:lineRule="exact"/>
        <w:ind w:left="426"/>
      </w:pPr>
      <w:r>
        <w:rPr>
          <w:spacing w:val="9"/>
          <w:position w:val="32"/>
        </w:rPr>
        <w:t>所有布线应做到层次分明、横平竖直、圆弧过渡、固定可靠、标识清晰、方便查找和维护。</w:t>
      </w:r>
    </w:p>
    <w:p>
      <w:pPr>
        <w:pStyle w:val="BodyText"/>
        <w:spacing w:before="1" w:line="225" w:lineRule="auto"/>
      </w:pPr>
      <w:r>
        <w:rPr>
          <w:rFonts w:ascii="SimHei" w:eastAsia="SimHei" w:hAnsi="SimHei" w:cs="SimHei"/>
          <w:spacing w:val="5"/>
        </w:rPr>
        <w:t>5</w:t>
      </w:r>
      <w:r>
        <w:rPr>
          <w:rFonts w:ascii="SimHei" w:eastAsia="SimHei" w:hAnsi="SimHei" w:cs="SimHei"/>
          <w:spacing w:val="12"/>
        </w:rPr>
        <w:t xml:space="preserve">  </w:t>
      </w:r>
      <w:r>
        <w:rPr>
          <w:spacing w:val="5"/>
        </w:rPr>
        <w:t>技术要求</w:t>
      </w:r>
    </w:p>
    <w:p>
      <w:pPr>
        <w:spacing w:line="313" w:lineRule="auto"/>
        <w:rPr>
          <w:rFonts w:ascii="Arial"/>
          <w:sz w:val="21"/>
        </w:rPr>
      </w:pPr>
    </w:p>
    <w:p>
      <w:pPr>
        <w:pStyle w:val="BodyText"/>
        <w:spacing w:before="65" w:line="225" w:lineRule="auto"/>
        <w:sectPr>
          <w:footerReference w:type="default" r:id="rId10"/>
          <w:pgSz w:w="11906" w:h="16839"/>
          <w:pgMar w:top="1431" w:right="1071" w:bottom="1312" w:left="1135" w:header="0" w:footer="1134" w:gutter="0"/>
          <w:pgNumType w:start="7"/>
          <w:cols w:space="708"/>
        </w:sectPr>
      </w:pPr>
      <w:r>
        <w:rPr>
          <w:rFonts w:ascii="SimHei" w:eastAsia="SimHei" w:hAnsi="SimHei" w:cs="SimHei"/>
          <w:spacing w:val="4"/>
        </w:rPr>
        <w:t>5.1</w:t>
      </w:r>
      <w:r>
        <w:rPr>
          <w:rFonts w:ascii="SimHei" w:eastAsia="SimHei" w:hAnsi="SimHei" w:cs="SimHei"/>
          <w:spacing w:val="15"/>
        </w:rPr>
        <w:t xml:space="preserve">  </w:t>
      </w:r>
      <w:r>
        <w:rPr>
          <w:spacing w:val="4"/>
        </w:rPr>
        <w:t>一般要求</w:t>
      </w:r>
    </w:p>
    <w:p>
      <w:pPr>
        <w:pStyle w:val="BodyText"/>
        <w:spacing w:before="224" w:line="257" w:lineRule="auto"/>
        <w:ind w:left="8" w:hanging="8"/>
      </w:pPr>
      <w:r>
        <w:rPr>
          <w:rFonts w:ascii="SimHei" w:eastAsia="SimHei" w:hAnsi="SimHei" w:cs="SimHei"/>
          <w:spacing w:val="8"/>
        </w:rPr>
        <w:t>5.1.1</w:t>
      </w:r>
      <w:r>
        <w:rPr>
          <w:rFonts w:ascii="SimHei" w:eastAsia="SimHei" w:hAnsi="SimHei" w:cs="SimHei"/>
          <w:spacing w:val="8"/>
        </w:rPr>
        <w:t xml:space="preserve">  </w:t>
      </w:r>
      <w:r>
        <w:rPr>
          <w:spacing w:val="8"/>
        </w:rPr>
        <w:t>应采用全封闭结构，密封性好，整体无外露锐角。表面涂覆色泽层应均匀光洁，不起泡、</w:t>
      </w:r>
      <w:r>
        <w:rPr>
          <w:spacing w:val="7"/>
        </w:rPr>
        <w:t>不龟裂、</w:t>
      </w:r>
      <w:r>
        <w:t xml:space="preserve"> </w:t>
      </w:r>
      <w:r>
        <w:rPr>
          <w:spacing w:val="4"/>
        </w:rPr>
        <w:t>不脱落。</w:t>
      </w:r>
    </w:p>
    <w:p>
      <w:pPr>
        <w:pStyle w:val="BodyText"/>
        <w:spacing w:before="68" w:line="225" w:lineRule="auto"/>
      </w:pPr>
      <w:r>
        <w:rPr>
          <w:rFonts w:ascii="SimHei" w:eastAsia="SimHei" w:hAnsi="SimHei" w:cs="SimHei"/>
          <w:spacing w:val="8"/>
        </w:rPr>
        <w:t>5.1.2</w:t>
      </w:r>
      <w:r>
        <w:rPr>
          <w:rFonts w:ascii="SimHei" w:eastAsia="SimHei" w:hAnsi="SimHei" w:cs="SimHei"/>
          <w:spacing w:val="8"/>
        </w:rPr>
        <w:t xml:space="preserve">  </w:t>
      </w:r>
      <w:r>
        <w:rPr>
          <w:spacing w:val="8"/>
        </w:rPr>
        <w:t>外壳应采用抗冲击力强、抗老化的材质。</w:t>
      </w:r>
    </w:p>
    <w:p>
      <w:pPr>
        <w:spacing w:line="225" w:lineRule="auto"/>
        <w:sectPr>
          <w:footerReference w:type="default" r:id="rId11"/>
          <w:type w:val="nextPage"/>
          <w:pgSz w:w="11906" w:h="16839"/>
          <w:pgMar w:top="1431" w:right="1071" w:bottom="1312" w:left="1135" w:header="0" w:footer="1134" w:gutter="0"/>
          <w:pgNumType w:start="8"/>
          <w:cols w:space="708"/>
          <w:titlePg w:val="0"/>
        </w:sectPr>
      </w:pPr>
    </w:p>
    <w:p>
      <w:pPr>
        <w:pStyle w:val="BodyText"/>
        <w:spacing w:before="42" w:line="225" w:lineRule="auto"/>
      </w:pPr>
      <w:r>
        <w:rPr>
          <w:rFonts w:ascii="SimHei" w:eastAsia="SimHei" w:hAnsi="SimHei" w:cs="SimHei"/>
          <w:spacing w:val="6"/>
        </w:rPr>
        <w:t>5.1.3</w:t>
      </w:r>
      <w:r>
        <w:rPr>
          <w:rFonts w:ascii="SimHei" w:eastAsia="SimHei" w:hAnsi="SimHei" w:cs="SimHei"/>
          <w:spacing w:val="6"/>
        </w:rPr>
        <w:t xml:space="preserve">  </w:t>
      </w:r>
      <w:r>
        <w:rPr>
          <w:spacing w:val="6"/>
        </w:rPr>
        <w:t>应采用防盗设计。</w:t>
      </w:r>
    </w:p>
    <w:p>
      <w:pPr>
        <w:pStyle w:val="BodyText"/>
        <w:spacing w:before="224" w:line="223" w:lineRule="auto"/>
      </w:pPr>
      <w:r>
        <w:rPr>
          <w:rFonts w:ascii="SimHei" w:eastAsia="SimHei" w:hAnsi="SimHei" w:cs="SimHei"/>
          <w:spacing w:val="4"/>
        </w:rPr>
        <w:t>5.2</w:t>
      </w:r>
      <w:r>
        <w:rPr>
          <w:rFonts w:ascii="SimHei" w:eastAsia="SimHei" w:hAnsi="SimHei" w:cs="SimHei"/>
          <w:spacing w:val="21"/>
        </w:rPr>
        <w:t xml:space="preserve">  </w:t>
      </w:r>
      <w:r>
        <w:rPr>
          <w:spacing w:val="4"/>
        </w:rPr>
        <w:t>电气绝缘性能</w:t>
      </w:r>
    </w:p>
    <w:p>
      <w:pPr>
        <w:pStyle w:val="BodyText"/>
        <w:spacing w:before="225" w:line="225" w:lineRule="auto"/>
      </w:pPr>
      <w:r>
        <w:rPr>
          <w:rFonts w:ascii="SimHei" w:eastAsia="SimHei" w:hAnsi="SimHei" w:cs="SimHei"/>
          <w:spacing w:val="4"/>
        </w:rPr>
        <w:t>5.2.1</w:t>
      </w:r>
      <w:r>
        <w:rPr>
          <w:rFonts w:ascii="SimHei" w:eastAsia="SimHei" w:hAnsi="SimHei" w:cs="SimHei"/>
          <w:spacing w:val="17"/>
        </w:rPr>
        <w:t xml:space="preserve">  </w:t>
      </w:r>
      <w:r>
        <w:rPr>
          <w:spacing w:val="4"/>
        </w:rPr>
        <w:t>绝缘电阻</w:t>
      </w:r>
    </w:p>
    <w:p>
      <w:pPr>
        <w:pStyle w:val="BodyText"/>
        <w:spacing w:before="224" w:line="256" w:lineRule="auto"/>
        <w:ind w:left="12" w:right="2" w:firstLine="414"/>
      </w:pPr>
      <w:r>
        <w:rPr>
          <w:spacing w:val="8"/>
        </w:rPr>
        <w:t>在交流充电桩非电气连接的各带电回路之间，各独立带电回路与地（金属外壳）之间按表</w:t>
      </w:r>
      <w:r>
        <w:rPr>
          <w:spacing w:val="-17"/>
        </w:rPr>
        <w:t xml:space="preserve"> </w:t>
      </w:r>
      <w:r>
        <w:rPr>
          <w:spacing w:val="8"/>
        </w:rPr>
        <w:t>1</w:t>
      </w:r>
      <w:r>
        <w:rPr>
          <w:spacing w:val="-31"/>
        </w:rPr>
        <w:t xml:space="preserve"> </w:t>
      </w:r>
      <w:r>
        <w:rPr>
          <w:spacing w:val="8"/>
        </w:rPr>
        <w:t>规定施加</w:t>
      </w:r>
      <w:r>
        <w:t xml:space="preserve"> </w:t>
      </w:r>
      <w:r>
        <w:rPr>
          <w:spacing w:val="7"/>
        </w:rPr>
        <w:t>直流电压进行试验，绝缘电阻应不小于</w:t>
      </w:r>
      <w:r>
        <w:rPr>
          <w:spacing w:val="-24"/>
        </w:rPr>
        <w:t xml:space="preserve"> </w:t>
      </w:r>
      <w:r>
        <w:rPr>
          <w:spacing w:val="7"/>
        </w:rPr>
        <w:t>10MΩ。</w:t>
      </w:r>
    </w:p>
    <w:p>
      <w:pPr>
        <w:pStyle w:val="BodyText"/>
        <w:spacing w:before="224" w:line="228" w:lineRule="auto"/>
        <w:ind w:left="3588"/>
      </w:pPr>
      <w:r>
        <w:rPr>
          <w:spacing w:val="5"/>
        </w:rPr>
        <w:t>表</w:t>
      </w:r>
      <w:r>
        <w:rPr>
          <w:spacing w:val="-25"/>
        </w:rPr>
        <w:t xml:space="preserve"> </w:t>
      </w:r>
      <w:r>
        <w:rPr>
          <w:spacing w:val="5"/>
        </w:rPr>
        <w:t>1</w:t>
      </w:r>
      <w:r>
        <w:rPr>
          <w:spacing w:val="14"/>
        </w:rPr>
        <w:t xml:space="preserve">  </w:t>
      </w:r>
      <w:r>
        <w:rPr>
          <w:spacing w:val="5"/>
        </w:rPr>
        <w:t>绝缘试验的试验电压</w:t>
      </w:r>
    </w:p>
    <w:p>
      <w:pPr>
        <w:spacing w:line="169" w:lineRule="exact"/>
      </w:pPr>
    </w:p>
    <w:tbl>
      <w:tblPr>
        <w:tblStyle w:val="TableNormal1"/>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340"/>
        <w:gridCol w:w="2329"/>
        <w:gridCol w:w="2330"/>
        <w:gridCol w:w="2339"/>
      </w:tblGrid>
      <w:tr>
        <w:tblPrEx>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5"/>
        </w:trPr>
        <w:tc>
          <w:tcPr>
            <w:tcW w:w="2340" w:type="dxa"/>
            <w:tcBorders>
              <w:top w:val="single" w:sz="6" w:space="0" w:color="000000"/>
              <w:left w:val="single" w:sz="6" w:space="0" w:color="000000"/>
              <w:bottom w:val="single" w:sz="6" w:space="0" w:color="000000"/>
            </w:tcBorders>
            <w:vAlign w:val="top"/>
          </w:tcPr>
          <w:p>
            <w:pPr>
              <w:pStyle w:val="TableText"/>
              <w:spacing w:before="55" w:line="251" w:lineRule="auto"/>
              <w:ind w:left="1117" w:right="430" w:hanging="675"/>
            </w:pPr>
            <w:r>
              <w:rPr>
                <w:spacing w:val="7"/>
              </w:rPr>
              <w:t>额定绝缘电压U1</w:t>
            </w:r>
            <w:r>
              <w:t xml:space="preserve"> </w:t>
            </w:r>
            <w:r>
              <w:t>V</w:t>
            </w:r>
          </w:p>
        </w:tc>
        <w:tc>
          <w:tcPr>
            <w:tcW w:w="2329" w:type="dxa"/>
            <w:tcBorders>
              <w:top w:val="single" w:sz="6" w:space="0" w:color="000000"/>
              <w:bottom w:val="single" w:sz="6" w:space="0" w:color="000000"/>
            </w:tcBorders>
            <w:vAlign w:val="top"/>
          </w:tcPr>
          <w:p>
            <w:pPr>
              <w:pStyle w:val="TableText"/>
              <w:spacing w:before="55" w:line="251" w:lineRule="auto"/>
              <w:ind w:left="1112" w:right="10" w:hanging="1091"/>
            </w:pPr>
            <w:r>
              <w:rPr>
                <w:spacing w:val="8"/>
              </w:rPr>
              <w:t>绝缘电阻测试仪器的电压</w:t>
            </w:r>
            <w:r>
              <w:rPr>
                <w:spacing w:val="2"/>
              </w:rPr>
              <w:t xml:space="preserve"> </w:t>
            </w:r>
            <w:r>
              <w:t>V</w:t>
            </w:r>
          </w:p>
        </w:tc>
        <w:tc>
          <w:tcPr>
            <w:tcW w:w="2330" w:type="dxa"/>
            <w:tcBorders>
              <w:top w:val="single" w:sz="6" w:space="0" w:color="000000"/>
              <w:bottom w:val="single" w:sz="6" w:space="0" w:color="000000"/>
            </w:tcBorders>
            <w:vAlign w:val="top"/>
          </w:tcPr>
          <w:p>
            <w:pPr>
              <w:pStyle w:val="TableText"/>
              <w:spacing w:before="55" w:line="251" w:lineRule="auto"/>
              <w:ind w:left="1119" w:right="321" w:hanging="786"/>
            </w:pPr>
            <w:r>
              <w:rPr>
                <w:spacing w:val="8"/>
              </w:rPr>
              <w:t>介电强度试验电压</w:t>
            </w:r>
            <w:r>
              <w:rPr>
                <w:spacing w:val="4"/>
              </w:rPr>
              <w:t xml:space="preserve"> </w:t>
            </w:r>
            <w:r>
              <w:t>V</w:t>
            </w:r>
          </w:p>
        </w:tc>
        <w:tc>
          <w:tcPr>
            <w:tcW w:w="2339" w:type="dxa"/>
            <w:tcBorders>
              <w:top w:val="single" w:sz="6" w:space="0" w:color="000000"/>
              <w:bottom w:val="single" w:sz="6" w:space="0" w:color="000000"/>
              <w:right w:val="single" w:sz="6" w:space="0" w:color="000000"/>
            </w:tcBorders>
            <w:vAlign w:val="top"/>
          </w:tcPr>
          <w:p>
            <w:pPr>
              <w:pStyle w:val="TableText"/>
              <w:spacing w:before="57" w:line="262" w:lineRule="auto"/>
              <w:ind w:left="1069" w:right="325" w:hanging="729"/>
            </w:pPr>
            <w:r>
              <w:rPr>
                <w:spacing w:val="7"/>
              </w:rPr>
              <w:t>冲击耐压试验电压</w:t>
            </w:r>
            <w:r>
              <w:rPr>
                <w:spacing w:val="6"/>
              </w:rPr>
              <w:t xml:space="preserve"> </w:t>
            </w:r>
            <w:r>
              <w:t>kV</w:t>
            </w:r>
          </w:p>
        </w:tc>
      </w:tr>
      <w:tr>
        <w:tblPrEx>
          <w:tblW w:w="9338" w:type="dxa"/>
          <w:tblInd w:w="147" w:type="dxa"/>
          <w:tblLayout w:type="fixed"/>
        </w:tblPrEx>
        <w:trPr>
          <w:trHeight w:val="310"/>
        </w:trPr>
        <w:tc>
          <w:tcPr>
            <w:tcW w:w="2340" w:type="dxa"/>
            <w:tcBorders>
              <w:top w:val="single" w:sz="6" w:space="0" w:color="000000"/>
              <w:left w:val="single" w:sz="6" w:space="0" w:color="000000"/>
            </w:tcBorders>
            <w:vAlign w:val="top"/>
          </w:tcPr>
          <w:p>
            <w:pPr>
              <w:pStyle w:val="TableText"/>
              <w:spacing w:before="51" w:line="229" w:lineRule="auto"/>
              <w:ind w:left="857"/>
            </w:pPr>
            <w:r>
              <w:rPr>
                <w:spacing w:val="4"/>
              </w:rPr>
              <w:t>U1≤60</w:t>
            </w:r>
          </w:p>
        </w:tc>
        <w:tc>
          <w:tcPr>
            <w:tcW w:w="2329" w:type="dxa"/>
            <w:tcBorders>
              <w:top w:val="single" w:sz="6" w:space="0" w:color="000000"/>
            </w:tcBorders>
            <w:vAlign w:val="top"/>
          </w:tcPr>
          <w:p>
            <w:pPr>
              <w:pStyle w:val="TableText"/>
              <w:spacing w:before="79" w:line="187" w:lineRule="auto"/>
              <w:ind w:left="1019"/>
            </w:pPr>
            <w:r>
              <w:rPr>
                <w:spacing w:val="-1"/>
              </w:rPr>
              <w:t>250</w:t>
            </w:r>
          </w:p>
        </w:tc>
        <w:tc>
          <w:tcPr>
            <w:tcW w:w="2330" w:type="dxa"/>
            <w:tcBorders>
              <w:top w:val="single" w:sz="6" w:space="0" w:color="000000"/>
            </w:tcBorders>
            <w:vAlign w:val="top"/>
          </w:tcPr>
          <w:p>
            <w:pPr>
              <w:pStyle w:val="TableText"/>
              <w:spacing w:before="51" w:line="229" w:lineRule="auto"/>
              <w:ind w:left="555"/>
            </w:pPr>
            <w:r>
              <w:rPr>
                <w:spacing w:val="3"/>
              </w:rPr>
              <w:t>1000（1400）</w:t>
            </w:r>
          </w:p>
        </w:tc>
        <w:tc>
          <w:tcPr>
            <w:tcW w:w="2339" w:type="dxa"/>
            <w:tcBorders>
              <w:top w:val="single" w:sz="6" w:space="0" w:color="000000"/>
              <w:right w:val="single" w:sz="6" w:space="0" w:color="000000"/>
            </w:tcBorders>
            <w:vAlign w:val="top"/>
          </w:tcPr>
          <w:p>
            <w:pPr>
              <w:pStyle w:val="TableText"/>
              <w:spacing w:before="79" w:line="185" w:lineRule="auto"/>
              <w:ind w:left="1134"/>
            </w:pPr>
            <w:r>
              <w:t>1</w:t>
            </w:r>
          </w:p>
        </w:tc>
      </w:tr>
      <w:tr>
        <w:tblPrEx>
          <w:tblW w:w="9338" w:type="dxa"/>
          <w:tblInd w:w="147" w:type="dxa"/>
          <w:tblLayout w:type="fixed"/>
        </w:tblPrEx>
        <w:trPr>
          <w:trHeight w:val="315"/>
        </w:trPr>
        <w:tc>
          <w:tcPr>
            <w:tcW w:w="2340" w:type="dxa"/>
            <w:tcBorders>
              <w:left w:val="single" w:sz="6" w:space="0" w:color="000000"/>
            </w:tcBorders>
            <w:vAlign w:val="top"/>
          </w:tcPr>
          <w:p>
            <w:pPr>
              <w:pStyle w:val="TableText"/>
              <w:spacing w:before="59" w:line="227" w:lineRule="auto"/>
              <w:ind w:left="603"/>
            </w:pPr>
            <w:r>
              <w:rPr>
                <w:spacing w:val="4"/>
              </w:rPr>
              <w:t>60＜U1≤300</w:t>
            </w:r>
          </w:p>
        </w:tc>
        <w:tc>
          <w:tcPr>
            <w:tcW w:w="2329" w:type="dxa"/>
            <w:vAlign w:val="top"/>
          </w:tcPr>
          <w:p>
            <w:pPr>
              <w:pStyle w:val="TableText"/>
              <w:spacing w:before="85" w:line="187" w:lineRule="auto"/>
              <w:ind w:left="1022"/>
            </w:pPr>
            <w:r>
              <w:rPr>
                <w:spacing w:val="-2"/>
              </w:rPr>
              <w:t>500</w:t>
            </w:r>
          </w:p>
        </w:tc>
        <w:tc>
          <w:tcPr>
            <w:tcW w:w="2330" w:type="dxa"/>
            <w:vAlign w:val="top"/>
          </w:tcPr>
          <w:p>
            <w:pPr>
              <w:pStyle w:val="TableText"/>
              <w:spacing w:before="59" w:line="227" w:lineRule="auto"/>
              <w:ind w:left="550"/>
            </w:pPr>
            <w:r>
              <w:rPr>
                <w:spacing w:val="3"/>
              </w:rPr>
              <w:t>2000（2800）</w:t>
            </w:r>
          </w:p>
        </w:tc>
        <w:tc>
          <w:tcPr>
            <w:tcW w:w="2339" w:type="dxa"/>
            <w:tcBorders>
              <w:right w:val="single" w:sz="6" w:space="0" w:color="000000"/>
            </w:tcBorders>
            <w:vAlign w:val="top"/>
          </w:tcPr>
          <w:p>
            <w:pPr>
              <w:pStyle w:val="TableText"/>
              <w:spacing w:before="59" w:line="227" w:lineRule="auto"/>
              <w:ind w:left="1064"/>
            </w:pPr>
            <w:r>
              <w:rPr>
                <w:spacing w:val="-21"/>
              </w:rPr>
              <w:t>±5</w:t>
            </w:r>
          </w:p>
        </w:tc>
      </w:tr>
      <w:tr>
        <w:tblPrEx>
          <w:tblW w:w="9338" w:type="dxa"/>
          <w:tblInd w:w="147" w:type="dxa"/>
          <w:tblLayout w:type="fixed"/>
        </w:tblPrEx>
        <w:trPr>
          <w:trHeight w:val="315"/>
        </w:trPr>
        <w:tc>
          <w:tcPr>
            <w:tcW w:w="2340" w:type="dxa"/>
            <w:tcBorders>
              <w:left w:val="single" w:sz="6" w:space="0" w:color="000000"/>
            </w:tcBorders>
            <w:vAlign w:val="top"/>
          </w:tcPr>
          <w:p>
            <w:pPr>
              <w:pStyle w:val="TableText"/>
              <w:spacing w:before="60" w:line="226" w:lineRule="auto"/>
              <w:ind w:left="557"/>
            </w:pPr>
            <w:r>
              <w:rPr>
                <w:spacing w:val="3"/>
              </w:rPr>
              <w:t>300＜U1≤700</w:t>
            </w:r>
          </w:p>
        </w:tc>
        <w:tc>
          <w:tcPr>
            <w:tcW w:w="2329" w:type="dxa"/>
            <w:vAlign w:val="top"/>
          </w:tcPr>
          <w:p>
            <w:pPr>
              <w:pStyle w:val="TableText"/>
              <w:spacing w:before="87" w:line="187" w:lineRule="auto"/>
              <w:ind w:left="971"/>
            </w:pPr>
            <w:r>
              <w:rPr>
                <w:spacing w:val="-1"/>
              </w:rPr>
              <w:t>1000</w:t>
            </w:r>
          </w:p>
        </w:tc>
        <w:tc>
          <w:tcPr>
            <w:tcW w:w="2330" w:type="dxa"/>
            <w:vAlign w:val="top"/>
          </w:tcPr>
          <w:p>
            <w:pPr>
              <w:pStyle w:val="TableText"/>
              <w:spacing w:before="60" w:line="226" w:lineRule="auto"/>
              <w:ind w:left="550"/>
            </w:pPr>
            <w:r>
              <w:rPr>
                <w:spacing w:val="3"/>
              </w:rPr>
              <w:t>2500（3500）</w:t>
            </w:r>
          </w:p>
        </w:tc>
        <w:tc>
          <w:tcPr>
            <w:tcW w:w="2339" w:type="dxa"/>
            <w:tcBorders>
              <w:right w:val="single" w:sz="6" w:space="0" w:color="000000"/>
            </w:tcBorders>
            <w:vAlign w:val="top"/>
          </w:tcPr>
          <w:p>
            <w:pPr>
              <w:pStyle w:val="TableText"/>
              <w:spacing w:before="60" w:line="226" w:lineRule="auto"/>
              <w:ind w:left="1064"/>
            </w:pPr>
            <w:r>
              <w:rPr>
                <w:spacing w:val="-21"/>
              </w:rPr>
              <w:t>±6</w:t>
            </w:r>
          </w:p>
        </w:tc>
      </w:tr>
      <w:tr>
        <w:tblPrEx>
          <w:tblW w:w="9338" w:type="dxa"/>
          <w:tblInd w:w="147" w:type="dxa"/>
          <w:tblLayout w:type="fixed"/>
        </w:tblPrEx>
        <w:trPr>
          <w:trHeight w:val="315"/>
        </w:trPr>
        <w:tc>
          <w:tcPr>
            <w:tcW w:w="2340" w:type="dxa"/>
            <w:tcBorders>
              <w:left w:val="single" w:sz="6" w:space="0" w:color="000000"/>
            </w:tcBorders>
            <w:vAlign w:val="top"/>
          </w:tcPr>
          <w:p>
            <w:pPr>
              <w:pStyle w:val="TableText"/>
              <w:spacing w:before="62" w:line="224" w:lineRule="auto"/>
              <w:ind w:left="500"/>
            </w:pPr>
            <w:r>
              <w:rPr>
                <w:spacing w:val="4"/>
              </w:rPr>
              <w:t>700＜U1≤1000</w:t>
            </w:r>
          </w:p>
        </w:tc>
        <w:tc>
          <w:tcPr>
            <w:tcW w:w="2329" w:type="dxa"/>
            <w:vAlign w:val="top"/>
          </w:tcPr>
          <w:p>
            <w:pPr>
              <w:pStyle w:val="TableText"/>
              <w:spacing w:before="88" w:line="187" w:lineRule="auto"/>
              <w:ind w:left="971"/>
            </w:pPr>
            <w:r>
              <w:rPr>
                <w:spacing w:val="-1"/>
              </w:rPr>
              <w:t>1000</w:t>
            </w:r>
          </w:p>
        </w:tc>
        <w:tc>
          <w:tcPr>
            <w:tcW w:w="2330" w:type="dxa"/>
            <w:vAlign w:val="top"/>
          </w:tcPr>
          <w:p>
            <w:pPr>
              <w:pStyle w:val="TableText"/>
              <w:spacing w:before="62" w:line="224" w:lineRule="auto"/>
              <w:ind w:left="558"/>
            </w:pPr>
            <w:r>
              <w:rPr>
                <w:spacing w:val="3"/>
              </w:rPr>
              <w:t>3500（4900）</w:t>
            </w:r>
          </w:p>
        </w:tc>
        <w:tc>
          <w:tcPr>
            <w:tcW w:w="2339" w:type="dxa"/>
            <w:tcBorders>
              <w:right w:val="single" w:sz="6" w:space="0" w:color="000000"/>
            </w:tcBorders>
            <w:vAlign w:val="top"/>
          </w:tcPr>
          <w:p>
            <w:pPr>
              <w:pStyle w:val="TableText"/>
              <w:spacing w:before="62" w:line="224" w:lineRule="auto"/>
              <w:ind w:left="1064"/>
            </w:pPr>
            <w:r>
              <w:rPr>
                <w:spacing w:val="-21"/>
              </w:rPr>
              <w:t>±8</w:t>
            </w:r>
          </w:p>
        </w:tc>
      </w:tr>
      <w:tr>
        <w:tblPrEx>
          <w:tblW w:w="9338" w:type="dxa"/>
          <w:tblInd w:w="147" w:type="dxa"/>
          <w:tblLayout w:type="fixed"/>
        </w:tblPrEx>
        <w:trPr>
          <w:trHeight w:val="640"/>
        </w:trPr>
        <w:tc>
          <w:tcPr>
            <w:tcW w:w="9338" w:type="dxa"/>
            <w:gridSpan w:val="4"/>
            <w:tcBorders>
              <w:left w:val="single" w:sz="6" w:space="0" w:color="000000"/>
              <w:bottom w:val="single" w:sz="6" w:space="0" w:color="000000"/>
              <w:right w:val="single" w:sz="6" w:space="0" w:color="000000"/>
            </w:tcBorders>
            <w:vAlign w:val="top"/>
          </w:tcPr>
          <w:p>
            <w:pPr>
              <w:pStyle w:val="TableText"/>
              <w:spacing w:before="63" w:line="225" w:lineRule="auto"/>
              <w:ind w:left="17"/>
            </w:pPr>
            <w:r>
              <w:rPr>
                <w:spacing w:val="8"/>
              </w:rPr>
              <w:t>注1：括号内数据为直流介电强度试验值。</w:t>
            </w:r>
          </w:p>
          <w:p>
            <w:pPr>
              <w:pStyle w:val="TableText"/>
              <w:spacing w:before="68" w:line="225" w:lineRule="auto"/>
              <w:ind w:left="17"/>
            </w:pPr>
            <w:r>
              <w:rPr>
                <w:spacing w:val="7"/>
              </w:rPr>
              <w:t>注2：</w:t>
            </w:r>
            <w:r>
              <w:rPr>
                <w:spacing w:val="-36"/>
              </w:rPr>
              <w:t xml:space="preserve"> </w:t>
            </w:r>
            <w:r>
              <w:rPr>
                <w:spacing w:val="7"/>
              </w:rPr>
              <w:t>出厂试验时，介电强度试验允许试验电压高于表中规定值的10%，试验时间1s。</w:t>
            </w:r>
          </w:p>
        </w:tc>
      </w:tr>
    </w:tbl>
    <w:p>
      <w:pPr>
        <w:pStyle w:val="BodyText"/>
        <w:spacing w:before="210" w:line="225" w:lineRule="auto"/>
      </w:pPr>
      <w:r>
        <w:rPr>
          <w:rFonts w:ascii="SimHei" w:eastAsia="SimHei" w:hAnsi="SimHei" w:cs="SimHei"/>
          <w:spacing w:val="6"/>
        </w:rPr>
        <w:t>5.2.2</w:t>
      </w:r>
      <w:r>
        <w:rPr>
          <w:rFonts w:ascii="SimHei" w:eastAsia="SimHei" w:hAnsi="SimHei" w:cs="SimHei"/>
          <w:spacing w:val="6"/>
        </w:rPr>
        <w:t xml:space="preserve">  </w:t>
      </w:r>
      <w:r>
        <w:rPr>
          <w:spacing w:val="6"/>
        </w:rPr>
        <w:t>介电强度</w:t>
      </w:r>
    </w:p>
    <w:p>
      <w:pPr>
        <w:pStyle w:val="BodyText"/>
        <w:spacing w:before="224" w:line="267" w:lineRule="auto"/>
        <w:ind w:left="8" w:firstLine="418"/>
        <w:jc w:val="both"/>
      </w:pPr>
      <w:r>
        <w:rPr>
          <w:spacing w:val="16"/>
        </w:rPr>
        <w:t>在交流充电桩非电气连接的各带电回路之间、各独立带电回路与地(金属外壳)之间按表1规定施加</w:t>
      </w:r>
      <w:r>
        <w:rPr>
          <w:spacing w:val="2"/>
        </w:rPr>
        <w:t xml:space="preserve"> </w:t>
      </w:r>
      <w:r>
        <w:rPr>
          <w:spacing w:val="11"/>
        </w:rPr>
        <w:t>1</w:t>
      </w:r>
      <w:r>
        <w:t>min</w:t>
      </w:r>
      <w:r>
        <w:rPr>
          <w:spacing w:val="11"/>
        </w:rPr>
        <w:t>工频交流电压（也可采用直流电压，试验电压为交流电压有效值的1.4倍</w:t>
      </w:r>
      <w:r>
        <w:rPr>
          <w:spacing w:val="-2"/>
        </w:rPr>
        <w:t>）</w:t>
      </w:r>
      <w:r>
        <w:rPr>
          <w:spacing w:val="-55"/>
        </w:rPr>
        <w:t xml:space="preserve"> </w:t>
      </w:r>
      <w:r>
        <w:rPr>
          <w:spacing w:val="-2"/>
        </w:rPr>
        <w:t>，</w:t>
      </w:r>
      <w:r>
        <w:rPr>
          <w:spacing w:val="11"/>
        </w:rPr>
        <w:t>试验过程中，试验部位</w:t>
      </w:r>
      <w:r>
        <w:t xml:space="preserve"> </w:t>
      </w:r>
      <w:r>
        <w:rPr>
          <w:spacing w:val="8"/>
        </w:rPr>
        <w:t>不应出现绝缘击穿或闪络现象。</w:t>
      </w:r>
    </w:p>
    <w:p>
      <w:pPr>
        <w:pStyle w:val="BodyText"/>
        <w:spacing w:before="225" w:line="225" w:lineRule="auto"/>
      </w:pPr>
      <w:r>
        <w:rPr>
          <w:rFonts w:ascii="SimHei" w:eastAsia="SimHei" w:hAnsi="SimHei" w:cs="SimHei"/>
          <w:spacing w:val="4"/>
        </w:rPr>
        <w:t>5.2.3</w:t>
      </w:r>
      <w:r>
        <w:rPr>
          <w:rFonts w:ascii="SimHei" w:eastAsia="SimHei" w:hAnsi="SimHei" w:cs="SimHei"/>
          <w:spacing w:val="17"/>
        </w:rPr>
        <w:t xml:space="preserve">  </w:t>
      </w:r>
      <w:r>
        <w:rPr>
          <w:spacing w:val="4"/>
        </w:rPr>
        <w:t>冲击耐压</w:t>
      </w:r>
    </w:p>
    <w:p>
      <w:pPr>
        <w:pStyle w:val="BodyText"/>
        <w:spacing w:before="224" w:line="256" w:lineRule="auto"/>
        <w:ind w:left="8" w:right="2" w:firstLine="418"/>
      </w:pPr>
      <w:r>
        <w:rPr>
          <w:spacing w:val="11"/>
        </w:rPr>
        <w:t>在交流充电桩非电气连接的各带电回路之间、各独立带电回路与地(金属外壳)之间按表1规定施加标</w:t>
      </w:r>
      <w:r>
        <w:rPr>
          <w:spacing w:val="9"/>
        </w:rPr>
        <w:t xml:space="preserve"> </w:t>
      </w:r>
      <w:r>
        <w:rPr>
          <w:spacing w:val="9"/>
        </w:rPr>
        <w:t>准雷电波的短时冲击电压。试验过程中，试验部位不应出现击穿放电。</w:t>
      </w:r>
    </w:p>
    <w:p>
      <w:pPr>
        <w:pStyle w:val="BodyText"/>
        <w:spacing w:before="225" w:line="226" w:lineRule="auto"/>
      </w:pPr>
      <w:r>
        <w:rPr>
          <w:rFonts w:ascii="SimHei" w:eastAsia="SimHei" w:hAnsi="SimHei" w:cs="SimHei"/>
          <w:spacing w:val="6"/>
        </w:rPr>
        <w:t>5.2.4</w:t>
      </w:r>
      <w:r>
        <w:rPr>
          <w:rFonts w:ascii="SimHei" w:eastAsia="SimHei" w:hAnsi="SimHei" w:cs="SimHei"/>
          <w:spacing w:val="6"/>
        </w:rPr>
        <w:t xml:space="preserve">  </w:t>
      </w:r>
      <w:r>
        <w:rPr>
          <w:spacing w:val="6"/>
        </w:rPr>
        <w:t>接触电流</w:t>
      </w:r>
    </w:p>
    <w:p>
      <w:pPr>
        <w:pStyle w:val="BodyText"/>
        <w:spacing w:before="223" w:line="257" w:lineRule="auto"/>
        <w:ind w:left="29" w:right="2" w:firstLine="398"/>
      </w:pPr>
      <w:r>
        <w:rPr>
          <w:spacing w:val="12"/>
        </w:rPr>
        <w:t>任一交流相线和彼此相连的可触及金属部分</w:t>
      </w:r>
      <w:r>
        <w:rPr>
          <w:spacing w:val="11"/>
        </w:rPr>
        <w:t>之间,以及和覆盖在绝缘外部材料上的金属箔之间的接触</w:t>
      </w:r>
      <w:r>
        <w:t xml:space="preserve"> </w:t>
      </w:r>
      <w:r>
        <w:rPr>
          <w:spacing w:val="8"/>
        </w:rPr>
        <w:t>电流，不应超出表2规定的值。试验电压应为额定电压的</w:t>
      </w:r>
      <w:r>
        <w:rPr>
          <w:spacing w:val="7"/>
        </w:rPr>
        <w:t>1.1倍。</w:t>
      </w:r>
    </w:p>
    <w:p>
      <w:pPr>
        <w:pStyle w:val="BodyText"/>
        <w:spacing w:before="224" w:line="225" w:lineRule="auto"/>
        <w:ind w:left="3903"/>
      </w:pPr>
      <w:r>
        <w:rPr>
          <w:spacing w:val="5"/>
        </w:rPr>
        <w:t>表</w:t>
      </w:r>
      <w:r>
        <w:rPr>
          <w:spacing w:val="-22"/>
        </w:rPr>
        <w:t xml:space="preserve"> </w:t>
      </w:r>
      <w:r>
        <w:rPr>
          <w:spacing w:val="5"/>
        </w:rPr>
        <w:t>2</w:t>
      </w:r>
      <w:r>
        <w:rPr>
          <w:spacing w:val="5"/>
        </w:rPr>
        <w:t xml:space="preserve">  </w:t>
      </w:r>
      <w:r>
        <w:rPr>
          <w:spacing w:val="5"/>
        </w:rPr>
        <w:t>接触电流限值</w:t>
      </w:r>
    </w:p>
    <w:tbl>
      <w:tblPr>
        <w:tblStyle w:val="TableNormal1"/>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15"/>
        <w:gridCol w:w="3107"/>
        <w:gridCol w:w="3116"/>
      </w:tblGrid>
      <w:tr>
        <w:tblPrEx>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5"/>
        </w:trPr>
        <w:tc>
          <w:tcPr>
            <w:tcW w:w="3115" w:type="dxa"/>
            <w:tcBorders>
              <w:top w:val="single" w:sz="6" w:space="0" w:color="000000"/>
              <w:left w:val="single" w:sz="6" w:space="0" w:color="000000"/>
              <w:bottom w:val="single" w:sz="6" w:space="0" w:color="000000"/>
            </w:tcBorders>
            <w:vAlign w:val="top"/>
          </w:tcPr>
          <w:p>
            <w:pPr>
              <w:pStyle w:val="TableText"/>
              <w:spacing w:before="56" w:line="225" w:lineRule="auto"/>
              <w:ind w:left="1140"/>
            </w:pPr>
            <w:r>
              <w:rPr>
                <w:spacing w:val="7"/>
              </w:rPr>
              <w:t>接触位置</w:t>
            </w:r>
          </w:p>
        </w:tc>
        <w:tc>
          <w:tcPr>
            <w:tcW w:w="3107" w:type="dxa"/>
            <w:tcBorders>
              <w:top w:val="single" w:sz="6" w:space="0" w:color="000000"/>
              <w:bottom w:val="single" w:sz="6" w:space="0" w:color="000000"/>
            </w:tcBorders>
            <w:vAlign w:val="top"/>
          </w:tcPr>
          <w:p>
            <w:pPr>
              <w:pStyle w:val="TableText"/>
              <w:spacing w:before="57" w:line="227" w:lineRule="auto"/>
              <w:ind w:left="942"/>
            </w:pPr>
            <w:r>
              <w:rPr>
                <w:spacing w:val="-2"/>
              </w:rPr>
              <w:t>Ⅰ类供电设备a</w:t>
            </w:r>
          </w:p>
        </w:tc>
        <w:tc>
          <w:tcPr>
            <w:tcW w:w="3116" w:type="dxa"/>
            <w:tcBorders>
              <w:top w:val="single" w:sz="6" w:space="0" w:color="000000"/>
              <w:bottom w:val="single" w:sz="6" w:space="0" w:color="000000"/>
              <w:right w:val="single" w:sz="6" w:space="0" w:color="000000"/>
            </w:tcBorders>
            <w:vAlign w:val="top"/>
          </w:tcPr>
          <w:p>
            <w:pPr>
              <w:pStyle w:val="TableText"/>
              <w:spacing w:before="57" w:line="227" w:lineRule="auto"/>
              <w:ind w:left="920"/>
            </w:pPr>
            <w:r>
              <w:rPr>
                <w:spacing w:val="1"/>
              </w:rPr>
              <w:t>Ⅱ类供电设备b</w:t>
            </w:r>
          </w:p>
        </w:tc>
      </w:tr>
      <w:tr>
        <w:tblPrEx>
          <w:tblW w:w="9338" w:type="dxa"/>
          <w:tblInd w:w="147" w:type="dxa"/>
          <w:tblLayout w:type="fixed"/>
        </w:tblPrEx>
        <w:trPr>
          <w:trHeight w:val="933"/>
        </w:trPr>
        <w:tc>
          <w:tcPr>
            <w:tcW w:w="3115" w:type="dxa"/>
            <w:tcBorders>
              <w:top w:val="single" w:sz="6" w:space="0" w:color="000000"/>
              <w:left w:val="single" w:sz="6" w:space="0" w:color="000000"/>
            </w:tcBorders>
            <w:vAlign w:val="top"/>
          </w:tcPr>
          <w:p>
            <w:pPr>
              <w:pStyle w:val="TableText"/>
              <w:spacing w:before="48" w:line="225" w:lineRule="auto"/>
              <w:ind w:left="92"/>
            </w:pPr>
            <w:r>
              <w:rPr>
                <w:spacing w:val="9"/>
              </w:rPr>
              <w:t>任一交流相线和彼此相连的可触</w:t>
            </w:r>
          </w:p>
          <w:p>
            <w:pPr>
              <w:pStyle w:val="TableText"/>
              <w:spacing w:before="68" w:line="223" w:lineRule="auto"/>
              <w:ind w:left="10"/>
            </w:pPr>
            <w:r>
              <w:rPr>
                <w:spacing w:val="5"/>
              </w:rPr>
              <w:t>及金属部分之间，以及和覆盖在绝</w:t>
            </w:r>
          </w:p>
          <w:p>
            <w:pPr>
              <w:pStyle w:val="TableText"/>
              <w:spacing w:before="71" w:line="223" w:lineRule="auto"/>
              <w:ind w:left="307"/>
            </w:pPr>
            <w:r>
              <w:rPr>
                <w:spacing w:val="8"/>
              </w:rPr>
              <w:t>缘外部材料上的金属箔之间</w:t>
            </w:r>
          </w:p>
        </w:tc>
        <w:tc>
          <w:tcPr>
            <w:tcW w:w="3107" w:type="dxa"/>
            <w:tcBorders>
              <w:top w:val="single" w:sz="6" w:space="0" w:color="000000"/>
            </w:tcBorders>
            <w:vAlign w:val="top"/>
          </w:tcPr>
          <w:p>
            <w:pPr>
              <w:spacing w:line="318" w:lineRule="auto"/>
              <w:rPr>
                <w:rFonts w:ascii="Arial"/>
                <w:sz w:val="21"/>
              </w:rPr>
            </w:pPr>
          </w:p>
          <w:p>
            <w:pPr>
              <w:pStyle w:val="TableText"/>
              <w:spacing w:before="65" w:line="191" w:lineRule="auto"/>
              <w:ind w:left="1311"/>
            </w:pPr>
            <w:r>
              <w:t>3.5mA</w:t>
            </w:r>
          </w:p>
        </w:tc>
        <w:tc>
          <w:tcPr>
            <w:tcW w:w="3116" w:type="dxa"/>
            <w:tcBorders>
              <w:top w:val="single" w:sz="6" w:space="0" w:color="000000"/>
              <w:right w:val="single" w:sz="6" w:space="0" w:color="000000"/>
            </w:tcBorders>
            <w:vAlign w:val="top"/>
          </w:tcPr>
          <w:p>
            <w:pPr>
              <w:spacing w:line="318" w:lineRule="auto"/>
              <w:rPr>
                <w:rFonts w:ascii="Arial"/>
                <w:sz w:val="21"/>
              </w:rPr>
            </w:pPr>
          </w:p>
          <w:p>
            <w:pPr>
              <w:pStyle w:val="TableText"/>
              <w:spacing w:before="65" w:line="191" w:lineRule="auto"/>
              <w:ind w:left="1259"/>
            </w:pPr>
            <w:r>
              <w:rPr>
                <w:spacing w:val="1"/>
              </w:rPr>
              <w:t>0.25</w:t>
            </w:r>
            <w:r>
              <w:t>mA</w:t>
            </w:r>
          </w:p>
        </w:tc>
      </w:tr>
      <w:tr>
        <w:tblPrEx>
          <w:tblW w:w="9338" w:type="dxa"/>
          <w:tblInd w:w="147" w:type="dxa"/>
          <w:tblLayout w:type="fixed"/>
        </w:tblPrEx>
        <w:trPr>
          <w:trHeight w:val="938"/>
        </w:trPr>
        <w:tc>
          <w:tcPr>
            <w:tcW w:w="3115" w:type="dxa"/>
            <w:tcBorders>
              <w:left w:val="single" w:sz="6" w:space="0" w:color="000000"/>
            </w:tcBorders>
            <w:vAlign w:val="top"/>
          </w:tcPr>
          <w:p>
            <w:pPr>
              <w:pStyle w:val="TableText"/>
              <w:spacing w:before="56" w:line="223" w:lineRule="auto"/>
              <w:ind w:left="92"/>
            </w:pPr>
            <w:r>
              <w:rPr>
                <w:spacing w:val="9"/>
              </w:rPr>
              <w:t>任一交流相线和通常为非活性的</w:t>
            </w:r>
          </w:p>
          <w:p>
            <w:pPr>
              <w:pStyle w:val="TableText"/>
              <w:spacing w:before="70" w:line="225" w:lineRule="auto"/>
              <w:ind w:left="144"/>
            </w:pPr>
            <w:r>
              <w:rPr>
                <w:spacing w:val="8"/>
              </w:rPr>
              <w:t>金属不可触及部分之间(双重绝</w:t>
            </w:r>
          </w:p>
          <w:p>
            <w:pPr>
              <w:pStyle w:val="TableText"/>
              <w:spacing w:before="67" w:line="227" w:lineRule="auto"/>
              <w:ind w:left="1408"/>
            </w:pPr>
            <w:r>
              <w:t>缘)</w:t>
            </w:r>
          </w:p>
        </w:tc>
        <w:tc>
          <w:tcPr>
            <w:tcW w:w="3107" w:type="dxa"/>
            <w:vAlign w:val="top"/>
          </w:tcPr>
          <w:p>
            <w:pPr>
              <w:spacing w:line="301" w:lineRule="auto"/>
              <w:rPr>
                <w:rFonts w:ascii="Arial"/>
                <w:sz w:val="21"/>
              </w:rPr>
            </w:pPr>
          </w:p>
          <w:p>
            <w:pPr>
              <w:pStyle w:val="TableText"/>
              <w:spacing w:before="65" w:line="227" w:lineRule="auto"/>
              <w:ind w:left="1248"/>
            </w:pPr>
            <w:r>
              <w:rPr>
                <w:spacing w:val="5"/>
              </w:rPr>
              <w:t>不适用</w:t>
            </w:r>
          </w:p>
        </w:tc>
        <w:tc>
          <w:tcPr>
            <w:tcW w:w="3116" w:type="dxa"/>
            <w:tcBorders>
              <w:right w:val="single" w:sz="6" w:space="0" w:color="000000"/>
            </w:tcBorders>
            <w:vAlign w:val="top"/>
          </w:tcPr>
          <w:p>
            <w:pPr>
              <w:spacing w:line="326" w:lineRule="auto"/>
              <w:rPr>
                <w:rFonts w:ascii="Arial"/>
                <w:sz w:val="21"/>
              </w:rPr>
            </w:pPr>
          </w:p>
          <w:p>
            <w:pPr>
              <w:pStyle w:val="TableText"/>
              <w:spacing w:before="65" w:line="191" w:lineRule="auto"/>
              <w:ind w:left="1314"/>
            </w:pPr>
            <w:r>
              <w:t>3.5mA</w:t>
            </w:r>
          </w:p>
        </w:tc>
      </w:tr>
    </w:tbl>
    <w:p>
      <w:pPr>
        <w:sectPr>
          <w:footerReference w:type="default" r:id="rId12"/>
          <w:pgSz w:w="11906" w:h="16839"/>
          <w:pgMar w:top="860" w:right="1134" w:bottom="1311" w:left="1136" w:header="0" w:footer="1134" w:gutter="0"/>
          <w:pgNumType w:start="9"/>
          <w:cols w:space="708"/>
        </w:sectPr>
      </w:pPr>
    </w:p>
    <w:tbl>
      <w:tblPr>
        <w:tblStyle w:val="TableNormal2"/>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15"/>
        <w:gridCol w:w="3107"/>
        <w:gridCol w:w="3116"/>
      </w:tblGrid>
      <w:tr>
        <w:tblPrEx>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38"/>
        </w:trPr>
        <w:tc>
          <w:tcPr>
            <w:tcW w:w="3115" w:type="dxa"/>
            <w:tcBorders>
              <w:left w:val="single" w:sz="6" w:space="0" w:color="000000"/>
            </w:tcBorders>
            <w:vAlign w:val="top"/>
          </w:tcPr>
          <w:p>
            <w:pPr>
              <w:pStyle w:val="TableText"/>
              <w:spacing w:before="60" w:line="225" w:lineRule="auto"/>
              <w:ind w:left="89"/>
            </w:pPr>
            <w:r>
              <w:rPr>
                <w:spacing w:val="9"/>
              </w:rPr>
              <w:t>彼此相连的不可触及和可触及的</w:t>
            </w:r>
          </w:p>
          <w:p>
            <w:pPr>
              <w:pStyle w:val="TableText"/>
              <w:spacing w:before="68" w:line="223" w:lineRule="auto"/>
              <w:ind w:left="89"/>
            </w:pPr>
            <w:r>
              <w:rPr>
                <w:spacing w:val="9"/>
              </w:rPr>
              <w:t>部分和覆盖在绝缘外部材料上的</w:t>
            </w:r>
          </w:p>
          <w:p>
            <w:pPr>
              <w:pStyle w:val="TableText"/>
              <w:spacing w:before="71" w:line="224" w:lineRule="auto"/>
              <w:ind w:left="511"/>
            </w:pPr>
            <w:r>
              <w:rPr>
                <w:spacing w:val="8"/>
              </w:rPr>
              <w:t>金属箔之间(附加绝缘)</w:t>
            </w:r>
          </w:p>
        </w:tc>
        <w:tc>
          <w:tcPr>
            <w:tcW w:w="3107" w:type="dxa"/>
            <w:vAlign w:val="top"/>
          </w:tcPr>
          <w:p>
            <w:pPr>
              <w:spacing w:line="306" w:lineRule="auto"/>
              <w:rPr>
                <w:rFonts w:ascii="Arial"/>
                <w:sz w:val="21"/>
              </w:rPr>
            </w:pPr>
          </w:p>
          <w:p>
            <w:pPr>
              <w:pStyle w:val="TableText"/>
              <w:spacing w:before="65" w:line="227" w:lineRule="auto"/>
              <w:ind w:left="1248"/>
            </w:pPr>
            <w:r>
              <w:rPr>
                <w:spacing w:val="5"/>
              </w:rPr>
              <w:t>不适用</w:t>
            </w:r>
          </w:p>
        </w:tc>
        <w:tc>
          <w:tcPr>
            <w:tcW w:w="3116" w:type="dxa"/>
            <w:tcBorders>
              <w:right w:val="single" w:sz="6" w:space="0" w:color="000000"/>
            </w:tcBorders>
            <w:vAlign w:val="top"/>
          </w:tcPr>
          <w:p>
            <w:pPr>
              <w:spacing w:line="331" w:lineRule="auto"/>
              <w:rPr>
                <w:rFonts w:ascii="Arial"/>
                <w:sz w:val="21"/>
              </w:rPr>
            </w:pPr>
          </w:p>
          <w:p>
            <w:pPr>
              <w:pStyle w:val="TableText"/>
              <w:spacing w:before="65" w:line="191" w:lineRule="auto"/>
              <w:ind w:left="1312"/>
            </w:pPr>
            <w:r>
              <w:t>0.5mA</w:t>
            </w:r>
          </w:p>
        </w:tc>
      </w:tr>
      <w:tr>
        <w:tblPrEx>
          <w:tblW w:w="9338" w:type="dxa"/>
          <w:tblInd w:w="147" w:type="dxa"/>
          <w:tblLayout w:type="fixed"/>
        </w:tblPrEx>
        <w:trPr>
          <w:trHeight w:val="1098"/>
        </w:trPr>
        <w:tc>
          <w:tcPr>
            <w:tcW w:w="9338" w:type="dxa"/>
            <w:gridSpan w:val="3"/>
            <w:tcBorders>
              <w:left w:val="single" w:sz="6" w:space="0" w:color="000000"/>
              <w:bottom w:val="single" w:sz="6" w:space="0" w:color="000000"/>
              <w:right w:val="single" w:sz="6" w:space="0" w:color="000000"/>
            </w:tcBorders>
            <w:vAlign w:val="top"/>
          </w:tcPr>
          <w:p>
            <w:pPr>
              <w:pStyle w:val="TableText"/>
              <w:spacing w:before="135" w:line="223" w:lineRule="auto"/>
              <w:ind w:left="16"/>
            </w:pPr>
            <w:r>
              <w:rPr>
                <w:spacing w:val="9"/>
              </w:rPr>
              <w:t>a采用基本绝缘作为基本防护措施，采用保护联结作为故障防护措施。</w:t>
            </w:r>
          </w:p>
          <w:p>
            <w:pPr>
              <w:pStyle w:val="TableText"/>
              <w:spacing w:before="70" w:line="256" w:lineRule="auto"/>
              <w:ind w:left="31" w:right="6" w:hanging="16"/>
            </w:pPr>
            <w:r>
              <w:rPr>
                <w:spacing w:val="9"/>
              </w:rPr>
              <w:t>b采用基本绝缘作为基本防护措施，和采用附加绝缘作为故障防护措施，或采用能提供基本</w:t>
            </w:r>
            <w:r>
              <w:rPr>
                <w:spacing w:val="8"/>
              </w:rPr>
              <w:t>防护和故障</w:t>
            </w:r>
            <w:r>
              <w:t xml:space="preserve"> </w:t>
            </w:r>
            <w:r>
              <w:rPr>
                <w:spacing w:val="6"/>
              </w:rPr>
              <w:t>防护功能的加强绝缘。</w:t>
            </w:r>
          </w:p>
        </w:tc>
      </w:tr>
    </w:tbl>
    <w:p>
      <w:pPr>
        <w:rPr>
          <w:rFonts w:ascii="Arial"/>
          <w:sz w:val="21"/>
        </w:rPr>
      </w:pPr>
    </w:p>
    <w:p>
      <w:pPr>
        <w:rPr>
          <w:rFonts w:ascii="Arial" w:eastAsia="Arial" w:hAnsi="Arial" w:cs="Arial"/>
          <w:sz w:val="21"/>
          <w:szCs w:val="21"/>
        </w:rPr>
        <w:sectPr>
          <w:footerReference w:type="default" r:id="rId13"/>
          <w:type w:val="nextPage"/>
          <w:pgSz w:w="11906" w:h="16839"/>
          <w:pgMar w:top="860" w:right="1134" w:bottom="1311" w:left="1136" w:header="0" w:footer="1134" w:gutter="0"/>
          <w:pgNumType w:start="10"/>
          <w:cols w:space="708"/>
          <w:titlePg w:val="0"/>
        </w:sectPr>
      </w:pPr>
    </w:p>
    <w:p>
      <w:pPr>
        <w:spacing w:line="464" w:lineRule="auto"/>
        <w:rPr>
          <w:rFonts w:ascii="Arial"/>
          <w:sz w:val="21"/>
        </w:rPr>
      </w:pPr>
    </w:p>
    <w:p>
      <w:pPr>
        <w:pStyle w:val="BodyText"/>
        <w:spacing w:before="65" w:line="225" w:lineRule="auto"/>
      </w:pPr>
      <w:r>
        <w:rPr>
          <w:rFonts w:ascii="SimHei" w:eastAsia="SimHei" w:hAnsi="SimHei" w:cs="SimHei"/>
          <w:spacing w:val="5"/>
        </w:rPr>
        <w:t>5.2.5</w:t>
      </w:r>
      <w:r>
        <w:rPr>
          <w:rFonts w:ascii="SimHei" w:eastAsia="SimHei" w:hAnsi="SimHei" w:cs="SimHei"/>
          <w:spacing w:val="25"/>
        </w:rPr>
        <w:t xml:space="preserve">  </w:t>
      </w:r>
      <w:r>
        <w:rPr>
          <w:spacing w:val="5"/>
        </w:rPr>
        <w:t>电气间隙和爬电距离</w:t>
      </w:r>
    </w:p>
    <w:p>
      <w:pPr>
        <w:pStyle w:val="BodyText"/>
        <w:spacing w:before="223" w:line="257" w:lineRule="auto"/>
        <w:ind w:left="22" w:right="2" w:firstLine="409"/>
      </w:pPr>
      <w:r>
        <w:rPr>
          <w:spacing w:val="10"/>
        </w:rPr>
        <w:t>交流充电桩内两带电导体之间，</w:t>
      </w:r>
      <w:r>
        <w:rPr>
          <w:spacing w:val="-41"/>
        </w:rPr>
        <w:t xml:space="preserve"> </w:t>
      </w:r>
      <w:r>
        <w:rPr>
          <w:spacing w:val="10"/>
        </w:rPr>
        <w:t>以及带电导体与裸露的不带电导体之间的最小距离，应符合表3规定</w:t>
      </w:r>
      <w:r>
        <w:t xml:space="preserve"> </w:t>
      </w:r>
      <w:r>
        <w:rPr>
          <w:spacing w:val="7"/>
        </w:rPr>
        <w:t>的最小电气间隙与爬电距离的要求。</w:t>
      </w:r>
    </w:p>
    <w:p>
      <w:pPr>
        <w:pStyle w:val="BodyText"/>
        <w:spacing w:before="224" w:line="225" w:lineRule="auto"/>
        <w:ind w:left="3588"/>
      </w:pPr>
      <w:r>
        <w:rPr>
          <w:spacing w:val="3"/>
        </w:rPr>
        <w:t>表</w:t>
      </w:r>
      <w:r>
        <w:rPr>
          <w:spacing w:val="-19"/>
        </w:rPr>
        <w:t xml:space="preserve"> </w:t>
      </w:r>
      <w:r>
        <w:rPr>
          <w:spacing w:val="3"/>
        </w:rPr>
        <w:t>3</w:t>
      </w:r>
      <w:r>
        <w:rPr>
          <w:spacing w:val="22"/>
        </w:rPr>
        <w:t xml:space="preserve">  </w:t>
      </w:r>
      <w:r>
        <w:rPr>
          <w:spacing w:val="3"/>
        </w:rPr>
        <w:t>电气间隙和爬电距离</w:t>
      </w:r>
    </w:p>
    <w:p>
      <w:pPr>
        <w:spacing w:line="170" w:lineRule="exact"/>
      </w:pPr>
    </w:p>
    <w:tbl>
      <w:tblPr>
        <w:tblStyle w:val="TableNormal3"/>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15"/>
        <w:gridCol w:w="3107"/>
        <w:gridCol w:w="3116"/>
      </w:tblGrid>
      <w:tr>
        <w:tblPrEx>
          <w:tblW w:w="9338" w:type="dxa"/>
          <w:tblInd w:w="14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6"/>
        </w:trPr>
        <w:tc>
          <w:tcPr>
            <w:tcW w:w="3115" w:type="dxa"/>
            <w:tcBorders>
              <w:top w:val="single" w:sz="6" w:space="0" w:color="000000"/>
              <w:left w:val="single" w:sz="6" w:space="0" w:color="000000"/>
              <w:bottom w:val="single" w:sz="6" w:space="0" w:color="000000"/>
            </w:tcBorders>
            <w:vAlign w:val="top"/>
          </w:tcPr>
          <w:p>
            <w:pPr>
              <w:pStyle w:val="TableText"/>
              <w:spacing w:before="57" w:line="342" w:lineRule="exact"/>
              <w:ind w:left="828"/>
            </w:pPr>
            <w:r>
              <w:rPr>
                <w:spacing w:val="7"/>
                <w:position w:val="10"/>
              </w:rPr>
              <w:t>额定绝缘电压U1</w:t>
            </w:r>
          </w:p>
          <w:p>
            <w:pPr>
              <w:pStyle w:val="TableText"/>
              <w:spacing w:line="185" w:lineRule="auto"/>
              <w:ind w:left="1507"/>
            </w:pPr>
            <w:r>
              <w:t>V</w:t>
            </w:r>
          </w:p>
        </w:tc>
        <w:tc>
          <w:tcPr>
            <w:tcW w:w="3107" w:type="dxa"/>
            <w:tcBorders>
              <w:top w:val="single" w:sz="6" w:space="0" w:color="000000"/>
              <w:bottom w:val="single" w:sz="6" w:space="0" w:color="000000"/>
            </w:tcBorders>
            <w:vAlign w:val="top"/>
          </w:tcPr>
          <w:p>
            <w:pPr>
              <w:pStyle w:val="TableText"/>
              <w:spacing w:before="57" w:line="226" w:lineRule="auto"/>
              <w:ind w:left="1163"/>
            </w:pPr>
            <w:r>
              <w:rPr>
                <w:spacing w:val="1"/>
              </w:rPr>
              <w:t>电气间隙</w:t>
            </w:r>
          </w:p>
          <w:p>
            <w:pPr>
              <w:pStyle w:val="TableText"/>
              <w:spacing w:before="139" w:line="155" w:lineRule="exact"/>
              <w:ind w:left="1448"/>
            </w:pPr>
            <w:r>
              <w:rPr>
                <w:spacing w:val="3"/>
              </w:rPr>
              <w:t>mm</w:t>
            </w:r>
          </w:p>
        </w:tc>
        <w:tc>
          <w:tcPr>
            <w:tcW w:w="3116" w:type="dxa"/>
            <w:tcBorders>
              <w:top w:val="single" w:sz="6" w:space="0" w:color="000000"/>
              <w:bottom w:val="single" w:sz="6" w:space="0" w:color="000000"/>
              <w:right w:val="single" w:sz="6" w:space="0" w:color="000000"/>
            </w:tcBorders>
            <w:vAlign w:val="top"/>
          </w:tcPr>
          <w:p>
            <w:pPr>
              <w:pStyle w:val="TableText"/>
              <w:spacing w:before="57" w:line="225" w:lineRule="auto"/>
              <w:ind w:left="1138"/>
            </w:pPr>
            <w:r>
              <w:rPr>
                <w:spacing w:val="7"/>
              </w:rPr>
              <w:t>爬电距离</w:t>
            </w:r>
          </w:p>
          <w:p>
            <w:pPr>
              <w:pStyle w:val="TableText"/>
              <w:spacing w:before="140" w:line="155" w:lineRule="exact"/>
              <w:ind w:left="1451"/>
            </w:pPr>
            <w:r>
              <w:rPr>
                <w:spacing w:val="3"/>
              </w:rPr>
              <w:t>mm</w:t>
            </w:r>
          </w:p>
        </w:tc>
      </w:tr>
      <w:tr>
        <w:tblPrEx>
          <w:tblW w:w="9338" w:type="dxa"/>
          <w:tblInd w:w="147" w:type="dxa"/>
          <w:tblLayout w:type="fixed"/>
        </w:tblPrEx>
        <w:trPr>
          <w:trHeight w:val="311"/>
        </w:trPr>
        <w:tc>
          <w:tcPr>
            <w:tcW w:w="3115" w:type="dxa"/>
            <w:tcBorders>
              <w:top w:val="single" w:sz="6" w:space="0" w:color="000000"/>
              <w:left w:val="single" w:sz="6" w:space="0" w:color="000000"/>
            </w:tcBorders>
            <w:vAlign w:val="top"/>
          </w:tcPr>
          <w:p>
            <w:pPr>
              <w:pStyle w:val="TableText"/>
              <w:spacing w:before="49" w:line="232" w:lineRule="auto"/>
              <w:ind w:left="1243"/>
            </w:pPr>
            <w:r>
              <w:rPr>
                <w:spacing w:val="4"/>
              </w:rPr>
              <w:t>U1≤60</w:t>
            </w:r>
          </w:p>
        </w:tc>
        <w:tc>
          <w:tcPr>
            <w:tcW w:w="3107" w:type="dxa"/>
            <w:tcBorders>
              <w:top w:val="single" w:sz="6" w:space="0" w:color="000000"/>
            </w:tcBorders>
            <w:vAlign w:val="top"/>
          </w:tcPr>
          <w:p>
            <w:pPr>
              <w:pStyle w:val="TableText"/>
              <w:spacing w:before="76" w:line="189" w:lineRule="auto"/>
              <w:ind w:left="1416"/>
            </w:pPr>
            <w:r>
              <w:rPr>
                <w:spacing w:val="-3"/>
              </w:rPr>
              <w:t>3.0</w:t>
            </w:r>
          </w:p>
        </w:tc>
        <w:tc>
          <w:tcPr>
            <w:tcW w:w="3116" w:type="dxa"/>
            <w:tcBorders>
              <w:top w:val="single" w:sz="6" w:space="0" w:color="000000"/>
              <w:right w:val="single" w:sz="6" w:space="0" w:color="000000"/>
            </w:tcBorders>
            <w:vAlign w:val="top"/>
          </w:tcPr>
          <w:p>
            <w:pPr>
              <w:pStyle w:val="TableText"/>
              <w:spacing w:before="76" w:line="189" w:lineRule="auto"/>
              <w:ind w:left="1420"/>
            </w:pPr>
            <w:r>
              <w:rPr>
                <w:spacing w:val="-3"/>
              </w:rPr>
              <w:t>3.0</w:t>
            </w:r>
          </w:p>
        </w:tc>
      </w:tr>
      <w:tr>
        <w:tblPrEx>
          <w:tblW w:w="9338" w:type="dxa"/>
          <w:tblInd w:w="147" w:type="dxa"/>
          <w:tblLayout w:type="fixed"/>
        </w:tblPrEx>
        <w:trPr>
          <w:trHeight w:val="315"/>
        </w:trPr>
        <w:tc>
          <w:tcPr>
            <w:tcW w:w="3115" w:type="dxa"/>
            <w:tcBorders>
              <w:left w:val="single" w:sz="6" w:space="0" w:color="000000"/>
            </w:tcBorders>
            <w:vAlign w:val="top"/>
          </w:tcPr>
          <w:p>
            <w:pPr>
              <w:pStyle w:val="TableText"/>
              <w:spacing w:before="54" w:line="231" w:lineRule="auto"/>
              <w:ind w:left="992"/>
            </w:pPr>
            <w:r>
              <w:rPr>
                <w:spacing w:val="4"/>
              </w:rPr>
              <w:t>60＜U1≤300</w:t>
            </w:r>
          </w:p>
        </w:tc>
        <w:tc>
          <w:tcPr>
            <w:tcW w:w="3107" w:type="dxa"/>
            <w:vAlign w:val="top"/>
          </w:tcPr>
          <w:p>
            <w:pPr>
              <w:pStyle w:val="TableText"/>
              <w:spacing w:before="82" w:line="189" w:lineRule="auto"/>
              <w:ind w:left="1411"/>
            </w:pPr>
            <w:r>
              <w:rPr>
                <w:spacing w:val="-2"/>
              </w:rPr>
              <w:t>5.0</w:t>
            </w:r>
          </w:p>
        </w:tc>
        <w:tc>
          <w:tcPr>
            <w:tcW w:w="3116" w:type="dxa"/>
            <w:tcBorders>
              <w:right w:val="single" w:sz="6" w:space="0" w:color="000000"/>
            </w:tcBorders>
            <w:vAlign w:val="top"/>
          </w:tcPr>
          <w:p>
            <w:pPr>
              <w:pStyle w:val="TableText"/>
              <w:spacing w:before="82" w:line="189" w:lineRule="auto"/>
              <w:ind w:left="1413"/>
            </w:pPr>
            <w:r>
              <w:rPr>
                <w:spacing w:val="-1"/>
              </w:rPr>
              <w:t>6.0</w:t>
            </w:r>
          </w:p>
        </w:tc>
      </w:tr>
      <w:tr>
        <w:tblPrEx>
          <w:tblW w:w="9338" w:type="dxa"/>
          <w:tblInd w:w="147" w:type="dxa"/>
          <w:tblLayout w:type="fixed"/>
        </w:tblPrEx>
        <w:trPr>
          <w:trHeight w:val="316"/>
        </w:trPr>
        <w:tc>
          <w:tcPr>
            <w:tcW w:w="3115" w:type="dxa"/>
            <w:tcBorders>
              <w:left w:val="single" w:sz="6" w:space="0" w:color="000000"/>
            </w:tcBorders>
            <w:vAlign w:val="top"/>
          </w:tcPr>
          <w:p>
            <w:pPr>
              <w:pStyle w:val="TableText"/>
              <w:spacing w:before="58" w:line="228" w:lineRule="auto"/>
              <w:ind w:left="945"/>
            </w:pPr>
            <w:r>
              <w:rPr>
                <w:spacing w:val="3"/>
              </w:rPr>
              <w:t>300＜U1≤700</w:t>
            </w:r>
          </w:p>
        </w:tc>
        <w:tc>
          <w:tcPr>
            <w:tcW w:w="3107" w:type="dxa"/>
            <w:vAlign w:val="top"/>
          </w:tcPr>
          <w:p>
            <w:pPr>
              <w:pStyle w:val="TableText"/>
              <w:spacing w:before="86" w:line="189" w:lineRule="auto"/>
              <w:ind w:left="1410"/>
            </w:pPr>
            <w:r>
              <w:rPr>
                <w:spacing w:val="-1"/>
              </w:rPr>
              <w:t>8.0</w:t>
            </w:r>
          </w:p>
        </w:tc>
        <w:tc>
          <w:tcPr>
            <w:tcW w:w="3116" w:type="dxa"/>
            <w:tcBorders>
              <w:right w:val="single" w:sz="6" w:space="0" w:color="000000"/>
            </w:tcBorders>
            <w:vAlign w:val="top"/>
          </w:tcPr>
          <w:p>
            <w:pPr>
              <w:pStyle w:val="TableText"/>
              <w:spacing w:before="86" w:line="189" w:lineRule="auto"/>
              <w:ind w:left="1364"/>
            </w:pPr>
            <w:r>
              <w:rPr>
                <w:spacing w:val="-1"/>
              </w:rPr>
              <w:t>10.0</w:t>
            </w:r>
          </w:p>
        </w:tc>
      </w:tr>
      <w:tr>
        <w:tblPrEx>
          <w:tblW w:w="9338" w:type="dxa"/>
          <w:tblInd w:w="147" w:type="dxa"/>
          <w:tblLayout w:type="fixed"/>
        </w:tblPrEx>
        <w:trPr>
          <w:trHeight w:val="316"/>
        </w:trPr>
        <w:tc>
          <w:tcPr>
            <w:tcW w:w="3115" w:type="dxa"/>
            <w:tcBorders>
              <w:left w:val="single" w:sz="6" w:space="0" w:color="000000"/>
            </w:tcBorders>
            <w:vAlign w:val="top"/>
          </w:tcPr>
          <w:p>
            <w:pPr>
              <w:pStyle w:val="TableText"/>
              <w:spacing w:before="60" w:line="227" w:lineRule="auto"/>
              <w:ind w:left="886"/>
            </w:pPr>
            <w:r>
              <w:rPr>
                <w:spacing w:val="4"/>
              </w:rPr>
              <w:t>700＜U1≤1000</w:t>
            </w:r>
          </w:p>
        </w:tc>
        <w:tc>
          <w:tcPr>
            <w:tcW w:w="3107" w:type="dxa"/>
            <w:vAlign w:val="top"/>
          </w:tcPr>
          <w:p>
            <w:pPr>
              <w:pStyle w:val="TableText"/>
              <w:spacing w:before="86" w:line="189" w:lineRule="auto"/>
              <w:ind w:left="1360"/>
            </w:pPr>
            <w:r>
              <w:rPr>
                <w:spacing w:val="-1"/>
              </w:rPr>
              <w:t>14.0</w:t>
            </w:r>
          </w:p>
        </w:tc>
        <w:tc>
          <w:tcPr>
            <w:tcW w:w="3116" w:type="dxa"/>
            <w:tcBorders>
              <w:right w:val="single" w:sz="6" w:space="0" w:color="000000"/>
            </w:tcBorders>
            <w:vAlign w:val="top"/>
          </w:tcPr>
          <w:p>
            <w:pPr>
              <w:pStyle w:val="TableText"/>
              <w:spacing w:before="86" w:line="189" w:lineRule="auto"/>
              <w:ind w:left="1364"/>
            </w:pPr>
            <w:r>
              <w:rPr>
                <w:spacing w:val="-1"/>
              </w:rPr>
              <w:t>16.0</w:t>
            </w:r>
          </w:p>
        </w:tc>
      </w:tr>
      <w:tr>
        <w:tblPrEx>
          <w:tblW w:w="9338" w:type="dxa"/>
          <w:tblInd w:w="147" w:type="dxa"/>
          <w:tblLayout w:type="fixed"/>
        </w:tblPrEx>
        <w:trPr>
          <w:trHeight w:val="1884"/>
        </w:trPr>
        <w:tc>
          <w:tcPr>
            <w:tcW w:w="9338" w:type="dxa"/>
            <w:gridSpan w:val="3"/>
            <w:tcBorders>
              <w:left w:val="single" w:sz="6" w:space="0" w:color="000000"/>
              <w:bottom w:val="single" w:sz="6" w:space="0" w:color="000000"/>
              <w:right w:val="single" w:sz="6" w:space="0" w:color="000000"/>
            </w:tcBorders>
            <w:vAlign w:val="top"/>
          </w:tcPr>
          <w:p>
            <w:pPr>
              <w:pStyle w:val="TableText"/>
              <w:spacing w:before="59" w:line="257" w:lineRule="auto"/>
              <w:ind w:left="15" w:right="6" w:firstLine="2"/>
            </w:pPr>
            <w:r>
              <w:rPr>
                <w:spacing w:val="9"/>
              </w:rPr>
              <w:t>注1：当主电路与控制电路或辅助电路的额定绝缘电压不一致时，其电气间隙和爬电</w:t>
            </w:r>
            <w:r>
              <w:rPr>
                <w:spacing w:val="8"/>
              </w:rPr>
              <w:t>距离可分别按其额</w:t>
            </w:r>
            <w:r>
              <w:t xml:space="preserve"> </w:t>
            </w:r>
            <w:r>
              <w:rPr>
                <w:spacing w:val="5"/>
              </w:rPr>
              <w:t>定值选取。</w:t>
            </w:r>
          </w:p>
          <w:p>
            <w:pPr>
              <w:pStyle w:val="TableText"/>
              <w:spacing w:before="67" w:line="257" w:lineRule="auto"/>
              <w:ind w:left="15" w:right="6" w:firstLine="2"/>
            </w:pPr>
            <w:r>
              <w:rPr>
                <w:spacing w:val="9"/>
              </w:rPr>
              <w:t>注2：具有不同额定值主电路或控制电路导电部分之间的电气间隙与爬电距离，应按</w:t>
            </w:r>
            <w:r>
              <w:rPr>
                <w:spacing w:val="8"/>
              </w:rPr>
              <w:t>最高额定绝缘电压</w:t>
            </w:r>
            <w:r>
              <w:t xml:space="preserve"> </w:t>
            </w:r>
            <w:r>
              <w:rPr>
                <w:spacing w:val="2"/>
              </w:rPr>
              <w:t>选取。</w:t>
            </w:r>
          </w:p>
          <w:p>
            <w:pPr>
              <w:pStyle w:val="TableText"/>
              <w:spacing w:before="67" w:line="257" w:lineRule="auto"/>
              <w:ind w:left="34" w:right="6" w:hanging="17"/>
            </w:pPr>
            <w:r>
              <w:rPr>
                <w:spacing w:val="9"/>
              </w:rPr>
              <w:t>注3：小母线、汇流排或不同级的裸露带电导体之间，以及裸露的带电导体与未经绝</w:t>
            </w:r>
            <w:r>
              <w:rPr>
                <w:spacing w:val="8"/>
              </w:rPr>
              <w:t>缘的不带电导体之</w:t>
            </w:r>
            <w:r>
              <w:t xml:space="preserve"> </w:t>
            </w:r>
            <w:r>
              <w:rPr>
                <w:spacing w:val="8"/>
              </w:rPr>
              <w:t>间的电气间隙不小于12</w:t>
            </w:r>
            <w:r>
              <w:t>mm</w:t>
            </w:r>
            <w:r>
              <w:rPr>
                <w:spacing w:val="8"/>
              </w:rPr>
              <w:t>，爬电距离不小于20</w:t>
            </w:r>
            <w:r>
              <w:t>mm</w:t>
            </w:r>
            <w:r>
              <w:rPr>
                <w:spacing w:val="8"/>
              </w:rPr>
              <w:t>。</w:t>
            </w:r>
          </w:p>
        </w:tc>
      </w:tr>
    </w:tbl>
    <w:p>
      <w:pPr>
        <w:pStyle w:val="BodyText"/>
        <w:spacing w:before="208" w:line="225" w:lineRule="auto"/>
      </w:pPr>
      <w:r>
        <w:rPr>
          <w:rFonts w:ascii="SimHei" w:eastAsia="SimHei" w:hAnsi="SimHei" w:cs="SimHei"/>
          <w:spacing w:val="2"/>
        </w:rPr>
        <w:t>5.2.6</w:t>
      </w:r>
      <w:r>
        <w:rPr>
          <w:rFonts w:ascii="SimHei" w:eastAsia="SimHei" w:hAnsi="SimHei" w:cs="SimHei"/>
          <w:spacing w:val="26"/>
        </w:rPr>
        <w:t xml:space="preserve">  </w:t>
      </w:r>
      <w:r>
        <w:rPr>
          <w:spacing w:val="2"/>
        </w:rPr>
        <w:t>电击防护</w:t>
      </w:r>
    </w:p>
    <w:p>
      <w:pPr>
        <w:pStyle w:val="BodyText"/>
        <w:spacing w:before="224" w:line="224" w:lineRule="auto"/>
        <w:ind w:left="429"/>
      </w:pPr>
      <w:r>
        <w:rPr>
          <w:spacing w:val="6"/>
        </w:rPr>
        <w:t>应符合</w:t>
      </w:r>
      <w:r>
        <w:t>GB</w:t>
      </w:r>
      <w:r>
        <w:rPr>
          <w:spacing w:val="6"/>
        </w:rPr>
        <w:t>/T</w:t>
      </w:r>
      <w:r>
        <w:rPr>
          <w:spacing w:val="6"/>
        </w:rPr>
        <w:t xml:space="preserve"> </w:t>
      </w:r>
      <w:r>
        <w:rPr>
          <w:spacing w:val="6"/>
        </w:rPr>
        <w:t>18487.1-2015第7条的要求。</w:t>
      </w:r>
    </w:p>
    <w:p>
      <w:pPr>
        <w:pStyle w:val="BodyText"/>
        <w:spacing w:before="225" w:line="225" w:lineRule="auto"/>
      </w:pPr>
      <w:r>
        <w:rPr>
          <w:rFonts w:ascii="SimHei" w:eastAsia="SimHei" w:hAnsi="SimHei" w:cs="SimHei"/>
          <w:spacing w:val="5"/>
        </w:rPr>
        <w:t>5.3</w:t>
      </w:r>
      <w:r>
        <w:rPr>
          <w:rFonts w:ascii="SimHei" w:eastAsia="SimHei" w:hAnsi="SimHei" w:cs="SimHei"/>
          <w:spacing w:val="12"/>
        </w:rPr>
        <w:t xml:space="preserve">  </w:t>
      </w:r>
      <w:r>
        <w:rPr>
          <w:spacing w:val="5"/>
        </w:rPr>
        <w:t>安全要求</w:t>
      </w:r>
    </w:p>
    <w:p>
      <w:pPr>
        <w:pStyle w:val="BodyText"/>
        <w:spacing w:before="224" w:line="224" w:lineRule="auto"/>
      </w:pPr>
      <w:r>
        <w:rPr>
          <w:rFonts w:ascii="SimHei" w:eastAsia="SimHei" w:hAnsi="SimHei" w:cs="SimHei"/>
          <w:spacing w:val="5"/>
        </w:rPr>
        <w:t>5.3.1</w:t>
      </w:r>
      <w:r>
        <w:rPr>
          <w:rFonts w:ascii="SimHei" w:eastAsia="SimHei" w:hAnsi="SimHei" w:cs="SimHei"/>
          <w:spacing w:val="12"/>
        </w:rPr>
        <w:t xml:space="preserve">  </w:t>
      </w:r>
      <w:r>
        <w:rPr>
          <w:spacing w:val="5"/>
        </w:rPr>
        <w:t>过流保护</w:t>
      </w:r>
    </w:p>
    <w:p>
      <w:pPr>
        <w:pStyle w:val="BodyText"/>
        <w:spacing w:before="226" w:line="224" w:lineRule="auto"/>
        <w:ind w:left="429"/>
      </w:pPr>
      <w:r>
        <w:rPr>
          <w:spacing w:val="8"/>
        </w:rPr>
        <w:t>充电运行状态下，</w:t>
      </w:r>
      <w:r>
        <w:rPr>
          <w:spacing w:val="-52"/>
        </w:rPr>
        <w:t xml:space="preserve"> </w:t>
      </w:r>
      <w:r>
        <w:rPr>
          <w:spacing w:val="8"/>
        </w:rPr>
        <w:t>出现输出过流故障，交流充电桩</w:t>
      </w:r>
      <w:r>
        <w:rPr>
          <w:spacing w:val="7"/>
        </w:rPr>
        <w:t>应立即切断输出电源。</w:t>
      </w:r>
    </w:p>
    <w:p>
      <w:pPr>
        <w:pStyle w:val="BodyText"/>
        <w:spacing w:before="225" w:line="225" w:lineRule="auto"/>
      </w:pPr>
      <w:r>
        <w:rPr>
          <w:rFonts w:ascii="SimHei" w:eastAsia="SimHei" w:hAnsi="SimHei" w:cs="SimHei"/>
          <w:spacing w:val="3"/>
        </w:rPr>
        <w:t>5.3.2</w:t>
      </w:r>
      <w:r>
        <w:rPr>
          <w:rFonts w:ascii="SimHei" w:eastAsia="SimHei" w:hAnsi="SimHei" w:cs="SimHei"/>
          <w:spacing w:val="21"/>
        </w:rPr>
        <w:t xml:space="preserve">  </w:t>
      </w:r>
      <w:r>
        <w:rPr>
          <w:spacing w:val="3"/>
        </w:rPr>
        <w:t>急停功能</w:t>
      </w:r>
    </w:p>
    <w:p>
      <w:pPr>
        <w:pStyle w:val="BodyText"/>
        <w:spacing w:before="223" w:line="256" w:lineRule="auto"/>
        <w:ind w:left="7" w:firstLine="422"/>
      </w:pPr>
      <w:r>
        <w:rPr>
          <w:spacing w:val="9"/>
        </w:rPr>
        <w:t>应安装急停装置来切断交流充电桩和电动汽车之间的联系，以防电击、起火或爆炸。并具备防止误操</w:t>
      </w:r>
      <w:r>
        <w:rPr>
          <w:spacing w:val="8"/>
        </w:rPr>
        <w:t xml:space="preserve"> </w:t>
      </w:r>
      <w:r>
        <w:rPr>
          <w:spacing w:val="5"/>
        </w:rPr>
        <w:t>作的措施。</w:t>
      </w:r>
    </w:p>
    <w:p>
      <w:pPr>
        <w:pStyle w:val="BodyText"/>
        <w:spacing w:before="226" w:line="224" w:lineRule="auto"/>
      </w:pPr>
      <w:r>
        <w:rPr>
          <w:rFonts w:ascii="SimHei" w:eastAsia="SimHei" w:hAnsi="SimHei" w:cs="SimHei"/>
          <w:spacing w:val="7"/>
        </w:rPr>
        <w:t>5.3.3</w:t>
      </w:r>
      <w:r>
        <w:rPr>
          <w:rFonts w:ascii="SimHei" w:eastAsia="SimHei" w:hAnsi="SimHei" w:cs="SimHei"/>
          <w:spacing w:val="7"/>
        </w:rPr>
        <w:t xml:space="preserve">  </w:t>
      </w:r>
      <w:r>
        <w:rPr>
          <w:spacing w:val="7"/>
        </w:rPr>
        <w:t>输出短路保护</w:t>
      </w:r>
    </w:p>
    <w:p>
      <w:pPr>
        <w:pStyle w:val="BodyText"/>
        <w:spacing w:before="223" w:line="226" w:lineRule="auto"/>
        <w:ind w:left="429"/>
      </w:pPr>
      <w:r>
        <w:rPr>
          <w:spacing w:val="8"/>
        </w:rPr>
        <w:t>充电运行状态下，</w:t>
      </w:r>
      <w:r>
        <w:rPr>
          <w:spacing w:val="-49"/>
        </w:rPr>
        <w:t xml:space="preserve"> </w:t>
      </w:r>
      <w:r>
        <w:rPr>
          <w:spacing w:val="8"/>
        </w:rPr>
        <w:t>出现输出短路故障，交流充电桩应立即切断输出电源并发出告警提示。</w:t>
      </w:r>
    </w:p>
    <w:p>
      <w:pPr>
        <w:pStyle w:val="BodyText"/>
        <w:spacing w:before="226" w:line="223" w:lineRule="auto"/>
      </w:pPr>
      <w:r>
        <w:rPr>
          <w:rFonts w:ascii="SimHei" w:eastAsia="SimHei" w:hAnsi="SimHei" w:cs="SimHei"/>
          <w:spacing w:val="5"/>
        </w:rPr>
        <w:t>5.3.4</w:t>
      </w:r>
      <w:r>
        <w:rPr>
          <w:rFonts w:ascii="SimHei" w:eastAsia="SimHei" w:hAnsi="SimHei" w:cs="SimHei"/>
          <w:spacing w:val="17"/>
        </w:rPr>
        <w:t xml:space="preserve">  </w:t>
      </w:r>
      <w:r>
        <w:rPr>
          <w:spacing w:val="5"/>
        </w:rPr>
        <w:t>带载分合电路</w:t>
      </w:r>
    </w:p>
    <w:p>
      <w:pPr>
        <w:pStyle w:val="BodyText"/>
        <w:spacing w:before="227" w:line="223" w:lineRule="auto"/>
        <w:ind w:left="221"/>
      </w:pPr>
      <w:r>
        <w:rPr>
          <w:spacing w:val="9"/>
        </w:rPr>
        <w:t>带载分合电路时，应能正常工作。不应出现损坏、死机、</w:t>
      </w:r>
      <w:r>
        <w:rPr>
          <w:spacing w:val="8"/>
        </w:rPr>
        <w:t>复位的现象。</w:t>
      </w:r>
    </w:p>
    <w:p>
      <w:pPr>
        <w:pStyle w:val="BodyText"/>
        <w:spacing w:before="225" w:line="225" w:lineRule="auto"/>
        <w:sectPr>
          <w:footerReference w:type="default" r:id="rId14"/>
          <w:pgSz w:w="11906" w:h="16839"/>
          <w:pgMar w:top="1431" w:right="1134" w:bottom="1312" w:left="1136" w:header="0" w:footer="1134" w:gutter="0"/>
          <w:pgNumType w:start="11"/>
          <w:cols w:space="708"/>
        </w:sectPr>
      </w:pPr>
      <w:r>
        <w:rPr>
          <w:rFonts w:ascii="SimHei" w:eastAsia="SimHei" w:hAnsi="SimHei" w:cs="SimHei"/>
          <w:spacing w:val="4"/>
        </w:rPr>
        <w:t>5.4</w:t>
      </w:r>
      <w:r>
        <w:rPr>
          <w:rFonts w:ascii="SimHei" w:eastAsia="SimHei" w:hAnsi="SimHei" w:cs="SimHei"/>
          <w:spacing w:val="15"/>
        </w:rPr>
        <w:t xml:space="preserve">  </w:t>
      </w:r>
      <w:r>
        <w:rPr>
          <w:spacing w:val="4"/>
        </w:rPr>
        <w:t>系统功能</w:t>
      </w:r>
    </w:p>
    <w:p>
      <w:pPr>
        <w:pStyle w:val="BodyText"/>
        <w:spacing w:before="225" w:line="225" w:lineRule="auto"/>
      </w:pPr>
      <w:r>
        <w:rPr>
          <w:rFonts w:ascii="SimHei" w:eastAsia="SimHei" w:hAnsi="SimHei" w:cs="SimHei"/>
          <w:spacing w:val="4"/>
        </w:rPr>
        <w:t>5.4.1</w:t>
      </w:r>
      <w:r>
        <w:rPr>
          <w:rFonts w:ascii="SimHei" w:eastAsia="SimHei" w:hAnsi="SimHei" w:cs="SimHei"/>
          <w:spacing w:val="17"/>
        </w:rPr>
        <w:t xml:space="preserve">  </w:t>
      </w:r>
      <w:r>
        <w:rPr>
          <w:spacing w:val="4"/>
        </w:rPr>
        <w:t>显示功能</w:t>
      </w:r>
    </w:p>
    <w:p>
      <w:pPr>
        <w:pStyle w:val="BodyText"/>
        <w:spacing w:before="224" w:line="468" w:lineRule="exact"/>
        <w:ind w:left="224"/>
      </w:pPr>
      <w:r>
        <w:rPr>
          <w:spacing w:val="8"/>
          <w:position w:val="20"/>
        </w:rPr>
        <w:t>能显示相关信息，显示字符清晰、完整、没有缺损。</w:t>
      </w:r>
    </w:p>
    <w:p>
      <w:pPr>
        <w:pStyle w:val="BodyText"/>
        <w:spacing w:line="226" w:lineRule="auto"/>
      </w:pPr>
      <w:r>
        <w:rPr>
          <w:rFonts w:ascii="SimHei" w:eastAsia="SimHei" w:hAnsi="SimHei" w:cs="SimHei"/>
          <w:spacing w:val="5"/>
        </w:rPr>
        <w:t>5.4.2</w:t>
      </w:r>
      <w:r>
        <w:rPr>
          <w:rFonts w:ascii="SimHei" w:eastAsia="SimHei" w:hAnsi="SimHei" w:cs="SimHei"/>
          <w:spacing w:val="17"/>
        </w:rPr>
        <w:t xml:space="preserve">  </w:t>
      </w:r>
      <w:r>
        <w:rPr>
          <w:spacing w:val="5"/>
        </w:rPr>
        <w:t>充电设定方式</w:t>
      </w:r>
    </w:p>
    <w:p>
      <w:pPr>
        <w:pStyle w:val="BodyText"/>
        <w:spacing w:before="223" w:line="224" w:lineRule="auto"/>
        <w:ind w:left="211"/>
      </w:pPr>
      <w:r>
        <w:rPr>
          <w:spacing w:val="8"/>
        </w:rPr>
        <w:t>充电设定方式应具有自动和手动两种充电模式：</w:t>
      </w:r>
    </w:p>
    <w:p>
      <w:pPr>
        <w:spacing w:line="224" w:lineRule="auto"/>
        <w:sectPr>
          <w:footerReference w:type="default" r:id="rId15"/>
          <w:type w:val="nextPage"/>
          <w:pgSz w:w="11906" w:h="16839"/>
          <w:pgMar w:top="1431" w:right="1134" w:bottom="1312" w:left="1136" w:header="0" w:footer="1134" w:gutter="0"/>
          <w:pgNumType w:start="12"/>
          <w:cols w:space="708"/>
          <w:titlePg w:val="0"/>
        </w:sectPr>
      </w:pPr>
    </w:p>
    <w:p>
      <w:pPr>
        <w:pStyle w:val="BodyText"/>
        <w:spacing w:before="41" w:line="227" w:lineRule="auto"/>
        <w:ind w:left="425"/>
      </w:pPr>
      <w:r>
        <w:rPr>
          <w:rFonts w:ascii="SimSun" w:eastAsia="SimSun" w:hAnsi="SimSun" w:cs="SimSun"/>
          <w:spacing w:val="1"/>
        </w:rPr>
        <w:t>a)</w:t>
      </w:r>
      <w:r>
        <w:rPr>
          <w:rFonts w:ascii="SimSun" w:eastAsia="SimSun" w:hAnsi="SimSun" w:cs="SimSun"/>
          <w:spacing w:val="29"/>
        </w:rPr>
        <w:t xml:space="preserve">  </w:t>
      </w:r>
      <w:r>
        <w:rPr>
          <w:spacing w:val="1"/>
        </w:rPr>
        <w:t>自动设定方式：</w:t>
      </w:r>
    </w:p>
    <w:p>
      <w:pPr>
        <w:pStyle w:val="BodyText"/>
        <w:spacing w:before="67" w:line="257" w:lineRule="auto"/>
        <w:ind w:left="29" w:right="1" w:firstLine="808"/>
      </w:pPr>
      <w:r>
        <w:rPr>
          <w:spacing w:val="9"/>
        </w:rPr>
        <w:t>在充电过程中，充电桩依据蓄电池管理系统提供的数据动态调整充电参数，执行相应动作完成充</w:t>
      </w:r>
      <w:r>
        <w:rPr>
          <w:spacing w:val="18"/>
        </w:rPr>
        <w:t xml:space="preserve"> </w:t>
      </w:r>
      <w:r>
        <w:rPr>
          <w:spacing w:val="-1"/>
        </w:rPr>
        <w:t>电过程。</w:t>
      </w:r>
    </w:p>
    <w:p>
      <w:pPr>
        <w:pStyle w:val="BodyText"/>
        <w:spacing w:before="66" w:line="227" w:lineRule="auto"/>
        <w:ind w:left="421"/>
      </w:pPr>
      <w:r>
        <w:rPr>
          <w:rFonts w:ascii="SimSun" w:eastAsia="SimSun" w:hAnsi="SimSun" w:cs="SimSun"/>
          <w:spacing w:val="5"/>
        </w:rPr>
        <w:t>b)</w:t>
      </w:r>
      <w:r>
        <w:rPr>
          <w:rFonts w:ascii="SimSun" w:eastAsia="SimSun" w:hAnsi="SimSun" w:cs="SimSun"/>
          <w:spacing w:val="13"/>
        </w:rPr>
        <w:t xml:space="preserve">  </w:t>
      </w:r>
      <w:r>
        <w:rPr>
          <w:spacing w:val="5"/>
        </w:rPr>
        <w:t>手动设定方式：</w:t>
      </w:r>
    </w:p>
    <w:p>
      <w:pPr>
        <w:pStyle w:val="BodyText"/>
        <w:spacing w:before="66" w:line="256" w:lineRule="auto"/>
        <w:ind w:left="4" w:right="1" w:firstLine="650"/>
      </w:pPr>
      <w:r>
        <w:rPr>
          <w:spacing w:val="9"/>
        </w:rPr>
        <w:t>由操作人员手动设置充电参数，充电桩根据设定参数执行相应操作，充电桩应能</w:t>
      </w:r>
      <w:r>
        <w:rPr>
          <w:spacing w:val="8"/>
        </w:rPr>
        <w:t>正确响应。充电桩</w:t>
      </w:r>
      <w:r>
        <w:t xml:space="preserve"> </w:t>
      </w:r>
      <w:r>
        <w:rPr>
          <w:spacing w:val="9"/>
        </w:rPr>
        <w:t>采用手动设定方式时，应具有明确的操作指示信息。</w:t>
      </w:r>
    </w:p>
    <w:p>
      <w:pPr>
        <w:pStyle w:val="BodyText"/>
        <w:spacing w:before="225" w:line="225" w:lineRule="auto"/>
      </w:pPr>
      <w:r>
        <w:rPr>
          <w:rFonts w:ascii="SimHei" w:eastAsia="SimHei" w:hAnsi="SimHei" w:cs="SimHei"/>
          <w:spacing w:val="5"/>
        </w:rPr>
        <w:t>5.4.3</w:t>
      </w:r>
      <w:r>
        <w:rPr>
          <w:rFonts w:ascii="SimHei" w:eastAsia="SimHei" w:hAnsi="SimHei" w:cs="SimHei"/>
          <w:spacing w:val="12"/>
        </w:rPr>
        <w:t xml:space="preserve">  </w:t>
      </w:r>
      <w:r>
        <w:rPr>
          <w:spacing w:val="5"/>
        </w:rPr>
        <w:t>通信功能</w:t>
      </w:r>
    </w:p>
    <w:p>
      <w:pPr>
        <w:pStyle w:val="BodyText"/>
        <w:spacing w:before="225" w:line="256" w:lineRule="auto"/>
        <w:ind w:left="17" w:right="3" w:firstLine="193"/>
      </w:pPr>
      <w:r>
        <w:rPr>
          <w:spacing w:val="9"/>
        </w:rPr>
        <w:t>应采用数字通信以实现车辆对电动汽车充电桩的控制，在充电过程中，应随时响应上级监控系统数据召</w:t>
      </w:r>
      <w:r>
        <w:rPr>
          <w:spacing w:val="15"/>
        </w:rPr>
        <w:t xml:space="preserve"> </w:t>
      </w:r>
      <w:r>
        <w:rPr>
          <w:spacing w:val="8"/>
        </w:rPr>
        <w:t>唤和远程控制，及时获得充电参数和充电实时数据。</w:t>
      </w:r>
    </w:p>
    <w:p>
      <w:pPr>
        <w:pStyle w:val="BodyText"/>
        <w:spacing w:before="224" w:line="225" w:lineRule="auto"/>
      </w:pPr>
      <w:r>
        <w:rPr>
          <w:rFonts w:ascii="SimHei" w:eastAsia="SimHei" w:hAnsi="SimHei" w:cs="SimHei"/>
          <w:spacing w:val="5"/>
        </w:rPr>
        <w:t>5.4.4</w:t>
      </w:r>
      <w:r>
        <w:rPr>
          <w:rFonts w:ascii="SimHei" w:eastAsia="SimHei" w:hAnsi="SimHei" w:cs="SimHei"/>
          <w:spacing w:val="12"/>
        </w:rPr>
        <w:t xml:space="preserve">  </w:t>
      </w:r>
      <w:r>
        <w:rPr>
          <w:spacing w:val="5"/>
        </w:rPr>
        <w:t>计量功能</w:t>
      </w:r>
    </w:p>
    <w:p>
      <w:pPr>
        <w:pStyle w:val="BodyText"/>
        <w:spacing w:before="224" w:line="257" w:lineRule="auto"/>
        <w:ind w:left="17" w:firstLine="203"/>
      </w:pPr>
      <w:r>
        <w:rPr>
          <w:spacing w:val="5"/>
        </w:rPr>
        <w:t>带电能计量功能的交流充电桩。对照电能表采集的数据和充电桩的显</w:t>
      </w:r>
      <w:r>
        <w:rPr>
          <w:spacing w:val="4"/>
        </w:rPr>
        <w:t>示数据，计量数据应一致。符合</w:t>
      </w:r>
      <w:r>
        <w:t>GB</w:t>
      </w:r>
      <w:r>
        <w:rPr>
          <w:spacing w:val="4"/>
        </w:rPr>
        <w:t>/T</w:t>
      </w:r>
      <w:r>
        <w:t xml:space="preserve"> </w:t>
      </w:r>
      <w:r>
        <w:rPr>
          <w:spacing w:val="5"/>
        </w:rPr>
        <w:t>18487.1-2015中10.2.5</w:t>
      </w:r>
      <w:r>
        <w:rPr>
          <w:spacing w:val="4"/>
        </w:rPr>
        <w:t>条的要求。</w:t>
      </w:r>
    </w:p>
    <w:p>
      <w:pPr>
        <w:pStyle w:val="BodyText"/>
        <w:spacing w:before="224" w:line="223" w:lineRule="auto"/>
      </w:pPr>
      <w:r>
        <w:rPr>
          <w:rFonts w:ascii="SimHei" w:eastAsia="SimHei" w:hAnsi="SimHei" w:cs="SimHei"/>
          <w:spacing w:val="7"/>
        </w:rPr>
        <w:t>5.4.5</w:t>
      </w:r>
      <w:r>
        <w:rPr>
          <w:rFonts w:ascii="SimHei" w:eastAsia="SimHei" w:hAnsi="SimHei" w:cs="SimHei"/>
          <w:spacing w:val="7"/>
        </w:rPr>
        <w:t xml:space="preserve">  </w:t>
      </w:r>
      <w:r>
        <w:rPr>
          <w:spacing w:val="7"/>
        </w:rPr>
        <w:t>充电接口兼容性</w:t>
      </w:r>
    </w:p>
    <w:p>
      <w:pPr>
        <w:pStyle w:val="BodyText"/>
        <w:spacing w:before="226" w:line="468" w:lineRule="exact"/>
        <w:ind w:left="432"/>
      </w:pPr>
      <w:r>
        <w:rPr>
          <w:spacing w:val="7"/>
          <w:position w:val="20"/>
        </w:rPr>
        <w:t>交流充电接口兼容性应满足</w:t>
      </w:r>
      <w:r>
        <w:rPr>
          <w:position w:val="20"/>
        </w:rPr>
        <w:t>GB</w:t>
      </w:r>
      <w:r>
        <w:rPr>
          <w:spacing w:val="7"/>
          <w:position w:val="20"/>
        </w:rPr>
        <w:t>/T</w:t>
      </w:r>
      <w:r>
        <w:rPr>
          <w:spacing w:val="7"/>
          <w:position w:val="20"/>
        </w:rPr>
        <w:t xml:space="preserve"> </w:t>
      </w:r>
      <w:r>
        <w:rPr>
          <w:spacing w:val="7"/>
          <w:position w:val="20"/>
        </w:rPr>
        <w:t>20234.2的规定。</w:t>
      </w:r>
    </w:p>
    <w:p>
      <w:pPr>
        <w:pStyle w:val="BodyText"/>
        <w:spacing w:before="1" w:line="224" w:lineRule="auto"/>
      </w:pPr>
      <w:r>
        <w:rPr>
          <w:rFonts w:ascii="SimHei" w:eastAsia="SimHei" w:hAnsi="SimHei" w:cs="SimHei"/>
          <w:spacing w:val="7"/>
        </w:rPr>
        <w:t>5.4.6</w:t>
      </w:r>
      <w:r>
        <w:rPr>
          <w:rFonts w:ascii="SimHei" w:eastAsia="SimHei" w:hAnsi="SimHei" w:cs="SimHei"/>
          <w:spacing w:val="7"/>
        </w:rPr>
        <w:t xml:space="preserve">  </w:t>
      </w:r>
      <w:r>
        <w:rPr>
          <w:spacing w:val="7"/>
        </w:rPr>
        <w:t>控制导引功能</w:t>
      </w:r>
    </w:p>
    <w:p>
      <w:pPr>
        <w:pStyle w:val="BodyText"/>
        <w:spacing w:before="225" w:line="468" w:lineRule="exact"/>
        <w:ind w:left="432"/>
      </w:pPr>
      <w:r>
        <w:rPr>
          <w:spacing w:val="7"/>
          <w:position w:val="20"/>
        </w:rPr>
        <w:t>交流充电控制导引应满足</w:t>
      </w:r>
      <w:r>
        <w:rPr>
          <w:position w:val="20"/>
        </w:rPr>
        <w:t>GB</w:t>
      </w:r>
      <w:r>
        <w:rPr>
          <w:spacing w:val="7"/>
          <w:position w:val="20"/>
        </w:rPr>
        <w:t>/T</w:t>
      </w:r>
      <w:r>
        <w:rPr>
          <w:spacing w:val="7"/>
          <w:position w:val="20"/>
        </w:rPr>
        <w:t xml:space="preserve"> </w:t>
      </w:r>
      <w:r>
        <w:rPr>
          <w:spacing w:val="7"/>
          <w:position w:val="20"/>
        </w:rPr>
        <w:t>18487.1-2015的规定</w:t>
      </w:r>
    </w:p>
    <w:p>
      <w:pPr>
        <w:pStyle w:val="BodyText"/>
        <w:spacing w:line="223" w:lineRule="auto"/>
      </w:pPr>
      <w:r>
        <w:rPr>
          <w:rFonts w:ascii="SimHei" w:eastAsia="SimHei" w:hAnsi="SimHei" w:cs="SimHei"/>
          <w:spacing w:val="3"/>
        </w:rPr>
        <w:t>5.5</w:t>
      </w:r>
      <w:r>
        <w:rPr>
          <w:rFonts w:ascii="SimHei" w:eastAsia="SimHei" w:hAnsi="SimHei" w:cs="SimHei"/>
          <w:spacing w:val="23"/>
        </w:rPr>
        <w:t xml:space="preserve">  </w:t>
      </w:r>
      <w:r>
        <w:rPr>
          <w:spacing w:val="3"/>
        </w:rPr>
        <w:t>电磁兼容性</w:t>
      </w:r>
    </w:p>
    <w:p>
      <w:pPr>
        <w:pStyle w:val="BodyText"/>
        <w:spacing w:before="226" w:line="225" w:lineRule="auto"/>
      </w:pPr>
      <w:r>
        <w:rPr>
          <w:rFonts w:ascii="SimHei" w:eastAsia="SimHei" w:hAnsi="SimHei" w:cs="SimHei"/>
          <w:spacing w:val="6"/>
        </w:rPr>
        <w:t>5.5.1</w:t>
      </w:r>
      <w:r>
        <w:rPr>
          <w:rFonts w:ascii="SimHei" w:eastAsia="SimHei" w:hAnsi="SimHei" w:cs="SimHei"/>
          <w:spacing w:val="6"/>
        </w:rPr>
        <w:t xml:space="preserve">  </w:t>
      </w:r>
      <w:r>
        <w:rPr>
          <w:spacing w:val="6"/>
        </w:rPr>
        <w:t>抗扰度要求</w:t>
      </w:r>
    </w:p>
    <w:p>
      <w:pPr>
        <w:pStyle w:val="BodyText"/>
        <w:spacing w:before="224" w:line="226" w:lineRule="auto"/>
      </w:pPr>
      <w:hyperlink r:id="rId16" w:history="1">
        <w:r>
          <w:rPr>
            <w:rFonts w:ascii="SimHei" w:eastAsia="SimHei" w:hAnsi="SimHei" w:cs="SimHei"/>
            <w:spacing w:val="6"/>
          </w:rPr>
          <w:t>5.5.1.1</w:t>
        </w:r>
      </w:hyperlink>
      <w:r>
        <w:rPr>
          <w:rFonts w:ascii="SimHei" w:eastAsia="SimHei" w:hAnsi="SimHei" w:cs="SimHei"/>
          <w:spacing w:val="6"/>
        </w:rPr>
        <w:t xml:space="preserve">  </w:t>
      </w:r>
      <w:r>
        <w:rPr>
          <w:spacing w:val="6"/>
        </w:rPr>
        <w:t>静电放电抗扰度</w:t>
      </w:r>
    </w:p>
    <w:p>
      <w:pPr>
        <w:pStyle w:val="BodyText"/>
        <w:spacing w:before="223" w:line="468" w:lineRule="exact"/>
        <w:ind w:left="429"/>
      </w:pPr>
      <w:r>
        <w:rPr>
          <w:spacing w:val="8"/>
          <w:position w:val="20"/>
        </w:rPr>
        <w:t>应能承受</w:t>
      </w:r>
      <w:r>
        <w:rPr>
          <w:position w:val="20"/>
        </w:rPr>
        <w:t>GB</w:t>
      </w:r>
      <w:r>
        <w:rPr>
          <w:spacing w:val="8"/>
          <w:position w:val="20"/>
        </w:rPr>
        <w:t>/T</w:t>
      </w:r>
      <w:r>
        <w:rPr>
          <w:spacing w:val="8"/>
          <w:position w:val="20"/>
        </w:rPr>
        <w:t xml:space="preserve"> </w:t>
      </w:r>
      <w:r>
        <w:rPr>
          <w:spacing w:val="8"/>
          <w:position w:val="20"/>
        </w:rPr>
        <w:t>17626.2中规定的试验等级为3级的静电放电抗扰度试验。</w:t>
      </w:r>
    </w:p>
    <w:p>
      <w:pPr>
        <w:pStyle w:val="BodyText"/>
        <w:spacing w:before="1" w:line="223" w:lineRule="auto"/>
      </w:pPr>
      <w:hyperlink r:id="rId17" w:history="1">
        <w:r>
          <w:rPr>
            <w:rFonts w:ascii="SimHei" w:eastAsia="SimHei" w:hAnsi="SimHei" w:cs="SimHei"/>
            <w:spacing w:val="7"/>
          </w:rPr>
          <w:t>5.5.1.2</w:t>
        </w:r>
      </w:hyperlink>
      <w:r>
        <w:rPr>
          <w:rFonts w:ascii="SimHei" w:eastAsia="SimHei" w:hAnsi="SimHei" w:cs="SimHei"/>
          <w:spacing w:val="7"/>
        </w:rPr>
        <w:t xml:space="preserve">  </w:t>
      </w:r>
      <w:r>
        <w:rPr>
          <w:spacing w:val="7"/>
        </w:rPr>
        <w:t>射频电磁场辐射抗扰度</w:t>
      </w:r>
    </w:p>
    <w:p>
      <w:pPr>
        <w:pStyle w:val="BodyText"/>
        <w:spacing w:before="226" w:line="468" w:lineRule="exact"/>
        <w:ind w:left="429"/>
      </w:pPr>
      <w:r>
        <w:rPr>
          <w:spacing w:val="8"/>
          <w:position w:val="20"/>
        </w:rPr>
        <w:t>应能承受</w:t>
      </w:r>
      <w:r>
        <w:rPr>
          <w:position w:val="20"/>
        </w:rPr>
        <w:t>GB</w:t>
      </w:r>
      <w:r>
        <w:rPr>
          <w:spacing w:val="8"/>
          <w:position w:val="20"/>
        </w:rPr>
        <w:t>/T</w:t>
      </w:r>
      <w:r>
        <w:rPr>
          <w:spacing w:val="8"/>
          <w:position w:val="20"/>
        </w:rPr>
        <w:t xml:space="preserve"> </w:t>
      </w:r>
      <w:r>
        <w:rPr>
          <w:spacing w:val="8"/>
          <w:position w:val="20"/>
        </w:rPr>
        <w:t>17626.3中规定的试验等级为3级的射频电磁场辐射抗扰度试验。</w:t>
      </w:r>
    </w:p>
    <w:p>
      <w:pPr>
        <w:pStyle w:val="BodyText"/>
        <w:spacing w:line="225" w:lineRule="auto"/>
      </w:pPr>
      <w:hyperlink r:id="rId18" w:history="1">
        <w:r>
          <w:rPr>
            <w:rFonts w:ascii="SimHei" w:eastAsia="SimHei" w:hAnsi="SimHei" w:cs="SimHei"/>
            <w:spacing w:val="6"/>
          </w:rPr>
          <w:t>5.5.1.3</w:t>
        </w:r>
      </w:hyperlink>
      <w:r>
        <w:rPr>
          <w:rFonts w:ascii="SimHei" w:eastAsia="SimHei" w:hAnsi="SimHei" w:cs="SimHei"/>
          <w:spacing w:val="21"/>
        </w:rPr>
        <w:t xml:space="preserve">  </w:t>
      </w:r>
      <w:r>
        <w:rPr>
          <w:spacing w:val="6"/>
        </w:rPr>
        <w:t>电快速暖变脉冲群抗扰度</w:t>
      </w:r>
    </w:p>
    <w:p>
      <w:pPr>
        <w:pStyle w:val="BodyText"/>
        <w:spacing w:before="224" w:line="225" w:lineRule="auto"/>
        <w:ind w:left="429"/>
      </w:pPr>
      <w:r>
        <w:rPr>
          <w:spacing w:val="8"/>
        </w:rPr>
        <w:t>应能承受</w:t>
      </w:r>
      <w:r>
        <w:t>GB</w:t>
      </w:r>
      <w:r>
        <w:rPr>
          <w:spacing w:val="8"/>
        </w:rPr>
        <w:t>/T</w:t>
      </w:r>
      <w:r>
        <w:rPr>
          <w:spacing w:val="8"/>
        </w:rPr>
        <w:t xml:space="preserve"> </w:t>
      </w:r>
      <w:r>
        <w:rPr>
          <w:spacing w:val="8"/>
        </w:rPr>
        <w:t>17626.4中规定的试验等级为3级的电快速瞬变脉冲群抗扰度试验。</w:t>
      </w:r>
    </w:p>
    <w:p>
      <w:pPr>
        <w:pStyle w:val="BodyText"/>
        <w:spacing w:before="224" w:line="225" w:lineRule="auto"/>
      </w:pPr>
      <w:hyperlink r:id="rId19" w:history="1">
        <w:r>
          <w:rPr>
            <w:rFonts w:ascii="SimHei" w:eastAsia="SimHei" w:hAnsi="SimHei" w:cs="SimHei"/>
            <w:spacing w:val="6"/>
          </w:rPr>
          <w:t>5.5.1.4</w:t>
        </w:r>
      </w:hyperlink>
      <w:r>
        <w:rPr>
          <w:rFonts w:ascii="SimHei" w:eastAsia="SimHei" w:hAnsi="SimHei" w:cs="SimHei"/>
          <w:spacing w:val="6"/>
        </w:rPr>
        <w:t xml:space="preserve">  </w:t>
      </w:r>
      <w:r>
        <w:rPr>
          <w:spacing w:val="6"/>
        </w:rPr>
        <w:t>浪涌(冲击)抗扰度</w:t>
      </w:r>
    </w:p>
    <w:p>
      <w:pPr>
        <w:pStyle w:val="BodyText"/>
        <w:spacing w:before="225" w:line="468" w:lineRule="exact"/>
        <w:ind w:left="211"/>
      </w:pPr>
      <w:r>
        <w:rPr>
          <w:spacing w:val="8"/>
          <w:position w:val="20"/>
        </w:rPr>
        <w:t>应能承受</w:t>
      </w:r>
      <w:r>
        <w:rPr>
          <w:position w:val="20"/>
        </w:rPr>
        <w:t>GB</w:t>
      </w:r>
      <w:r>
        <w:rPr>
          <w:spacing w:val="8"/>
          <w:position w:val="20"/>
        </w:rPr>
        <w:t>/T</w:t>
      </w:r>
      <w:r>
        <w:rPr>
          <w:spacing w:val="8"/>
          <w:position w:val="20"/>
        </w:rPr>
        <w:t xml:space="preserve"> </w:t>
      </w:r>
      <w:r>
        <w:rPr>
          <w:spacing w:val="8"/>
          <w:position w:val="20"/>
        </w:rPr>
        <w:t>17626.5中规定的试验等级为3级的浪涌(冲击)抗扰度试验</w:t>
      </w:r>
    </w:p>
    <w:p>
      <w:pPr>
        <w:pStyle w:val="BodyText"/>
        <w:spacing w:line="226" w:lineRule="auto"/>
      </w:pPr>
      <w:hyperlink r:id="rId20" w:history="1">
        <w:r>
          <w:rPr>
            <w:rFonts w:ascii="SimHei" w:eastAsia="SimHei" w:hAnsi="SimHei" w:cs="SimHei"/>
            <w:spacing w:val="7"/>
          </w:rPr>
          <w:t>5.5.1.5</w:t>
        </w:r>
      </w:hyperlink>
      <w:r>
        <w:rPr>
          <w:rFonts w:ascii="SimHei" w:eastAsia="SimHei" w:hAnsi="SimHei" w:cs="SimHei"/>
          <w:spacing w:val="7"/>
        </w:rPr>
        <w:t xml:space="preserve">  </w:t>
      </w:r>
      <w:r>
        <w:rPr>
          <w:spacing w:val="7"/>
        </w:rPr>
        <w:t>射频场感应的传导骚扰抗扰度</w:t>
      </w:r>
    </w:p>
    <w:p>
      <w:pPr>
        <w:pStyle w:val="BodyText"/>
        <w:spacing w:before="223" w:line="468" w:lineRule="exact"/>
        <w:ind w:left="211"/>
      </w:pPr>
      <w:r>
        <w:rPr>
          <w:spacing w:val="8"/>
          <w:position w:val="20"/>
        </w:rPr>
        <w:t>应能承受</w:t>
      </w:r>
      <w:r>
        <w:rPr>
          <w:position w:val="20"/>
        </w:rPr>
        <w:t>GB</w:t>
      </w:r>
      <w:r>
        <w:rPr>
          <w:spacing w:val="8"/>
          <w:position w:val="20"/>
        </w:rPr>
        <w:t>/T</w:t>
      </w:r>
      <w:r>
        <w:rPr>
          <w:spacing w:val="8"/>
          <w:position w:val="20"/>
        </w:rPr>
        <w:t xml:space="preserve"> </w:t>
      </w:r>
      <w:r>
        <w:rPr>
          <w:spacing w:val="8"/>
          <w:position w:val="20"/>
        </w:rPr>
        <w:t>17626.6规定的试验等级为3级的感应传导骚扰抗扰度试验</w:t>
      </w:r>
    </w:p>
    <w:p>
      <w:pPr>
        <w:pStyle w:val="BodyText"/>
        <w:spacing w:line="225" w:lineRule="auto"/>
      </w:pPr>
      <w:r>
        <w:rPr>
          <w:rFonts w:ascii="SimHei" w:eastAsia="SimHei" w:hAnsi="SimHei" w:cs="SimHei"/>
          <w:spacing w:val="6"/>
        </w:rPr>
        <w:t>5.5.2</w:t>
      </w:r>
      <w:r>
        <w:rPr>
          <w:rFonts w:ascii="SimHei" w:eastAsia="SimHei" w:hAnsi="SimHei" w:cs="SimHei"/>
          <w:spacing w:val="14"/>
        </w:rPr>
        <w:t xml:space="preserve">  </w:t>
      </w:r>
      <w:r>
        <w:rPr>
          <w:spacing w:val="6"/>
        </w:rPr>
        <w:t>无线电骚扰限值</w:t>
      </w:r>
    </w:p>
    <w:p>
      <w:pPr>
        <w:pStyle w:val="BodyText"/>
        <w:spacing w:before="224" w:line="224" w:lineRule="auto"/>
      </w:pPr>
      <w:hyperlink r:id="rId21" w:history="1">
        <w:r>
          <w:rPr>
            <w:rFonts w:ascii="SimHei" w:eastAsia="SimHei" w:hAnsi="SimHei" w:cs="SimHei"/>
            <w:spacing w:val="6"/>
          </w:rPr>
          <w:t>5.5.2.1</w:t>
        </w:r>
      </w:hyperlink>
      <w:r>
        <w:rPr>
          <w:rFonts w:ascii="SimHei" w:eastAsia="SimHei" w:hAnsi="SimHei" w:cs="SimHei"/>
          <w:spacing w:val="6"/>
        </w:rPr>
        <w:t xml:space="preserve">  </w:t>
      </w:r>
      <w:r>
        <w:rPr>
          <w:spacing w:val="6"/>
        </w:rPr>
        <w:t>辐射骚扰限值</w:t>
      </w:r>
    </w:p>
    <w:p>
      <w:pPr>
        <w:pStyle w:val="BodyText"/>
        <w:spacing w:before="225" w:line="224" w:lineRule="auto"/>
        <w:ind w:left="204"/>
        <w:sectPr>
          <w:footerReference w:type="default" r:id="rId22"/>
          <w:pgSz w:w="11906" w:h="16839"/>
          <w:pgMar w:top="859" w:right="1133" w:bottom="1311" w:left="1136" w:header="0" w:footer="1134" w:gutter="0"/>
          <w:pgNumType w:start="13"/>
          <w:cols w:space="708"/>
        </w:sectPr>
      </w:pPr>
      <w:r>
        <w:rPr>
          <w:spacing w:val="8"/>
        </w:rPr>
        <w:t>辐射骚扰限值应符合表4规定的要求。</w:t>
      </w:r>
    </w:p>
    <w:p>
      <w:pPr>
        <w:pStyle w:val="BodyText"/>
        <w:spacing w:before="225" w:line="223" w:lineRule="auto"/>
        <w:ind w:left="2959"/>
      </w:pPr>
      <w:r>
        <w:rPr>
          <w:spacing w:val="5"/>
        </w:rPr>
        <w:t>表</w:t>
      </w:r>
      <w:r>
        <w:rPr>
          <w:spacing w:val="-26"/>
        </w:rPr>
        <w:t xml:space="preserve"> </w:t>
      </w:r>
      <w:r>
        <w:rPr>
          <w:spacing w:val="5"/>
        </w:rPr>
        <w:t>4</w:t>
      </w:r>
      <w:r>
        <w:rPr>
          <w:spacing w:val="5"/>
        </w:rPr>
        <w:t xml:space="preserve">  </w:t>
      </w:r>
      <w:r>
        <w:rPr>
          <w:spacing w:val="5"/>
        </w:rPr>
        <w:t>在</w:t>
      </w:r>
      <w:r>
        <w:rPr>
          <w:spacing w:val="-26"/>
        </w:rPr>
        <w:t xml:space="preserve"> </w:t>
      </w:r>
      <w:r>
        <w:rPr>
          <w:spacing w:val="5"/>
        </w:rPr>
        <w:t>10m</w:t>
      </w:r>
      <w:r>
        <w:rPr>
          <w:spacing w:val="-31"/>
        </w:rPr>
        <w:t xml:space="preserve"> </w:t>
      </w:r>
      <w:r>
        <w:rPr>
          <w:spacing w:val="5"/>
        </w:rPr>
        <w:t>测量距离处的辐射骚扰限值</w:t>
      </w:r>
    </w:p>
    <w:p>
      <w:pPr>
        <w:spacing w:line="175" w:lineRule="exact"/>
      </w:pPr>
    </w:p>
    <w:tbl>
      <w:tblPr>
        <w:tblStyle w:val="TableNormal4"/>
        <w:tblW w:w="9348"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4674"/>
        <w:gridCol w:w="4674"/>
      </w:tblGrid>
      <w:tr>
        <w:tblPrEx>
          <w:tblW w:w="9348" w:type="dxa"/>
          <w:tblInd w:w="14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31"/>
        </w:trPr>
        <w:tc>
          <w:tcPr>
            <w:tcW w:w="4674" w:type="dxa"/>
            <w:tcBorders>
              <w:right w:val="single" w:sz="2" w:space="0" w:color="000000"/>
            </w:tcBorders>
            <w:vAlign w:val="top"/>
          </w:tcPr>
          <w:p>
            <w:pPr>
              <w:pStyle w:val="TableText"/>
              <w:spacing w:before="56" w:line="312" w:lineRule="exact"/>
              <w:ind w:left="1932"/>
            </w:pPr>
            <w:r>
              <w:rPr>
                <w:spacing w:val="4"/>
                <w:position w:val="7"/>
              </w:rPr>
              <w:t>频率范围</w:t>
            </w:r>
          </w:p>
          <w:p>
            <w:pPr>
              <w:pStyle w:val="TableText"/>
              <w:spacing w:line="233" w:lineRule="auto"/>
              <w:ind w:left="2175"/>
            </w:pPr>
            <w:r>
              <w:rPr>
                <w:spacing w:val="4"/>
              </w:rPr>
              <w:t>MHz</w:t>
            </w:r>
          </w:p>
        </w:tc>
        <w:tc>
          <w:tcPr>
            <w:tcW w:w="4674" w:type="dxa"/>
            <w:tcBorders>
              <w:left w:val="single" w:sz="2" w:space="0" w:color="000000"/>
            </w:tcBorders>
            <w:vAlign w:val="top"/>
          </w:tcPr>
          <w:p>
            <w:pPr>
              <w:pStyle w:val="TableText"/>
              <w:spacing w:before="56" w:line="312" w:lineRule="exact"/>
              <w:ind w:left="1818"/>
            </w:pPr>
            <w:r>
              <w:rPr>
                <w:spacing w:val="7"/>
                <w:position w:val="7"/>
              </w:rPr>
              <w:t>准峰值限值</w:t>
            </w:r>
          </w:p>
          <w:p>
            <w:pPr>
              <w:pStyle w:val="TableText"/>
              <w:spacing w:line="226" w:lineRule="auto"/>
              <w:ind w:left="1764"/>
            </w:pPr>
            <w:r>
              <w:t>dB</w:t>
            </w:r>
            <w:r>
              <w:rPr>
                <w:spacing w:val="8"/>
              </w:rPr>
              <w:t>(</w:t>
            </w:r>
            <w:r>
              <w:rPr>
                <w:spacing w:val="14"/>
              </w:rPr>
              <w:t xml:space="preserve"> </w:t>
            </w:r>
            <w:r>
              <w:rPr>
                <w:spacing w:val="8"/>
              </w:rPr>
              <w:t>μV/m）</w:t>
            </w:r>
          </w:p>
        </w:tc>
      </w:tr>
    </w:tbl>
    <w:p>
      <w:pPr>
        <w:spacing w:line="121" w:lineRule="exact"/>
        <w:rPr>
          <w:rFonts w:ascii="Arial"/>
          <w:sz w:val="10"/>
        </w:rPr>
      </w:pPr>
    </w:p>
    <w:p>
      <w:pPr>
        <w:spacing w:line="121" w:lineRule="exact"/>
        <w:rPr>
          <w:rFonts w:ascii="Arial" w:eastAsia="Arial" w:hAnsi="Arial" w:cs="Arial"/>
          <w:sz w:val="10"/>
          <w:szCs w:val="10"/>
        </w:rPr>
      </w:pPr>
      <w:r>
        <w:rPr>
          <w:rFonts w:ascii="Arial" w:eastAsia="Arial" w:hAnsi="Arial" w:cs="Arial"/>
          <w:sz w:val="10"/>
          <w:szCs w:val="10"/>
        </w:rPr>
        <w:br/>
      </w:r>
      <w:r>
        <w:rPr>
          <w:rFonts w:ascii="Arial" w:eastAsia="Arial" w:hAnsi="Arial" w:cs="Arial"/>
          <w:sz w:val="10"/>
          <w:szCs w:val="1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3" w:history="1">
        <w:r>
          <w:rPr>
            <w:rFonts w:ascii="SimSun" w:eastAsia="SimSun" w:hAnsi="SimSun" w:cs="SimSun"/>
            <w:b/>
            <w:bCs/>
            <w:noProof w:val="0"/>
            <w:snapToGrid/>
            <w:color w:val="0000EE"/>
            <w:kern w:val="0"/>
            <w:sz w:val="30"/>
            <w:szCs w:val="30"/>
            <w:u w:val="single" w:color="0000EE"/>
          </w:rPr>
          <w:t>https://d.book118.com/788050023072006027</w:t>
        </w:r>
      </w:hyperlink>
    </w:p>
    <w:p>
      <w:pPr>
        <w:spacing w:line="121" w:lineRule="exact"/>
        <w:rPr>
          <w:rFonts w:ascii="Arial" w:eastAsia="Arial" w:hAnsi="Arial" w:cs="Arial"/>
          <w:sz w:val="10"/>
          <w:szCs w:val="10"/>
        </w:rPr>
      </w:pPr>
    </w:p>
    <w:sectPr>
      <w:footerReference w:type="default" r:id="rId24"/>
      <w:type w:val="nextPage"/>
      <w:pgSz w:w="11906" w:h="16839"/>
      <w:pgMar w:top="859" w:right="1133" w:bottom="1311" w:left="1136" w:header="0" w:footer="1134"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362"/>
      <w:rPr>
        <w:rFonts w:ascii="SimSun" w:eastAsia="SimSun" w:hAnsi="SimSun" w:cs="SimSun"/>
        <w:sz w:val="18"/>
        <w:szCs w:val="18"/>
      </w:rPr>
    </w:pPr>
    <w:r>
      <w:rPr>
        <w:rFonts w:ascii="SimSun" w:eastAsia="SimSun" w:hAnsi="SimSun" w:cs="SimSu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362"/>
      <w:rPr>
        <w:rFonts w:ascii="SimSun" w:eastAsia="SimSun" w:hAnsi="SimSun" w:cs="SimSun"/>
        <w:sz w:val="18"/>
        <w:szCs w:val="18"/>
      </w:rPr>
    </w:pPr>
    <w:r>
      <w:rPr>
        <w:rFonts w:ascii="SimSun" w:eastAsia="SimSun" w:hAnsi="SimSun" w:cs="SimSu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0"/>
      <w:rPr>
        <w:rFonts w:ascii="SimSun" w:eastAsia="SimSun" w:hAnsi="SimSun" w:cs="SimSun"/>
        <w:sz w:val="18"/>
        <w:szCs w:val="18"/>
      </w:rPr>
    </w:pPr>
    <w:r>
      <w:rPr>
        <w:rFonts w:ascii="SimSun" w:eastAsia="SimSun" w:hAnsi="SimSun" w:cs="SimSu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20"/>
      <w:rPr>
        <w:rFonts w:ascii="SimSun" w:eastAsia="SimSun" w:hAnsi="SimSun" w:cs="SimSun"/>
        <w:sz w:val="18"/>
        <w:szCs w:val="18"/>
      </w:rPr>
    </w:pPr>
    <w:r>
      <w:rPr>
        <w:rFonts w:ascii="SimSun" w:eastAsia="SimSun" w:hAnsi="SimSun" w:cs="SimSu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347"/>
      <w:rPr>
        <w:rFonts w:ascii="SimSun" w:eastAsia="SimSun" w:hAnsi="SimSun" w:cs="SimSun"/>
        <w:sz w:val="18"/>
        <w:szCs w:val="18"/>
      </w:rPr>
    </w:pPr>
    <w:r>
      <w:rPr>
        <w:rFonts w:ascii="SimSun" w:eastAsia="SimSun" w:hAnsi="SimSun" w:cs="SimSu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347"/>
      <w:rPr>
        <w:rFonts w:ascii="SimSun" w:eastAsia="SimSun" w:hAnsi="SimSun" w:cs="SimSun"/>
        <w:sz w:val="18"/>
        <w:szCs w:val="18"/>
      </w:rPr>
    </w:pPr>
    <w:r>
      <w:rPr>
        <w:rFonts w:ascii="SimSun" w:eastAsia="SimSun" w:hAnsi="SimSun" w:cs="SimSu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3"/>
      <w:rPr>
        <w:rFonts w:ascii="SimSun" w:eastAsia="SimSun" w:hAnsi="SimSun" w:cs="SimSun"/>
        <w:sz w:val="18"/>
        <w:szCs w:val="18"/>
      </w:rPr>
    </w:pPr>
    <w:r>
      <w:rPr>
        <w:rFonts w:ascii="SimSun" w:eastAsia="SimSun" w:hAnsi="SimSun" w:cs="SimSu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3"/>
      <w:rPr>
        <w:rFonts w:ascii="SimSun" w:eastAsia="SimSun" w:hAnsi="SimSun" w:cs="SimSun"/>
        <w:sz w:val="18"/>
        <w:szCs w:val="18"/>
      </w:rPr>
    </w:pPr>
    <w:r>
      <w:rPr>
        <w:rFonts w:ascii="SimSun" w:eastAsia="SimSun" w:hAnsi="SimSun" w:cs="SimSun"/>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45"/>
      <w:rPr>
        <w:rFonts w:ascii="SimSun" w:eastAsia="SimSun" w:hAnsi="SimSun" w:cs="SimSun"/>
        <w:sz w:val="18"/>
        <w:szCs w:val="18"/>
      </w:rPr>
    </w:pPr>
    <w:r>
      <w:rPr>
        <w:rFonts w:ascii="SimSun" w:eastAsia="SimSun" w:hAnsi="SimSun" w:cs="SimSu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45"/>
      <w:rPr>
        <w:rFonts w:ascii="SimSun" w:eastAsia="SimSun" w:hAnsi="SimSun" w:cs="SimSun"/>
        <w:sz w:val="18"/>
        <w:szCs w:val="18"/>
      </w:rPr>
    </w:pPr>
    <w:r>
      <w:rPr>
        <w:rFonts w:ascii="SimSun" w:eastAsia="SimSun" w:hAnsi="SimSun" w:cs="SimSun"/>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5"/>
      <w:rPr>
        <w:rFonts w:ascii="SimSun" w:eastAsia="SimSun" w:hAnsi="SimSun" w:cs="SimSun"/>
        <w:sz w:val="18"/>
        <w:szCs w:val="18"/>
      </w:rPr>
    </w:pPr>
    <w:r>
      <w:rPr>
        <w:rFonts w:ascii="SimSun" w:eastAsia="SimSun" w:hAnsi="SimSun" w:cs="SimSu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5"/>
      <w:rPr>
        <w:rFonts w:ascii="SimSun" w:eastAsia="SimSun" w:hAnsi="SimSun" w:cs="SimSun"/>
        <w:sz w:val="18"/>
        <w:szCs w:val="18"/>
      </w:rPr>
    </w:pPr>
    <w:r>
      <w:rPr>
        <w:rFonts w:ascii="SimSun" w:eastAsia="SimSun" w:hAnsi="SimSun" w:cs="SimSun"/>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46"/>
      <w:rPr>
        <w:rFonts w:ascii="SimSun" w:eastAsia="SimSun" w:hAnsi="SimSun" w:cs="SimSun"/>
        <w:sz w:val="18"/>
        <w:szCs w:val="18"/>
      </w:rPr>
    </w:pPr>
    <w:r>
      <w:rPr>
        <w:rFonts w:ascii="SimSun" w:eastAsia="SimSun" w:hAnsi="SimSun" w:cs="SimSu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346"/>
      <w:rPr>
        <w:rFonts w:ascii="SimSun" w:eastAsia="SimSun" w:hAnsi="SimSun" w:cs="SimSun"/>
        <w:sz w:val="18"/>
        <w:szCs w:val="18"/>
      </w:rPr>
    </w:pPr>
    <w:r>
      <w:rPr>
        <w:rFonts w:ascii="SimSun" w:eastAsia="SimSun" w:hAnsi="SimSun" w:cs="SimSun"/>
        <w:sz w:val="18"/>
        <w:szCs w:val="18"/>
      </w:rPr>
      <w:t>7</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FangSong" w:eastAsia="FangSong" w:hAnsi="FangSong" w:cs="FangSong"/>
      <w:sz w:val="20"/>
      <w:szCs w:val="20"/>
      <w:lang w:val="en-US" w:eastAsia="en-US" w:bidi="ar-SA"/>
    </w:rPr>
  </w:style>
  <w:style w:type="paragraph" w:customStyle="1" w:styleId="TableText">
    <w:name w:val="Table Text"/>
    <w:basedOn w:val="Normal"/>
    <w:semiHidden/>
    <w:qFormat/>
    <w:rPr>
      <w:rFonts w:ascii="FangSong" w:eastAsia="FangSong" w:hAnsi="FangSong" w:cs="FangSong"/>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hyperlink" Target="5.5.1.1" TargetMode="External" /><Relationship Id="rId17" Type="http://schemas.openxmlformats.org/officeDocument/2006/relationships/hyperlink" Target="5.5.1.2" TargetMode="External" /><Relationship Id="rId18" Type="http://schemas.openxmlformats.org/officeDocument/2006/relationships/hyperlink" Target="5.5.1.3" TargetMode="External" /><Relationship Id="rId19" Type="http://schemas.openxmlformats.org/officeDocument/2006/relationships/hyperlink" Target="5.5.1.4" TargetMode="External" /><Relationship Id="rId2" Type="http://schemas.openxmlformats.org/officeDocument/2006/relationships/webSettings" Target="webSettings.xml" /><Relationship Id="rId20" Type="http://schemas.openxmlformats.org/officeDocument/2006/relationships/hyperlink" Target="5.5.1.5" TargetMode="External" /><Relationship Id="rId21" Type="http://schemas.openxmlformats.org/officeDocument/2006/relationships/hyperlink" Target="5.5.2.1" TargetMode="External" /><Relationship Id="rId22" Type="http://schemas.openxmlformats.org/officeDocument/2006/relationships/footer" Target="footer13.xml" /><Relationship Id="rId23" Type="http://schemas.openxmlformats.org/officeDocument/2006/relationships/hyperlink" Target="https://d.book118.com/788050023072006027" TargetMode="External" /><Relationship Id="rId24" Type="http://schemas.openxmlformats.org/officeDocument/2006/relationships/footer" Target="footer14.xm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2024-01-19T20:29:20Z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2024-01-19T20:29:24Z</vt:filetime>
  </property>
  <property fmtid="{D5CDD505-2E9C-101B-9397-08002B2CF9AE}" pid="3" name="CRO">
    <vt:lpwstr>wqlLaW5nc29mdCBQREYgdG8gV1BTIDkw</vt:lpwstr>
  </property>
  <property fmtid="{D5CDD505-2E9C-101B-9397-08002B2CF9AE}" pid="4" name="UsrData">
    <vt:lpwstr>65aa6b1e6b8a5b001fadf92dwl</vt:lpwstr>
  </property>
</Properties>
</file>