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幼圆" w:eastAsia="幼圆" w:hAnsi="幼圆" w:cs="幼圆" w:hint="eastAsia"/>
          <w:lang w:val="zh-CN"/>
        </w:rPr>
        <w:id w:val="455614775"/>
        <w:docPartObj>
          <w:docPartGallery w:val="Table of Contents"/>
          <w:docPartUnique/>
        </w:docPartObj>
      </w:sdtPr>
      <w:sdtEndPr>
        <w:rPr>
          <w:rFonts w:ascii="幼圆" w:eastAsia="幼圆" w:hAnsi="幼圆" w:cs="幼圆" w:hint="eastAsia"/>
          <w:color w:val="auto"/>
          <w:kern w:val="2"/>
          <w:sz w:val="21"/>
          <w:szCs w:val="22"/>
          <w:lang w:val="zh-CN"/>
        </w:rPr>
      </w:sdtEndPr>
      <w:sdtContent>
        <w:p>
          <w:pPr>
            <w:pStyle w:val="TOC10"/>
            <w:jc w:val="center"/>
            <w:rPr>
              <w:rFonts w:ascii="幼圆" w:eastAsia="幼圆" w:hAnsi="幼圆" w:cs="幼圆" w:hint="eastAsia"/>
              <w:lang w:val="zh-CN"/>
            </w:rPr>
          </w:pPr>
          <w:bookmarkStart w:id="0" w:name="_GoBack"/>
          <w:r>
            <w:rPr>
              <w:rFonts w:ascii="幼圆" w:eastAsia="幼圆" w:hAnsi="幼圆" w:cs="幼圆" w:hint="eastAsia"/>
              <w:color w:val="auto"/>
            </w:rPr>
            <w:t>平安集团财务智能化</w:t>
          </w:r>
          <w:r>
            <w:rPr>
              <w:rFonts w:ascii="幼圆" w:eastAsia="幼圆" w:hAnsi="幼圆" w:cs="幼圆" w:hint="eastAsia"/>
              <w:color w:val="auto"/>
              <w:lang w:eastAsia="zh-CN"/>
            </w:rPr>
            <w:t>的</w:t>
          </w:r>
          <w:r>
            <w:rPr>
              <w:rFonts w:ascii="幼圆" w:eastAsia="幼圆" w:hAnsi="幼圆" w:cs="幼圆" w:hint="eastAsia"/>
              <w:color w:val="auto"/>
              <w:lang w:val="en-US" w:eastAsia="zh-CN"/>
            </w:rPr>
            <w:t>路径分析案例</w:t>
          </w:r>
          <w:bookmarkEnd w:id="0"/>
          <w:r>
            <w:rPr>
              <w:rFonts w:ascii="幼圆" w:eastAsia="幼圆" w:hAnsi="幼圆" w:cs="幼圆" w:hint="eastAsia"/>
            </w:rPr>
            <w:fldChar w:fldCharType="begin"/>
          </w:r>
          <w:r>
            <w:rPr>
              <w:rFonts w:ascii="幼圆" w:eastAsia="幼圆" w:hAnsi="幼圆" w:cs="幼圆" w:hint="eastAsia"/>
            </w:rPr>
            <w:instrText xml:space="preserve"> TOC \o "1-3" \h \z \u </w:instrText>
          </w:r>
          <w:r>
            <w:rPr>
              <w:rFonts w:ascii="幼圆" w:eastAsia="幼圆" w:hAnsi="幼圆" w:cs="幼圆" w:hint="eastAsia"/>
            </w:rPr>
            <w:fldChar w:fldCharType="separate"/>
          </w:r>
        </w:p>
        <w:p>
          <w:pPr>
            <w:pStyle w:val="TOC1"/>
            <w:tabs>
              <w:tab w:val="right" w:leader="dot" w:pos="8300"/>
            </w:tabs>
            <w:rPr>
              <w:rFonts w:ascii="幼圆" w:eastAsia="幼圆" w:hAnsi="幼圆" w:cs="幼圆" w:hint="eastAsia"/>
            </w:rPr>
          </w:pPr>
          <w:hyperlink w:anchor="_Toc31359" w:history="1">
            <w:r>
              <w:rPr>
                <w:rFonts w:ascii="幼圆" w:eastAsia="幼圆" w:hAnsi="幼圆" w:cs="幼圆" w:hint="eastAsia"/>
              </w:rPr>
              <w:t>第一章 绪论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_Toc31359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8300"/>
            </w:tabs>
            <w:rPr>
              <w:rFonts w:ascii="幼圆" w:eastAsia="幼圆" w:hAnsi="幼圆" w:cs="幼圆" w:hint="eastAsia"/>
            </w:rPr>
          </w:pPr>
          <w:hyperlink w:anchor="_Toc10129" w:history="1">
            <w:r>
              <w:rPr>
                <w:rFonts w:ascii="幼圆" w:eastAsia="幼圆" w:hAnsi="幼圆" w:cs="幼圆" w:hint="eastAsia"/>
                <w:bCs/>
                <w:szCs w:val="28"/>
              </w:rPr>
              <w:t>1.1研究背景及意义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_Toc10129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13534" w:history="1">
            <w:r>
              <w:rPr>
                <w:rFonts w:ascii="幼圆" w:eastAsia="幼圆" w:hAnsi="幼圆" w:cs="幼圆" w:hint="eastAsia"/>
                <w:szCs w:val="24"/>
              </w:rPr>
              <w:t>1.1.1研究背景</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_Toc13534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13024" w:history="1">
            <w:r>
              <w:rPr>
                <w:rFonts w:ascii="幼圆" w:eastAsia="幼圆" w:hAnsi="幼圆" w:cs="幼圆" w:hint="eastAsia"/>
                <w:szCs w:val="24"/>
              </w:rPr>
              <w:t>1.1.2.研究意义</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_Toc13024 \h </w:instrText>
            </w:r>
            <w:r>
              <w:rPr>
                <w:rFonts w:ascii="幼圆" w:eastAsia="幼圆" w:hAnsi="幼圆" w:cs="幼圆" w:hint="eastAsia"/>
              </w:rPr>
              <w:fldChar w:fldCharType="separate"/>
            </w:r>
            <w:r>
              <w:rPr>
                <w:rFonts w:ascii="幼圆" w:eastAsia="幼圆" w:hAnsi="幼圆" w:cs="幼圆" w:hint="eastAsia"/>
              </w:rPr>
              <w:t>1</w:t>
            </w:r>
            <w:r>
              <w:rPr>
                <w:rFonts w:ascii="幼圆" w:eastAsia="幼圆" w:hAnsi="幼圆" w:cs="幼圆" w:hint="eastAsia"/>
              </w:rPr>
              <w:fldChar w:fldCharType="end"/>
            </w:r>
          </w:hyperlink>
        </w:p>
        <w:p>
          <w:pPr>
            <w:pStyle w:val="TOC2"/>
            <w:tabs>
              <w:tab w:val="right" w:leader="dot" w:pos="8300"/>
            </w:tabs>
            <w:rPr>
              <w:rFonts w:ascii="幼圆" w:eastAsia="幼圆" w:hAnsi="幼圆" w:cs="幼圆" w:hint="eastAsia"/>
            </w:rPr>
          </w:pPr>
          <w:hyperlink w:anchor="_Toc23757" w:history="1">
            <w:r>
              <w:rPr>
                <w:rFonts w:ascii="幼圆" w:eastAsia="幼圆" w:hAnsi="幼圆" w:cs="幼圆" w:hint="eastAsia"/>
                <w:bCs/>
                <w:szCs w:val="28"/>
              </w:rPr>
              <w:t>1.2文献综述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_Toc23757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29213" w:history="1">
            <w:r>
              <w:rPr>
                <w:rFonts w:ascii="幼圆" w:eastAsia="幼圆" w:hAnsi="幼圆" w:cs="幼圆" w:hint="eastAsia"/>
                <w:szCs w:val="24"/>
              </w:rPr>
              <w:t>1.2.1国外综述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_Toc29213 \h </w:instrText>
            </w:r>
            <w:r>
              <w:rPr>
                <w:rFonts w:ascii="幼圆" w:eastAsia="幼圆" w:hAnsi="幼圆" w:cs="幼圆" w:hint="eastAsia"/>
              </w:rPr>
              <w:fldChar w:fldCharType="separate"/>
            </w:r>
            <w:r>
              <w:rPr>
                <w:rFonts w:ascii="幼圆" w:eastAsia="幼圆" w:hAnsi="幼圆" w:cs="幼圆" w:hint="eastAsia"/>
              </w:rPr>
              <w:t>2</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15383" w:history="1">
            <w:r>
              <w:rPr>
                <w:rFonts w:ascii="幼圆" w:eastAsia="幼圆" w:hAnsi="幼圆" w:cs="幼圆" w:hint="eastAsia"/>
                <w:szCs w:val="24"/>
              </w:rPr>
              <w:t>1.2.2国内综述</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_Toc15383 \h </w:instrText>
            </w:r>
            <w:r>
              <w:rPr>
                <w:rFonts w:ascii="幼圆" w:eastAsia="幼圆" w:hAnsi="幼圆" w:cs="幼圆" w:hint="eastAsia"/>
              </w:rPr>
              <w:fldChar w:fldCharType="separate"/>
            </w:r>
            <w:r>
              <w:rPr>
                <w:rFonts w:ascii="幼圆" w:eastAsia="幼圆" w:hAnsi="幼圆" w:cs="幼圆" w:hint="eastAsia"/>
              </w:rPr>
              <w:t>3</w:t>
            </w:r>
            <w:r>
              <w:rPr>
                <w:rFonts w:ascii="幼圆" w:eastAsia="幼圆" w:hAnsi="幼圆" w:cs="幼圆" w:hint="eastAsia"/>
              </w:rPr>
              <w:fldChar w:fldCharType="end"/>
            </w:r>
          </w:hyperlink>
        </w:p>
        <w:p>
          <w:pPr>
            <w:pStyle w:val="TOC2"/>
            <w:tabs>
              <w:tab w:val="right" w:leader="dot" w:pos="8300"/>
            </w:tabs>
            <w:rPr>
              <w:rFonts w:ascii="幼圆" w:eastAsia="幼圆" w:hAnsi="幼圆" w:cs="幼圆" w:hint="eastAsia"/>
            </w:rPr>
          </w:pPr>
          <w:hyperlink w:anchor="_Toc14041" w:history="1">
            <w:r>
              <w:rPr>
                <w:rFonts w:ascii="幼圆" w:eastAsia="幼圆" w:hAnsi="幼圆" w:cs="幼圆" w:hint="eastAsia"/>
                <w:bCs/>
                <w:szCs w:val="28"/>
              </w:rPr>
              <w:t>1.3研究内容与研究方法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_Toc14041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6452" w:history="1">
            <w:r>
              <w:rPr>
                <w:rFonts w:ascii="幼圆" w:eastAsia="幼圆" w:hAnsi="幼圆" w:cs="幼圆" w:hint="eastAsia"/>
                <w:szCs w:val="24"/>
              </w:rPr>
              <w:t>1.3.1 研究内容</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_Toc6452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9263" w:history="1">
            <w:r>
              <w:rPr>
                <w:rFonts w:ascii="幼圆" w:eastAsia="幼圆" w:hAnsi="幼圆" w:cs="幼圆" w:hint="eastAsia"/>
                <w:szCs w:val="24"/>
              </w:rPr>
              <w:t>1.3.2研究方法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_Toc9263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TOC1"/>
            <w:tabs>
              <w:tab w:val="right" w:leader="dot" w:pos="8300"/>
            </w:tabs>
            <w:rPr>
              <w:rFonts w:ascii="幼圆" w:eastAsia="幼圆" w:hAnsi="幼圆" w:cs="幼圆" w:hint="eastAsia"/>
            </w:rPr>
          </w:pPr>
          <w:hyperlink w:anchor="_Toc12109" w:history="1">
            <w:r>
              <w:rPr>
                <w:rFonts w:ascii="幼圆" w:eastAsia="幼圆" w:hAnsi="幼圆" w:cs="幼圆" w:hint="eastAsia"/>
              </w:rPr>
              <w:t>第二章 平安集团财务智能化原因及内容</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_Toc12109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tabs>
              <w:tab w:val="right" w:leader="dot" w:pos="8300"/>
            </w:tabs>
            <w:rPr>
              <w:rFonts w:ascii="幼圆" w:eastAsia="幼圆" w:hAnsi="幼圆" w:cs="幼圆" w:hint="eastAsia"/>
            </w:rPr>
          </w:pPr>
          <w:hyperlink w:anchor="_Toc820" w:history="1">
            <w:r>
              <w:rPr>
                <w:rFonts w:ascii="幼圆" w:eastAsia="幼圆" w:hAnsi="幼圆" w:cs="幼圆" w:hint="eastAsia"/>
                <w:bCs/>
                <w:szCs w:val="28"/>
              </w:rPr>
              <w:t>2.1 平安集团概况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_Toc820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tabs>
              <w:tab w:val="right" w:leader="dot" w:pos="8300"/>
            </w:tabs>
            <w:rPr>
              <w:rFonts w:ascii="幼圆" w:eastAsia="幼圆" w:hAnsi="幼圆" w:cs="幼圆" w:hint="eastAsia"/>
            </w:rPr>
          </w:pPr>
          <w:hyperlink w:anchor="_Toc31596" w:history="1">
            <w:r>
              <w:rPr>
                <w:rFonts w:ascii="幼圆" w:eastAsia="幼圆" w:hAnsi="幼圆" w:cs="幼圆" w:hint="eastAsia"/>
                <w:bCs/>
                <w:szCs w:val="28"/>
              </w:rPr>
              <w:t>2.2平安集团财务智能化原因</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_Toc31596 \h </w:instrText>
            </w:r>
            <w:r>
              <w:rPr>
                <w:rFonts w:ascii="幼圆" w:eastAsia="幼圆" w:hAnsi="幼圆" w:cs="幼圆" w:hint="eastAsia"/>
              </w:rPr>
              <w:fldChar w:fldCharType="separate"/>
            </w:r>
            <w:r>
              <w:rPr>
                <w:rFonts w:ascii="幼圆" w:eastAsia="幼圆" w:hAnsi="幼圆" w:cs="幼圆" w:hint="eastAsia"/>
              </w:rPr>
              <w:t>6</w:t>
            </w:r>
            <w:r>
              <w:rPr>
                <w:rFonts w:ascii="幼圆" w:eastAsia="幼圆" w:hAnsi="幼圆" w:cs="幼圆" w:hint="eastAsia"/>
              </w:rPr>
              <w:fldChar w:fldCharType="end"/>
            </w:r>
          </w:hyperlink>
        </w:p>
        <w:p>
          <w:pPr>
            <w:pStyle w:val="TOC2"/>
            <w:tabs>
              <w:tab w:val="right" w:leader="dot" w:pos="8300"/>
            </w:tabs>
            <w:rPr>
              <w:rFonts w:ascii="幼圆" w:eastAsia="幼圆" w:hAnsi="幼圆" w:cs="幼圆" w:hint="eastAsia"/>
            </w:rPr>
          </w:pPr>
          <w:hyperlink w:anchor="_Toc31726" w:history="1">
            <w:r>
              <w:rPr>
                <w:rFonts w:ascii="幼圆" w:eastAsia="幼圆" w:hAnsi="幼圆" w:cs="幼圆" w:hint="eastAsia"/>
                <w:bCs/>
                <w:szCs w:val="28"/>
              </w:rPr>
              <w:t>2.3 平安集团财务智能化内容</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_Toc31726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12313" w:history="1">
            <w:r>
              <w:rPr>
                <w:rFonts w:ascii="幼圆" w:eastAsia="幼圆" w:hAnsi="幼圆" w:cs="幼圆" w:hint="eastAsia"/>
                <w:szCs w:val="24"/>
              </w:rPr>
              <w:t>2.3.1平安集团财务智能化目标</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_Toc12313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24309" w:history="1">
            <w:r>
              <w:rPr>
                <w:rFonts w:ascii="幼圆" w:eastAsia="幼圆" w:hAnsi="幼圆" w:cs="幼圆" w:hint="eastAsia"/>
                <w:szCs w:val="24"/>
              </w:rPr>
              <w:t>2.3.2平安集团财务智能化历程</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_Toc24309 \h </w:instrText>
            </w:r>
            <w:r>
              <w:rPr>
                <w:rFonts w:ascii="幼圆" w:eastAsia="幼圆" w:hAnsi="幼圆" w:cs="幼圆" w:hint="eastAsia"/>
              </w:rPr>
              <w:fldChar w:fldCharType="separate"/>
            </w:r>
            <w:r>
              <w:rPr>
                <w:rFonts w:ascii="幼圆" w:eastAsia="幼圆" w:hAnsi="幼圆" w:cs="幼圆" w:hint="eastAsia"/>
              </w:rPr>
              <w:t>7</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27380" w:history="1">
            <w:r>
              <w:rPr>
                <w:rFonts w:ascii="幼圆" w:eastAsia="幼圆" w:hAnsi="幼圆" w:cs="幼圆" w:hint="eastAsia"/>
                <w:szCs w:val="24"/>
              </w:rPr>
              <w:t>2.3.3平安集团财务智能化方法</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_Toc27380 \h </w:instrText>
            </w:r>
            <w:r>
              <w:rPr>
                <w:rFonts w:ascii="幼圆" w:eastAsia="幼圆" w:hAnsi="幼圆" w:cs="幼圆" w:hint="eastAsia"/>
              </w:rPr>
              <w:fldChar w:fldCharType="separate"/>
            </w:r>
            <w:r>
              <w:rPr>
                <w:rFonts w:ascii="幼圆" w:eastAsia="幼圆" w:hAnsi="幼圆" w:cs="幼圆" w:hint="eastAsia"/>
              </w:rPr>
              <w:t>8</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19758" w:history="1">
            <w:r>
              <w:rPr>
                <w:rFonts w:ascii="幼圆" w:eastAsia="幼圆" w:hAnsi="幼圆" w:cs="幼圆" w:hint="eastAsia"/>
                <w:szCs w:val="24"/>
              </w:rPr>
              <w:t>2.3.4平安集团财务智能化实践</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_Toc19758 \h </w:instrText>
            </w:r>
            <w:r>
              <w:rPr>
                <w:rFonts w:ascii="幼圆" w:eastAsia="幼圆" w:hAnsi="幼圆" w:cs="幼圆" w:hint="eastAsia"/>
              </w:rPr>
              <w:fldChar w:fldCharType="separate"/>
            </w:r>
            <w:r>
              <w:rPr>
                <w:rFonts w:ascii="幼圆" w:eastAsia="幼圆" w:hAnsi="幼圆" w:cs="幼圆" w:hint="eastAsia"/>
              </w:rPr>
              <w:t>9</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25612" w:history="1">
            <w:r>
              <w:rPr>
                <w:rFonts w:ascii="幼圆" w:eastAsia="幼圆" w:hAnsi="幼圆" w:cs="幼圆" w:hint="eastAsia"/>
                <w:szCs w:val="24"/>
              </w:rPr>
              <w:t>2.3.5平安集团财务智能化结果</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_Toc25612 \h </w:instrText>
            </w:r>
            <w:r>
              <w:rPr>
                <w:rFonts w:ascii="幼圆" w:eastAsia="幼圆" w:hAnsi="幼圆" w:cs="幼圆" w:hint="eastAsia"/>
              </w:rPr>
              <w:fldChar w:fldCharType="separate"/>
            </w:r>
            <w:r>
              <w:rPr>
                <w:rFonts w:ascii="幼圆" w:eastAsia="幼圆" w:hAnsi="幼圆" w:cs="幼圆" w:hint="eastAsia"/>
              </w:rPr>
              <w:t>12</w:t>
            </w:r>
            <w:r>
              <w:rPr>
                <w:rFonts w:ascii="幼圆" w:eastAsia="幼圆" w:hAnsi="幼圆" w:cs="幼圆" w:hint="eastAsia"/>
              </w:rPr>
              <w:fldChar w:fldCharType="end"/>
            </w:r>
          </w:hyperlink>
        </w:p>
        <w:p>
          <w:pPr>
            <w:pStyle w:val="TOC1"/>
            <w:tabs>
              <w:tab w:val="right" w:leader="dot" w:pos="8300"/>
            </w:tabs>
            <w:rPr>
              <w:rFonts w:ascii="幼圆" w:eastAsia="幼圆" w:hAnsi="幼圆" w:cs="幼圆" w:hint="eastAsia"/>
            </w:rPr>
          </w:pPr>
          <w:hyperlink w:anchor="_Toc13883" w:history="1">
            <w:r>
              <w:rPr>
                <w:rFonts w:ascii="幼圆" w:eastAsia="幼圆" w:hAnsi="幼圆" w:cs="幼圆" w:hint="eastAsia"/>
              </w:rPr>
              <w:t>第三章 平安集团财务智能化成效及成功因素</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_Toc13883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2"/>
            <w:tabs>
              <w:tab w:val="right" w:leader="dot" w:pos="8300"/>
            </w:tabs>
            <w:rPr>
              <w:rFonts w:ascii="幼圆" w:eastAsia="幼圆" w:hAnsi="幼圆" w:cs="幼圆" w:hint="eastAsia"/>
            </w:rPr>
          </w:pPr>
          <w:hyperlink w:anchor="_Toc19716" w:history="1">
            <w:r>
              <w:rPr>
                <w:rFonts w:ascii="幼圆" w:eastAsia="幼圆" w:hAnsi="幼圆" w:cs="幼圆" w:hint="eastAsia"/>
                <w:bCs/>
                <w:szCs w:val="28"/>
              </w:rPr>
              <w:t>3.1平安集团财务财务智能化成效</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_Toc19716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11160" w:history="1">
            <w:r>
              <w:rPr>
                <w:rFonts w:ascii="幼圆" w:eastAsia="幼圆" w:hAnsi="幼圆" w:cs="幼圆" w:hint="eastAsia"/>
                <w:szCs w:val="24"/>
              </w:rPr>
              <w:t>3.1.1平安集团财务效率明显提高</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_Toc11160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1604" w:history="1">
            <w:r>
              <w:rPr>
                <w:rFonts w:ascii="幼圆" w:eastAsia="幼圆" w:hAnsi="幼圆" w:cs="幼圆" w:hint="eastAsia"/>
                <w:szCs w:val="24"/>
              </w:rPr>
              <w:t>3.1.2收入增长，成本降低，营收能力增强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_Toc1604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13694" w:history="1">
            <w:r>
              <w:rPr>
                <w:rFonts w:ascii="幼圆" w:eastAsia="幼圆" w:hAnsi="幼圆" w:cs="幼圆" w:hint="eastAsia"/>
                <w:szCs w:val="24"/>
              </w:rPr>
              <w:t>3.1.3资金管理水平得到提升，现金价值充分释放</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_Toc13694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TOC2"/>
            <w:tabs>
              <w:tab w:val="right" w:leader="dot" w:pos="8300"/>
            </w:tabs>
            <w:rPr>
              <w:rFonts w:ascii="幼圆" w:eastAsia="幼圆" w:hAnsi="幼圆" w:cs="幼圆" w:hint="eastAsia"/>
            </w:rPr>
          </w:pPr>
          <w:hyperlink w:anchor="_Toc17092" w:history="1">
            <w:r>
              <w:rPr>
                <w:rFonts w:ascii="幼圆" w:eastAsia="幼圆" w:hAnsi="幼圆" w:cs="幼圆" w:hint="eastAsia"/>
                <w:bCs/>
                <w:szCs w:val="28"/>
              </w:rPr>
              <w:t>3.2平安集团财务智能化成功因素</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_Toc17092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4" w:history="1">
            <w:r>
              <w:rPr>
                <w:rFonts w:ascii="幼圆" w:eastAsia="幼圆" w:hAnsi="幼圆" w:cs="幼圆" w:hint="eastAsia"/>
                <w:szCs w:val="24"/>
              </w:rPr>
              <w:t>3.2.1清晰明确的战略定位</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_Toc4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14140" w:history="1">
            <w:r>
              <w:rPr>
                <w:rFonts w:ascii="幼圆" w:eastAsia="幼圆" w:hAnsi="幼圆" w:cs="幼圆" w:hint="eastAsia"/>
                <w:szCs w:val="24"/>
              </w:rPr>
              <w:t>3.2.2强大的企业执行文化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_Toc14140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sectPr>
              <w:headerReference w:type="default" r:id="rId6"/>
              <w:pgSz w:w="11906" w:h="16838"/>
              <w:pgMar w:top="1440" w:right="1803" w:bottom="1440" w:left="1803" w:header="851" w:footer="992" w:gutter="0"/>
              <w:cols w:num="1" w:space="720"/>
              <w:docGrid w:type="lines" w:linePitch="312" w:charSpace="0"/>
            </w:sectPr>
          </w:pPr>
          <w:hyperlink w:anchor="_Toc10773" w:history="1">
            <w:r>
              <w:rPr>
                <w:rFonts w:ascii="幼圆" w:eastAsia="幼圆" w:hAnsi="幼圆" w:cs="幼圆" w:hint="eastAsia"/>
                <w:szCs w:val="24"/>
              </w:rPr>
              <w:t>3.2.3厚实的信息技术基础</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_Toc10773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sdtContent>
    </w:sdt>
    <w:sdt>
      <w:sdtPr>
        <w:rPr>
          <w:rFonts w:ascii="幼圆" w:eastAsia="幼圆" w:hAnsi="幼圆" w:cs="幼圆" w:hint="eastAsia"/>
          <w:lang w:val="zh-CN"/>
        </w:rPr>
        <w:id w:val="1131364042"/>
        <w:docPartObj>
          <w:docPartGallery w:val="Table of Contents"/>
          <w:docPartUnique/>
        </w:docPartObj>
      </w:sdtPr>
      <w:sdtEndPr>
        <w:rPr>
          <w:rFonts w:ascii="幼圆" w:eastAsia="幼圆" w:hAnsi="幼圆" w:cs="幼圆" w:hint="eastAsia"/>
          <w:color w:val="auto"/>
          <w:kern w:val="2"/>
          <w:sz w:val="21"/>
          <w:szCs w:val="22"/>
          <w:lang w:val="zh-CN"/>
        </w:rPr>
      </w:sdtEndPr>
      <w:sdtContent>
        <w:p>
          <w:pPr>
            <w:pStyle w:val="TOC1"/>
            <w:tabs>
              <w:tab w:val="right" w:leader="dot" w:pos="8300"/>
            </w:tabs>
            <w:rPr>
              <w:rFonts w:ascii="幼圆" w:eastAsia="幼圆" w:hAnsi="幼圆" w:cs="幼圆" w:hint="eastAsia"/>
            </w:rPr>
          </w:pPr>
          <w:hyperlink w:anchor="_Toc6075" w:history="1">
            <w:r>
              <w:rPr>
                <w:rFonts w:ascii="幼圆" w:eastAsia="幼圆" w:hAnsi="幼圆" w:cs="幼圆" w:hint="eastAsia"/>
              </w:rPr>
              <w:t>第四章 平安集团实施财务智能化的启示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_Toc6075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2"/>
            <w:tabs>
              <w:tab w:val="right" w:leader="dot" w:pos="8300"/>
            </w:tabs>
            <w:rPr>
              <w:rFonts w:ascii="幼圆" w:eastAsia="幼圆" w:hAnsi="幼圆" w:cs="幼圆" w:hint="eastAsia"/>
            </w:rPr>
          </w:pPr>
          <w:hyperlink w:anchor="_Toc3370" w:history="1">
            <w:r>
              <w:rPr>
                <w:rFonts w:ascii="幼圆" w:eastAsia="幼圆" w:hAnsi="幼圆" w:cs="幼圆" w:hint="eastAsia"/>
                <w:bCs/>
                <w:szCs w:val="28"/>
              </w:rPr>
              <w:t>4.1平安集团财务智能化对企业的启示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_Toc3370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32488" w:history="1">
            <w:r>
              <w:rPr>
                <w:rFonts w:ascii="幼圆" w:eastAsia="幼圆" w:hAnsi="幼圆" w:cs="幼圆" w:hint="eastAsia"/>
                <w:szCs w:val="24"/>
              </w:rPr>
              <w:t>4.1.1做好战略定位和规划</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_Toc32488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19451" w:history="1">
            <w:r>
              <w:rPr>
                <w:rFonts w:ascii="幼圆" w:eastAsia="幼圆" w:hAnsi="幼圆" w:cs="幼圆" w:hint="eastAsia"/>
                <w:szCs w:val="24"/>
              </w:rPr>
              <w:t>4.1.2培育优良的企业文化</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_Toc19451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3"/>
            <w:tabs>
              <w:tab w:val="right" w:leader="dot" w:pos="8300"/>
            </w:tabs>
            <w:rPr>
              <w:rFonts w:ascii="幼圆" w:eastAsia="幼圆" w:hAnsi="幼圆" w:cs="幼圆" w:hint="eastAsia"/>
            </w:rPr>
          </w:pPr>
          <w:hyperlink w:anchor="_Toc29834" w:history="1">
            <w:r>
              <w:rPr>
                <w:rFonts w:ascii="幼圆" w:eastAsia="幼圆" w:hAnsi="幼圆" w:cs="幼圆" w:hint="eastAsia"/>
                <w:szCs w:val="24"/>
              </w:rPr>
              <w:t>4.1.3加强信息技术的开发和应用</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_Toc29834 \h </w:instrText>
            </w:r>
            <w:r>
              <w:rPr>
                <w:rFonts w:ascii="幼圆" w:eastAsia="幼圆" w:hAnsi="幼圆" w:cs="幼圆" w:hint="eastAsia"/>
              </w:rPr>
              <w:fldChar w:fldCharType="separate"/>
            </w:r>
            <w:r>
              <w:rPr>
                <w:rFonts w:ascii="幼圆" w:eastAsia="幼圆" w:hAnsi="幼圆" w:cs="幼圆" w:hint="eastAsia"/>
              </w:rPr>
              <w:t>22</w:t>
            </w:r>
            <w:r>
              <w:rPr>
                <w:rFonts w:ascii="幼圆" w:eastAsia="幼圆" w:hAnsi="幼圆" w:cs="幼圆" w:hint="eastAsia"/>
              </w:rPr>
              <w:fldChar w:fldCharType="end"/>
            </w:r>
          </w:hyperlink>
        </w:p>
        <w:p>
          <w:pPr>
            <w:pStyle w:val="TOC2"/>
            <w:tabs>
              <w:tab w:val="right" w:leader="dot" w:pos="8300"/>
            </w:tabs>
            <w:rPr>
              <w:rFonts w:ascii="幼圆" w:eastAsia="幼圆" w:hAnsi="幼圆" w:cs="幼圆" w:hint="eastAsia"/>
            </w:rPr>
          </w:pPr>
          <w:hyperlink w:anchor="_Toc10106" w:history="1">
            <w:r>
              <w:rPr>
                <w:rFonts w:ascii="幼圆" w:eastAsia="幼圆" w:hAnsi="幼圆" w:cs="幼圆" w:hint="eastAsia"/>
                <w:bCs/>
                <w:szCs w:val="28"/>
              </w:rPr>
              <w:t>4.2平安集团财务智能化对财务人员的启示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_Toc10106 \h </w:instrText>
            </w:r>
            <w:r>
              <w:rPr>
                <w:rFonts w:ascii="幼圆" w:eastAsia="幼圆" w:hAnsi="幼圆" w:cs="幼圆" w:hint="eastAsia"/>
              </w:rPr>
              <w:fldChar w:fldCharType="separate"/>
            </w:r>
            <w:r>
              <w:rPr>
                <w:rFonts w:ascii="幼圆" w:eastAsia="幼圆" w:hAnsi="幼圆" w:cs="幼圆" w:hint="eastAsia"/>
              </w:rPr>
              <w:t>23</w:t>
            </w:r>
            <w:r>
              <w:rPr>
                <w:rFonts w:ascii="幼圆" w:eastAsia="幼圆" w:hAnsi="幼圆" w:cs="幼圆" w:hint="eastAsia"/>
              </w:rPr>
              <w:fldChar w:fldCharType="end"/>
            </w:r>
          </w:hyperlink>
        </w:p>
        <w:p>
          <w:pPr>
            <w:pStyle w:val="TOC2"/>
            <w:tabs>
              <w:tab w:val="right" w:leader="dot" w:pos="8300"/>
            </w:tabs>
            <w:rPr>
              <w:rFonts w:ascii="幼圆" w:eastAsia="幼圆" w:hAnsi="幼圆" w:cs="幼圆" w:hint="eastAsia"/>
            </w:rPr>
          </w:pPr>
          <w:hyperlink w:anchor="_Toc13570" w:history="1">
            <w:r>
              <w:rPr>
                <w:rFonts w:ascii="幼圆" w:eastAsia="幼圆" w:hAnsi="幼圆" w:cs="幼圆" w:hint="eastAsia"/>
                <w:bCs/>
                <w:szCs w:val="28"/>
              </w:rPr>
              <w:t>4.3平安集团财务智能化对高校教育启示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_Toc13570 \h </w:instrText>
            </w:r>
            <w:r>
              <w:rPr>
                <w:rFonts w:ascii="幼圆" w:eastAsia="幼圆" w:hAnsi="幼圆" w:cs="幼圆" w:hint="eastAsia"/>
              </w:rPr>
              <w:fldChar w:fldCharType="separate"/>
            </w:r>
            <w:r>
              <w:rPr>
                <w:rFonts w:ascii="幼圆" w:eastAsia="幼圆" w:hAnsi="幼圆" w:cs="幼圆" w:hint="eastAsia"/>
              </w:rPr>
              <w:t>23</w:t>
            </w:r>
            <w:r>
              <w:rPr>
                <w:rFonts w:ascii="幼圆" w:eastAsia="幼圆" w:hAnsi="幼圆" w:cs="幼圆" w:hint="eastAsia"/>
              </w:rPr>
              <w:fldChar w:fldCharType="end"/>
            </w:r>
          </w:hyperlink>
        </w:p>
        <w:p>
          <w:pPr>
            <w:pStyle w:val="TOC1"/>
            <w:tabs>
              <w:tab w:val="right" w:leader="dot" w:pos="8300"/>
            </w:tabs>
            <w:rPr>
              <w:rFonts w:ascii="幼圆" w:eastAsia="幼圆" w:hAnsi="幼圆" w:cs="幼圆" w:hint="eastAsia"/>
            </w:rPr>
          </w:pPr>
          <w:hyperlink w:anchor="_Toc21714" w:history="1">
            <w:r>
              <w:rPr>
                <w:rFonts w:ascii="幼圆" w:eastAsia="幼圆" w:hAnsi="幼圆" w:cs="幼圆" w:hint="eastAsia"/>
              </w:rPr>
              <w:t>第五章 结论与展望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_Toc21714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2"/>
            <w:tabs>
              <w:tab w:val="right" w:leader="dot" w:pos="8300"/>
            </w:tabs>
            <w:rPr>
              <w:rFonts w:ascii="幼圆" w:eastAsia="幼圆" w:hAnsi="幼圆" w:cs="幼圆" w:hint="eastAsia"/>
            </w:rPr>
          </w:pPr>
          <w:hyperlink w:anchor="_Toc10714" w:history="1">
            <w:r>
              <w:rPr>
                <w:rFonts w:ascii="幼圆" w:eastAsia="幼圆" w:hAnsi="幼圆" w:cs="幼圆" w:hint="eastAsia"/>
                <w:bCs/>
                <w:szCs w:val="28"/>
              </w:rPr>
              <w:t>5.1 研究结论</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_Toc10714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2"/>
            <w:tabs>
              <w:tab w:val="right" w:leader="dot" w:pos="8300"/>
            </w:tabs>
            <w:rPr>
              <w:rFonts w:ascii="幼圆" w:eastAsia="幼圆" w:hAnsi="幼圆" w:cs="幼圆" w:hint="eastAsia"/>
            </w:rPr>
          </w:pPr>
          <w:hyperlink w:anchor="_Toc9288" w:history="1">
            <w:r>
              <w:rPr>
                <w:rFonts w:ascii="幼圆" w:eastAsia="幼圆" w:hAnsi="幼圆" w:cs="幼圆" w:hint="eastAsia"/>
                <w:bCs/>
                <w:szCs w:val="28"/>
              </w:rPr>
              <w:t>5.2 本文不足之处</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_Toc9288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TOC2"/>
            <w:tabs>
              <w:tab w:val="right" w:leader="dot" w:pos="8300"/>
            </w:tabs>
            <w:rPr>
              <w:rFonts w:ascii="幼圆" w:eastAsia="幼圆" w:hAnsi="幼圆" w:cs="幼圆" w:hint="eastAsia"/>
            </w:rPr>
          </w:pPr>
          <w:hyperlink w:anchor="_Toc17311" w:history="1">
            <w:r>
              <w:rPr>
                <w:rFonts w:ascii="幼圆" w:eastAsia="幼圆" w:hAnsi="幼圆" w:cs="幼圆" w:hint="eastAsia"/>
                <w:bCs/>
                <w:szCs w:val="28"/>
              </w:rPr>
              <w:t>5.3 未来研究展望</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_Toc17311 \h </w:instrText>
            </w:r>
            <w:r>
              <w:rPr>
                <w:rFonts w:ascii="幼圆" w:eastAsia="幼圆" w:hAnsi="幼圆" w:cs="幼圆" w:hint="eastAsia"/>
              </w:rPr>
              <w:fldChar w:fldCharType="separate"/>
            </w:r>
            <w:r>
              <w:rPr>
                <w:rFonts w:ascii="幼圆" w:eastAsia="幼圆" w:hAnsi="幼圆" w:cs="幼圆" w:hint="eastAsia"/>
              </w:rPr>
              <w:t>25</w:t>
            </w:r>
            <w:r>
              <w:rPr>
                <w:rFonts w:ascii="幼圆" w:eastAsia="幼圆" w:hAnsi="幼圆" w:cs="幼圆" w:hint="eastAsia"/>
              </w:rPr>
              <w:fldChar w:fldCharType="end"/>
            </w:r>
          </w:hyperlink>
        </w:p>
        <w:p>
          <w:pPr>
            <w:pStyle w:val="TOC1"/>
            <w:tabs>
              <w:tab w:val="right" w:leader="dot" w:pos="8300"/>
            </w:tabs>
            <w:rPr>
              <w:rFonts w:ascii="幼圆" w:eastAsia="幼圆" w:hAnsi="幼圆" w:cs="幼圆" w:hint="eastAsia"/>
            </w:rPr>
          </w:pPr>
          <w:hyperlink w:anchor="_Toc2088" w:history="1">
            <w:r>
              <w:rPr>
                <w:rFonts w:ascii="幼圆" w:eastAsia="幼圆" w:hAnsi="幼圆" w:cs="幼圆" w:hint="eastAsia"/>
                <w:bCs/>
              </w:rPr>
              <w:t>参考文献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_Toc2088 \h </w:instrText>
            </w:r>
            <w:r>
              <w:rPr>
                <w:rFonts w:ascii="幼圆" w:eastAsia="幼圆" w:hAnsi="幼圆" w:cs="幼圆" w:hint="eastAsia"/>
              </w:rPr>
              <w:fldChar w:fldCharType="separate"/>
            </w:r>
            <w:r>
              <w:rPr>
                <w:rFonts w:ascii="幼圆" w:eastAsia="幼圆" w:hAnsi="幼圆" w:cs="幼圆" w:hint="eastAsia"/>
              </w:rPr>
              <w:t>26</w:t>
            </w:r>
            <w:r>
              <w:rPr>
                <w:rFonts w:ascii="幼圆" w:eastAsia="幼圆" w:hAnsi="幼圆" w:cs="幼圆" w:hint="eastAsia"/>
              </w:rPr>
              <w:fldChar w:fldCharType="end"/>
            </w:r>
          </w:hyperlink>
        </w:p>
        <w:p>
          <w:pPr>
            <w:jc w:val="center"/>
            <w:rPr>
              <w:rFonts w:ascii="幼圆" w:eastAsia="幼圆" w:hAnsi="幼圆" w:cs="幼圆" w:hint="eastAsia"/>
            </w:rPr>
          </w:pPr>
          <w:r>
            <w:rPr>
              <w:rFonts w:ascii="幼圆" w:eastAsia="幼圆" w:hAnsi="幼圆" w:cs="幼圆" w:hint="eastAsia"/>
              <w:lang w:val="zh-CN"/>
            </w:rPr>
            <w:fldChar w:fldCharType="end"/>
          </w:r>
        </w:p>
      </w:sdtContent>
    </w:sdt>
    <w:p>
      <w:pPr>
        <w:pStyle w:val="Heading1"/>
        <w:jc w:val="center"/>
        <w:rPr>
          <w:rFonts w:ascii="幼圆" w:eastAsia="幼圆" w:hAnsi="幼圆" w:cs="幼圆" w:hint="eastAsia"/>
          <w:b w:val="0"/>
        </w:rPr>
        <w:sectPr>
          <w:headerReference w:type="default" r:id="rId7"/>
          <w:type w:val="nextPage"/>
          <w:pgSz w:w="11906" w:h="16838"/>
          <w:pgMar w:top="1440" w:right="1803" w:bottom="1440" w:left="1803" w:header="851" w:footer="992" w:gutter="0"/>
          <w:pgNumType w:start="2"/>
          <w:cols w:num="1" w:space="720"/>
          <w:titlePg w:val="0"/>
          <w:docGrid w:type="lines" w:linePitch="312" w:charSpace="0"/>
        </w:sectPr>
      </w:pPr>
    </w:p>
    <w:p>
      <w:pPr>
        <w:rPr>
          <w:rFonts w:ascii="幼圆" w:eastAsia="幼圆" w:hAnsi="幼圆" w:cs="幼圆" w:hint="eastAsia"/>
        </w:rPr>
        <w:sectPr>
          <w:headerReference w:type="default" r:id="rId8"/>
          <w:footerReference w:type="default" r:id="rId9"/>
          <w:type w:val="continuous"/>
          <w:pgSz w:w="11906" w:h="16838"/>
          <w:pgMar w:top="1440" w:right="1803" w:bottom="1440" w:left="1803" w:header="851" w:footer="992" w:gutter="0"/>
          <w:pgNumType w:start="3"/>
          <w:cols w:num="1" w:space="720"/>
          <w:docGrid w:type="lines" w:linePitch="312" w:charSpace="0"/>
        </w:sectPr>
      </w:pPr>
    </w:p>
    <w:p>
      <w:pPr>
        <w:rPr>
          <w:rFonts w:ascii="幼圆" w:eastAsia="幼圆" w:hAnsi="幼圆" w:cs="幼圆" w:hint="eastAsia"/>
        </w:rPr>
        <w:sectPr>
          <w:headerReference w:type="default" r:id="rId10"/>
          <w:footerReference w:type="default" r:id="rId11"/>
          <w:type w:val="continuous"/>
          <w:pgSz w:w="11906" w:h="16838"/>
          <w:pgMar w:top="1440" w:right="1803" w:bottom="1440" w:left="1803" w:header="851" w:footer="992" w:gutter="0"/>
          <w:pgNumType w:start="4"/>
          <w:cols w:num="1" w:space="720"/>
          <w:docGrid w:type="lines" w:linePitch="312" w:charSpace="0"/>
        </w:sectPr>
      </w:pPr>
    </w:p>
    <w:p>
      <w:pPr>
        <w:rPr>
          <w:rFonts w:ascii="幼圆" w:eastAsia="幼圆" w:hAnsi="幼圆" w:cs="幼圆" w:hint="eastAsia"/>
        </w:rPr>
        <w:sectPr>
          <w:headerReference w:type="default" r:id="rId12"/>
          <w:footerReference w:type="default" r:id="rId13"/>
          <w:type w:val="continuous"/>
          <w:pgSz w:w="11906" w:h="16838"/>
          <w:pgMar w:top="1440" w:right="1803" w:bottom="1440" w:left="1803" w:header="851" w:footer="992" w:gutter="0"/>
          <w:pgNumType w:start="5"/>
          <w:cols w:num="1" w:space="720"/>
          <w:docGrid w:type="lines" w:linePitch="312" w:charSpace="0"/>
        </w:sectPr>
      </w:pPr>
    </w:p>
    <w:p>
      <w:pPr>
        <w:rPr>
          <w:rFonts w:ascii="幼圆" w:eastAsia="幼圆" w:hAnsi="幼圆" w:cs="幼圆" w:hint="eastAsia"/>
        </w:rPr>
      </w:pPr>
      <w:r>
        <w:rPr>
          <w:rFonts w:ascii="幼圆" w:eastAsia="幼圆" w:hAnsi="幼圆" w:cs="幼圆" w:hint="eastAsia"/>
        </w:rPr>
        <w:br w:type="page"/>
      </w:r>
    </w:p>
    <w:p>
      <w:pPr>
        <w:pStyle w:val="Heading1"/>
        <w:jc w:val="center"/>
        <w:rPr>
          <w:rFonts w:ascii="幼圆" w:eastAsia="幼圆" w:hAnsi="幼圆" w:cs="幼圆" w:hint="eastAsia"/>
          <w:b w:val="0"/>
        </w:rPr>
        <w:sectPr>
          <w:headerReference w:type="default" r:id="rId14"/>
          <w:footerReference w:type="default" r:id="rId15"/>
          <w:type w:val="continuous"/>
          <w:pgSz w:w="11906" w:h="16838"/>
          <w:pgMar w:top="1418" w:right="1134" w:bottom="1134" w:left="1418" w:header="851" w:footer="992" w:gutter="0"/>
          <w:pgNumType w:start="6"/>
          <w:cols w:num="1" w:space="720"/>
          <w:docGrid w:type="lines" w:linePitch="312" w:charSpace="0"/>
        </w:sectPr>
      </w:pPr>
    </w:p>
    <w:p>
      <w:pPr>
        <w:pStyle w:val="Title"/>
        <w:pageBreakBefore/>
        <w:widowControl/>
        <w:spacing w:before="0" w:after="0" w:line="360" w:lineRule="auto"/>
        <w:rPr>
          <w:rFonts w:ascii="幼圆" w:eastAsia="幼圆" w:hAnsi="幼圆" w:cs="幼圆" w:hint="eastAsia"/>
          <w:b w:val="0"/>
          <w:bCs w:val="0"/>
        </w:rPr>
      </w:pPr>
      <w:bookmarkStart w:id="1" w:name="_Toc31359"/>
      <w:r>
        <w:rPr>
          <w:rFonts w:ascii="幼圆" w:eastAsia="幼圆" w:hAnsi="幼圆" w:cs="幼圆" w:hint="eastAsia"/>
          <w:b w:val="0"/>
          <w:bCs w:val="0"/>
        </w:rPr>
        <w:t>第一章 绪论</w:t>
      </w:r>
      <w:bookmarkEnd w:id="1"/>
    </w:p>
    <w:p>
      <w:pPr>
        <w:pStyle w:val="Heading2"/>
        <w:widowControl/>
        <w:spacing w:before="0" w:after="0" w:line="360" w:lineRule="auto"/>
        <w:jc w:val="left"/>
        <w:rPr>
          <w:rFonts w:ascii="幼圆" w:eastAsia="幼圆" w:hAnsi="幼圆" w:cs="幼圆" w:hint="eastAsia"/>
          <w:bCs/>
          <w:sz w:val="28"/>
          <w:szCs w:val="28"/>
        </w:rPr>
      </w:pPr>
      <w:bookmarkStart w:id="2" w:name="_Toc10129"/>
      <w:r>
        <w:rPr>
          <w:rFonts w:ascii="幼圆" w:eastAsia="幼圆" w:hAnsi="幼圆" w:cs="幼圆" w:hint="eastAsia"/>
          <w:bCs/>
          <w:sz w:val="28"/>
          <w:szCs w:val="28"/>
        </w:rPr>
        <w:t>1.1研究背景及意义</w:t>
      </w:r>
      <w:bookmarkEnd w:id="2"/>
    </w:p>
    <w:p>
      <w:pPr>
        <w:pStyle w:val="Heading3"/>
        <w:keepNext w:val="0"/>
        <w:keepLines w:val="0"/>
        <w:spacing w:before="0" w:after="0" w:line="360" w:lineRule="auto"/>
        <w:jc w:val="left"/>
        <w:rPr>
          <w:rFonts w:ascii="幼圆" w:eastAsia="幼圆" w:hAnsi="幼圆" w:cs="幼圆" w:hint="eastAsia"/>
          <w:b w:val="0"/>
          <w:sz w:val="24"/>
          <w:szCs w:val="24"/>
        </w:rPr>
      </w:pPr>
      <w:bookmarkStart w:id="3" w:name="_Toc13534"/>
      <w:r>
        <w:rPr>
          <w:rFonts w:ascii="幼圆" w:eastAsia="幼圆" w:hAnsi="幼圆" w:cs="幼圆" w:hint="eastAsia"/>
          <w:b w:val="0"/>
          <w:sz w:val="24"/>
          <w:szCs w:val="24"/>
        </w:rPr>
        <w:t>1.1.1研究背景</w:t>
      </w:r>
      <w:bookmarkEnd w:id="3"/>
    </w:p>
    <w:p>
      <w:pPr>
        <w:widowControl/>
        <w:spacing w:line="360" w:lineRule="auto"/>
        <w:ind w:firstLine="480" w:firstLineChars="200"/>
        <w:jc w:val="left"/>
        <w:rPr>
          <w:rFonts w:ascii="幼圆" w:eastAsia="幼圆" w:hAnsi="幼圆" w:cs="幼圆" w:hint="eastAsia"/>
          <w:color w:val="000000"/>
          <w:kern w:val="0"/>
          <w:sz w:val="24"/>
          <w:szCs w:val="24"/>
          <w:shd w:val="clear" w:color="auto" w:fill="FFFFFF"/>
        </w:rPr>
      </w:pPr>
      <w:r>
        <w:rPr>
          <w:rFonts w:ascii="幼圆" w:eastAsia="幼圆" w:hAnsi="幼圆" w:cs="幼圆" w:hint="eastAsia"/>
          <w:sz w:val="24"/>
          <w:szCs w:val="24"/>
        </w:rPr>
        <w:t>互联网、人工智能、大数据、物联网、大智移云等先进的技术在各行业中被普及和运用，改变了企业的商业环境，传统财务管理面临的困境和挑战越来越明显。</w:t>
      </w:r>
      <w:bookmarkStart w:id="4" w:name="【paperrevise】62_财务信息的滞后性，无法及时给企业管理层提供最新的"/>
      <w:r>
        <w:rPr>
          <w:rFonts w:ascii="幼圆" w:eastAsia="幼圆" w:hAnsi="幼圆" w:cs="幼圆" w:hint="eastAsia"/>
          <w:color w:val="000000"/>
          <w:kern w:val="0"/>
          <w:sz w:val="24"/>
          <w:szCs w:val="24"/>
          <w:shd w:val="clear" w:color="auto" w:fill="FFFFFF"/>
        </w:rPr>
        <w:t>财务信息的滞后性，无法及时给企业管理层提供最新的财务信息；</w:t>
      </w:r>
      <w:bookmarkEnd w:id="4"/>
      <w:bookmarkStart w:id="5" w:name="【paperrevise】63_业务和财务信息的不对称性，深度影响了企业的战略决"/>
      <w:r>
        <w:rPr>
          <w:rFonts w:ascii="幼圆" w:eastAsia="幼圆" w:hAnsi="幼圆" w:cs="幼圆" w:hint="eastAsia"/>
          <w:color w:val="000000"/>
          <w:kern w:val="0"/>
          <w:sz w:val="24"/>
          <w:szCs w:val="24"/>
          <w:shd w:val="clear" w:color="auto" w:fill="FFFFFF"/>
        </w:rPr>
        <w:t>业务和财务信息的不对称性，深度影响了企业的战略决策，无法有效为企业规避风险提供参考。</w:t>
      </w:r>
      <w:bookmarkEnd w:id="5"/>
      <w:bookmarkStart w:id="6" w:name="【paperrevise】65_新技术的发展使传统的财务工作面临革新。"/>
      <w:r>
        <w:rPr>
          <w:rFonts w:ascii="幼圆" w:eastAsia="幼圆" w:hAnsi="幼圆" w:cs="幼圆" w:hint="eastAsia"/>
          <w:color w:val="000000"/>
          <w:kern w:val="0"/>
          <w:sz w:val="24"/>
          <w:szCs w:val="24"/>
          <w:shd w:val="clear" w:color="auto" w:fill="FFFFFF"/>
        </w:rPr>
        <w:t>新技术的发展使传统的财务工作面临革新。</w:t>
      </w:r>
      <w:bookmarkEnd w:id="6"/>
    </w:p>
    <w:p>
      <w:pPr>
        <w:widowControl/>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color w:val="000000"/>
          <w:kern w:val="0"/>
          <w:sz w:val="24"/>
          <w:szCs w:val="24"/>
          <w:shd w:val="clear" w:color="auto" w:fill="FFFFFF"/>
        </w:rPr>
        <w:t>在财务信息化的基础上，人工智能进一步与企业会计工作融合，智能财务正在逐步发展。</w:t>
      </w:r>
      <w:bookmarkStart w:id="7" w:name="【paperrevise】66_智能化是指任何事物在新一代技术的支持下，所具有可"/>
      <w:r>
        <w:rPr>
          <w:rFonts w:ascii="幼圆" w:eastAsia="幼圆" w:hAnsi="幼圆" w:cs="幼圆" w:hint="eastAsia"/>
          <w:color w:val="000000"/>
          <w:kern w:val="0"/>
          <w:sz w:val="24"/>
          <w:szCs w:val="24"/>
          <w:shd w:val="clear" w:color="auto" w:fill="FFFFFF"/>
        </w:rPr>
        <w:t>智能化是指任何事物在新一代技术的支持下，所具有可以能动满足各种需求的属性。</w:t>
      </w:r>
      <w:bookmarkEnd w:id="7"/>
      <w:r>
        <w:rPr>
          <w:rFonts w:ascii="幼圆" w:eastAsia="幼圆" w:hAnsi="幼圆" w:cs="幼圆" w:hint="eastAsia"/>
          <w:color w:val="000000"/>
          <w:kern w:val="0"/>
          <w:sz w:val="24"/>
          <w:szCs w:val="24"/>
          <w:shd w:val="clear" w:color="auto" w:fill="FFFFFF"/>
        </w:rPr>
        <w:t>目前国内对财务智能化尚无明确的定义，但结合多项研究成果以及不同学者的研究文献，可以大致看出财务智能化是基于人工智能、云计算、物联网等新兴技术，以财务共享中心为平台，以及配套的组织设计构成的一种新型财务工作模式。</w:t>
      </w:r>
      <w:bookmarkStart w:id="8" w:name="【paperrevise】67_近年来我国智能财务有了很大的发展。"/>
      <w:r>
        <w:rPr>
          <w:rFonts w:ascii="幼圆" w:eastAsia="幼圆" w:hAnsi="幼圆" w:cs="幼圆" w:hint="eastAsia"/>
          <w:color w:val="000000"/>
          <w:kern w:val="0"/>
          <w:sz w:val="24"/>
          <w:szCs w:val="24"/>
          <w:shd w:val="clear" w:color="auto" w:fill="FFFFFF"/>
        </w:rPr>
        <w:t>近年来我国智能财务有了很大的发展。</w:t>
      </w:r>
      <w:bookmarkEnd w:id="8"/>
      <w:bookmarkStart w:id="9" w:name="【paperrevise】68_2015_年国务院提出促进人工智能产业的培育和发"/>
      <w:r>
        <w:rPr>
          <w:rFonts w:ascii="幼圆" w:eastAsia="幼圆" w:hAnsi="幼圆" w:cs="幼圆" w:hint="eastAsia"/>
          <w:color w:val="000000"/>
          <w:kern w:val="0"/>
          <w:sz w:val="24"/>
          <w:szCs w:val="24"/>
          <w:shd w:val="clear" w:color="auto" w:fill="FFFFFF"/>
        </w:rPr>
        <w:t>2015 年国务院提出促进人工智能产业的培育和发展；</w:t>
      </w:r>
      <w:bookmarkEnd w:id="9"/>
      <w:r>
        <w:rPr>
          <w:rFonts w:ascii="幼圆" w:eastAsia="幼圆" w:hAnsi="幼圆" w:cs="幼圆" w:hint="eastAsia"/>
          <w:color w:val="000000"/>
          <w:kern w:val="0"/>
          <w:sz w:val="24"/>
          <w:szCs w:val="24"/>
          <w:shd w:val="clear" w:color="auto" w:fill="FFFFFF"/>
        </w:rPr>
        <w:t>2016年人工智能被列入了“十三五”规划中，同年第一款财务机器人由德勤推出；</w:t>
      </w:r>
      <w:bookmarkStart w:id="10" w:name="【paperrevise】70_2017_年“四大”中其他三家也相继推出了机器人"/>
      <w:r>
        <w:rPr>
          <w:rFonts w:ascii="幼圆" w:eastAsia="幼圆" w:hAnsi="幼圆" w:cs="幼圆" w:hint="eastAsia"/>
          <w:color w:val="000000"/>
          <w:kern w:val="0"/>
          <w:sz w:val="24"/>
          <w:szCs w:val="24"/>
          <w:shd w:val="clear" w:color="auto" w:fill="FFFFFF"/>
        </w:rPr>
        <w:t>2017 年“四大”中其他三家也相继推出了机器人流程自动化及相关服务；</w:t>
      </w:r>
      <w:bookmarkEnd w:id="10"/>
      <w:r>
        <w:rPr>
          <w:rFonts w:ascii="幼圆" w:eastAsia="幼圆" w:hAnsi="幼圆" w:cs="幼圆" w:hint="eastAsia"/>
          <w:color w:val="000000"/>
          <w:kern w:val="0"/>
          <w:sz w:val="24"/>
          <w:szCs w:val="24"/>
          <w:shd w:val="clear" w:color="auto" w:fill="FFFFFF"/>
        </w:rPr>
        <w:t>之后用友和金蝶也公布了自己的财</w:t>
      </w:r>
      <w:r>
        <w:rPr>
          <w:rFonts w:ascii="幼圆" w:eastAsia="幼圆" w:hAnsi="幼圆" w:cs="幼圆" w:hint="eastAsia"/>
          <w:sz w:val="24"/>
          <w:szCs w:val="24"/>
          <w:shd w:val="clear" w:color="auto" w:fill="FFFFFF"/>
        </w:rPr>
        <w:t>务机器人。</w:t>
      </w:r>
    </w:p>
    <w:p>
      <w:pPr>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sz w:val="24"/>
          <w:szCs w:val="24"/>
        </w:rPr>
        <w:t>然而，作为一个新兴领域，虽然财务智能化成为学术界和实务界一个新的研究焦点，但财务智能化的开发和实施主要集中在四大会计师事务所、外资企业、软件开发公司、部分大集团里，多数企业总体处于认识了解熟悉的过程中，</w:t>
      </w:r>
      <w:r>
        <w:rPr>
          <w:rFonts w:ascii="幼圆" w:eastAsia="幼圆" w:hAnsi="幼圆" w:cs="幼圆" w:hint="eastAsia"/>
          <w:sz w:val="24"/>
          <w:szCs w:val="24"/>
          <w:shd w:val="clear" w:color="auto" w:fill="FFFFFF"/>
        </w:rPr>
        <w:t>对智能财务的了解和研究需要进一步深入。</w:t>
      </w:r>
    </w:p>
    <w:p>
      <w:pPr>
        <w:pStyle w:val="Heading3"/>
        <w:keepNext w:val="0"/>
        <w:keepLines w:val="0"/>
        <w:spacing w:before="0" w:after="0" w:line="360" w:lineRule="auto"/>
        <w:jc w:val="left"/>
        <w:rPr>
          <w:rFonts w:ascii="幼圆" w:eastAsia="幼圆" w:hAnsi="幼圆" w:cs="幼圆" w:hint="eastAsia"/>
          <w:b w:val="0"/>
          <w:sz w:val="24"/>
          <w:szCs w:val="24"/>
        </w:rPr>
      </w:pPr>
      <w:bookmarkStart w:id="11" w:name="_Toc13024"/>
      <w:r>
        <w:rPr>
          <w:rFonts w:ascii="幼圆" w:eastAsia="幼圆" w:hAnsi="幼圆" w:cs="幼圆" w:hint="eastAsia"/>
          <w:b w:val="0"/>
          <w:sz w:val="24"/>
          <w:szCs w:val="24"/>
        </w:rPr>
        <w:t>1.1.2.研究意义</w:t>
      </w:r>
      <w:bookmarkEnd w:id="11"/>
    </w:p>
    <w:p>
      <w:pPr>
        <w:widowControl/>
        <w:spacing w:line="360" w:lineRule="auto"/>
        <w:ind w:firstLine="480" w:firstLineChars="200"/>
        <w:jc w:val="left"/>
        <w:rPr>
          <w:rFonts w:ascii="幼圆" w:eastAsia="幼圆" w:hAnsi="幼圆" w:cs="幼圆" w:hint="eastAsia"/>
          <w:color w:val="000000"/>
          <w:kern w:val="0"/>
          <w:sz w:val="24"/>
          <w:szCs w:val="24"/>
          <w:shd w:val="clear" w:color="auto" w:fill="FFFFFF"/>
        </w:rPr>
      </w:pPr>
      <w:r>
        <w:rPr>
          <w:rFonts w:ascii="幼圆" w:eastAsia="幼圆" w:hAnsi="幼圆" w:cs="幼圆" w:hint="eastAsia"/>
          <w:sz w:val="24"/>
          <w:szCs w:val="24"/>
        </w:rPr>
        <w:t>财务工作在大数据的支持下，</w:t>
      </w:r>
      <w:r>
        <w:rPr>
          <w:rFonts w:ascii="幼圆" w:eastAsia="幼圆" w:hAnsi="幼圆" w:cs="幼圆" w:hint="eastAsia"/>
          <w:sz w:val="24"/>
          <w:szCs w:val="24"/>
          <w:shd w:val="clear" w:color="auto" w:fill="FFFFFF"/>
        </w:rPr>
        <w:t>可以能动地满足企业生产、经营、管理、决策分析等多方面的需求，带来降低成本、提升服务质量、提高效率等积极效果。</w:t>
      </w:r>
      <w:r>
        <w:rPr>
          <w:rFonts w:ascii="幼圆" w:eastAsia="幼圆" w:hAnsi="幼圆" w:cs="幼圆" w:hint="eastAsia"/>
          <w:sz w:val="24"/>
          <w:szCs w:val="24"/>
        </w:rPr>
        <w:t>在财务智能化的影响下，企业的业务信息能够及时反馈到财务工作中，高质量的财务信息能够使企业更加高效地完成各项业务并拓宽业务范围，</w:t>
      </w:r>
      <w:r>
        <w:rPr>
          <w:rFonts w:ascii="幼圆" w:eastAsia="幼圆" w:hAnsi="幼圆" w:cs="幼圆" w:hint="eastAsia"/>
          <w:sz w:val="24"/>
          <w:szCs w:val="24"/>
          <w:shd w:val="clear" w:color="auto" w:fill="FFFFFF"/>
        </w:rPr>
        <w:t>增强企业的</w:t>
      </w:r>
      <w:r>
        <w:rPr>
          <w:rFonts w:ascii="幼圆" w:eastAsia="幼圆" w:hAnsi="幼圆" w:cs="幼圆" w:hint="eastAsia"/>
          <w:color w:val="000000"/>
          <w:kern w:val="0"/>
          <w:sz w:val="24"/>
          <w:szCs w:val="24"/>
          <w:shd w:val="clear" w:color="auto" w:fill="FFFFFF"/>
        </w:rPr>
        <w:t>盈利和发展能力。财务智能化在我国为一个新兴的领域，学术界对财务智能化的相关研究较少。</w:t>
      </w:r>
      <w:bookmarkStart w:id="12" w:name="【paperrevise】60_因此本文对平安集团财务智能化的研究，能够丰富我国"/>
      <w:r>
        <w:rPr>
          <w:rFonts w:ascii="幼圆" w:eastAsia="幼圆" w:hAnsi="幼圆" w:cs="幼圆" w:hint="eastAsia"/>
          <w:color w:val="000000"/>
          <w:kern w:val="0"/>
          <w:sz w:val="24"/>
          <w:szCs w:val="24"/>
          <w:shd w:val="clear" w:color="auto" w:fill="FFFFFF"/>
        </w:rPr>
        <w:t>因此本文对平安集团财务智能化的研究，能够丰富我国财务智能化的研究成果。</w:t>
      </w:r>
      <w:bookmarkEnd w:id="12"/>
    </w:p>
    <w:p>
      <w:pPr>
        <w:widowControl/>
        <w:spacing w:line="360" w:lineRule="auto"/>
        <w:ind w:firstLine="480" w:firstLineChars="200"/>
        <w:jc w:val="left"/>
        <w:rPr>
          <w:rFonts w:ascii="幼圆" w:eastAsia="幼圆" w:hAnsi="幼圆" w:cs="幼圆" w:hint="eastAsia"/>
          <w:color w:val="000000"/>
          <w:kern w:val="0"/>
          <w:sz w:val="24"/>
          <w:szCs w:val="24"/>
          <w:shd w:val="clear" w:color="auto" w:fill="FFFFFF"/>
        </w:rPr>
        <w:sectPr>
          <w:headerReference w:type="default" r:id="rId16"/>
          <w:footerReference w:type="default" r:id="rId17"/>
          <w:type w:val="continuous"/>
          <w:pgSz w:w="11906" w:h="16838"/>
          <w:pgMar w:top="1418" w:right="1134" w:bottom="1134" w:left="1418" w:header="851" w:footer="992" w:gutter="0"/>
          <w:pgNumType w:start="1"/>
          <w:cols w:num="1" w:space="720"/>
          <w:docGrid w:type="lines" w:linePitch="312" w:charSpace="0"/>
        </w:sectPr>
      </w:pPr>
      <w:bookmarkStart w:id="13" w:name="【paperrevise】59_在智能财务蓬勃发展给企业带来效益的同时，智能财务"/>
      <w:r>
        <w:rPr>
          <w:rFonts w:ascii="幼圆" w:eastAsia="幼圆" w:hAnsi="幼圆" w:cs="幼圆" w:hint="eastAsia"/>
          <w:color w:val="000000"/>
          <w:kern w:val="0"/>
          <w:sz w:val="24"/>
          <w:szCs w:val="24"/>
          <w:shd w:val="clear" w:color="auto" w:fill="FFFFFF"/>
        </w:rPr>
        <w:t>在智能财务蓬勃发展给企业带来效益的同时，智能财务也面临着许多挑战。</w:t>
      </w:r>
      <w:bookmarkEnd w:id="13"/>
    </w:p>
    <w:p>
      <w:pPr>
        <w:widowControl/>
        <w:spacing w:line="360" w:lineRule="auto"/>
        <w:ind w:firstLine="480" w:firstLineChars="200"/>
        <w:jc w:val="left"/>
        <w:rPr>
          <w:rFonts w:ascii="幼圆" w:eastAsia="幼圆" w:hAnsi="幼圆" w:cs="幼圆" w:hint="eastAsia"/>
          <w:color w:val="000000"/>
          <w:kern w:val="0"/>
          <w:sz w:val="24"/>
          <w:szCs w:val="24"/>
          <w:shd w:val="clear" w:color="auto" w:fill="FFFFFF"/>
        </w:rPr>
      </w:pPr>
      <w:r>
        <w:rPr>
          <w:rFonts w:ascii="幼圆" w:eastAsia="幼圆" w:hAnsi="幼圆" w:cs="幼圆" w:hint="eastAsia"/>
          <w:sz w:val="24"/>
          <w:szCs w:val="24"/>
        </w:rPr>
        <w:t>首先，大部分企业缺乏向财务智能化变革的决心，究其原因有：财务智能化对智能化、自动化技术要求高，企</w:t>
      </w:r>
      <w:r>
        <w:rPr>
          <w:rFonts w:ascii="幼圆" w:eastAsia="幼圆" w:hAnsi="幼圆" w:cs="幼圆" w:hint="eastAsia"/>
          <w:color w:val="000000"/>
          <w:kern w:val="0"/>
          <w:sz w:val="24"/>
          <w:szCs w:val="24"/>
          <w:shd w:val="clear" w:color="auto" w:fill="FFFFFF"/>
        </w:rPr>
        <w:t>业无法为财务智能化提供技术保障；缺乏财务智能化转型的变革经验，无法负担高昂的试错成本；</w:t>
      </w:r>
      <w:bookmarkStart w:id="14" w:name="【paperrevise】58_财务智能化建设周期长，底蕴不厚的企业无法为智能化"/>
      <w:r>
        <w:rPr>
          <w:rFonts w:ascii="幼圆" w:eastAsia="幼圆" w:hAnsi="幼圆" w:cs="幼圆" w:hint="eastAsia"/>
          <w:color w:val="000000"/>
          <w:kern w:val="0"/>
          <w:sz w:val="24"/>
          <w:szCs w:val="24"/>
          <w:shd w:val="clear" w:color="auto" w:fill="FFFFFF"/>
        </w:rPr>
        <w:t>财务智能化建设周期长，底蕴不厚的企业无法为智能化建设提供长期的投入资金。</w:t>
      </w:r>
      <w:bookmarkEnd w:id="14"/>
      <w:r>
        <w:rPr>
          <w:rFonts w:ascii="幼圆" w:eastAsia="幼圆" w:hAnsi="幼圆" w:cs="幼圆" w:hint="eastAsia"/>
          <w:color w:val="000000"/>
          <w:kern w:val="0"/>
          <w:sz w:val="24"/>
          <w:szCs w:val="24"/>
          <w:shd w:val="clear" w:color="auto" w:fill="FFFFFF"/>
        </w:rPr>
        <w:t xml:space="preserve">其次，目前大部分高校财务管理教育没有转型，没有紧跟时代潮流，财税教育体系虽财务管理教育体系中完善，但是缺乏商业模式和业务流程的引入，导致培养的学生无法有效的处理实际工作中的问题。最后，财务人员的管理思想和理念没有转变，财务工作主要还是以做账记账为主，缺乏数据分析的能力，缺乏财务智能化所需的技术和经验。 </w:t>
      </w:r>
    </w:p>
    <w:p>
      <w:pPr>
        <w:widowControl/>
        <w:spacing w:line="360" w:lineRule="auto"/>
        <w:ind w:firstLine="480" w:firstLineChars="200"/>
        <w:jc w:val="left"/>
        <w:rPr>
          <w:rFonts w:ascii="幼圆" w:eastAsia="幼圆" w:hAnsi="幼圆" w:cs="幼圆" w:hint="eastAsia"/>
          <w:sz w:val="24"/>
          <w:szCs w:val="24"/>
        </w:rPr>
      </w:pPr>
      <w:bookmarkStart w:id="15" w:name="【paperrevise】55_平安集团从2004年开始建立了财务共享中心，经过"/>
      <w:r>
        <w:rPr>
          <w:rFonts w:ascii="幼圆" w:eastAsia="幼圆" w:hAnsi="幼圆" w:cs="幼圆" w:hint="eastAsia"/>
          <w:color w:val="000000"/>
          <w:kern w:val="0"/>
          <w:sz w:val="24"/>
          <w:szCs w:val="24"/>
          <w:shd w:val="clear" w:color="auto" w:fill="FFFFFF"/>
        </w:rPr>
        <w:t>平安集团从2004年开始建立了财务共享中心，经过十几年的发展，财务共享中心的建设趋于成熟。</w:t>
      </w:r>
      <w:bookmarkEnd w:id="15"/>
      <w:r>
        <w:rPr>
          <w:rFonts w:ascii="幼圆" w:eastAsia="幼圆" w:hAnsi="幼圆" w:cs="幼圆" w:hint="eastAsia"/>
          <w:color w:val="000000"/>
          <w:kern w:val="0"/>
          <w:sz w:val="24"/>
          <w:szCs w:val="24"/>
          <w:shd w:val="clear" w:color="auto" w:fill="FFFFFF"/>
        </w:rPr>
        <w:t>厚实的财务共享中心营运基础，为平安集团实施财务智能化提供了有利条件。因此，平安集团在2017年正式提出了建</w:t>
      </w:r>
      <w:r>
        <w:rPr>
          <w:rFonts w:ascii="幼圆" w:eastAsia="幼圆" w:hAnsi="幼圆" w:cs="幼圆" w:hint="eastAsia"/>
          <w:sz w:val="24"/>
          <w:szCs w:val="24"/>
        </w:rPr>
        <w:t>设“智慧财务工程”战略任务。</w:t>
      </w:r>
      <w:r>
        <w:rPr>
          <w:rFonts w:ascii="幼圆" w:eastAsia="幼圆" w:hAnsi="幼圆" w:cs="幼圆" w:hint="eastAsia"/>
          <w:sz w:val="24"/>
          <w:szCs w:val="24"/>
          <w:shd w:val="clear" w:color="auto" w:fill="FFFFFF"/>
        </w:rPr>
        <w:t>本论文通过对以平安集团为例，分析平安集团智慧财务工程的内容和成效及成功因素，</w:t>
      </w:r>
      <w:r>
        <w:rPr>
          <w:rFonts w:ascii="幼圆" w:eastAsia="幼圆" w:hAnsi="幼圆" w:cs="幼圆" w:hint="eastAsia"/>
          <w:sz w:val="24"/>
          <w:szCs w:val="24"/>
        </w:rPr>
        <w:t>有助于引发中国企业，财务人员，以及高等教育学校对财务智能化的思考。</w:t>
      </w:r>
    </w:p>
    <w:p>
      <w:pPr>
        <w:pStyle w:val="Heading2"/>
        <w:widowControl/>
        <w:spacing w:before="0" w:after="0" w:line="360" w:lineRule="auto"/>
        <w:jc w:val="left"/>
        <w:rPr>
          <w:rFonts w:ascii="幼圆" w:eastAsia="幼圆" w:hAnsi="幼圆" w:cs="幼圆" w:hint="eastAsia"/>
          <w:bCs/>
          <w:sz w:val="28"/>
          <w:szCs w:val="28"/>
        </w:rPr>
      </w:pPr>
      <w:bookmarkStart w:id="16" w:name="_Toc25336"/>
      <w:bookmarkStart w:id="17" w:name="_Toc23757"/>
      <w:r>
        <w:rPr>
          <w:rFonts w:ascii="幼圆" w:eastAsia="幼圆" w:hAnsi="幼圆" w:cs="幼圆" w:hint="eastAsia"/>
          <w:bCs/>
          <w:sz w:val="28"/>
          <w:szCs w:val="28"/>
        </w:rPr>
        <w:t>1.2文献综述</w:t>
      </w:r>
      <w:bookmarkEnd w:id="16"/>
      <w:bookmarkEnd w:id="17"/>
      <w:r>
        <w:rPr>
          <w:rFonts w:ascii="幼圆" w:eastAsia="幼圆" w:hAnsi="幼圆" w:cs="幼圆" w:hint="eastAsia"/>
          <w:bCs/>
          <w:sz w:val="28"/>
          <w:szCs w:val="28"/>
        </w:rPr>
        <w:t xml:space="preserve"> </w:t>
      </w:r>
    </w:p>
    <w:p>
      <w:pPr>
        <w:pStyle w:val="Heading3"/>
        <w:keepNext w:val="0"/>
        <w:keepLines w:val="0"/>
        <w:spacing w:before="0" w:after="0" w:line="360" w:lineRule="auto"/>
        <w:jc w:val="left"/>
        <w:rPr>
          <w:rFonts w:ascii="幼圆" w:eastAsia="幼圆" w:hAnsi="幼圆" w:cs="幼圆" w:hint="eastAsia"/>
          <w:b w:val="0"/>
          <w:sz w:val="24"/>
          <w:szCs w:val="24"/>
        </w:rPr>
      </w:pPr>
      <w:bookmarkStart w:id="18" w:name="_Toc16663"/>
      <w:bookmarkStart w:id="19" w:name="_Toc29213"/>
      <w:r>
        <w:rPr>
          <w:rFonts w:ascii="幼圆" w:eastAsia="幼圆" w:hAnsi="幼圆" w:cs="幼圆" w:hint="eastAsia"/>
          <w:b w:val="0"/>
          <w:sz w:val="24"/>
          <w:szCs w:val="24"/>
        </w:rPr>
        <w:t>1.2.1国外综述</w:t>
      </w:r>
      <w:bookmarkEnd w:id="18"/>
      <w:bookmarkEnd w:id="19"/>
    </w:p>
    <w:p>
      <w:pPr>
        <w:widowControl/>
        <w:spacing w:line="360" w:lineRule="auto"/>
        <w:ind w:firstLine="480" w:firstLineChars="200"/>
        <w:jc w:val="left"/>
        <w:rPr>
          <w:rFonts w:ascii="幼圆" w:eastAsia="幼圆" w:hAnsi="幼圆" w:cs="幼圆" w:hint="eastAsia"/>
          <w:color w:val="000000"/>
          <w:kern w:val="0"/>
          <w:sz w:val="24"/>
          <w:szCs w:val="24"/>
          <w:shd w:val="clear" w:color="auto" w:fill="FFFFFF"/>
        </w:rPr>
      </w:pPr>
      <w:bookmarkStart w:id="20" w:name="【paperrevise】71_1987_年美国注册会计师协会（AICPA）发表"/>
      <w:r>
        <w:rPr>
          <w:rFonts w:ascii="幼圆" w:eastAsia="幼圆" w:hAnsi="幼圆" w:cs="幼圆" w:hint="eastAsia"/>
          <w:color w:val="000000"/>
          <w:kern w:val="0"/>
          <w:sz w:val="24"/>
          <w:szCs w:val="24"/>
          <w:shd w:val="clear" w:color="auto" w:fill="FFFFFF"/>
        </w:rPr>
        <w:t>1987 年美国注册会计师协会（AICPA）发表了一份名叫《人工智能与专家系统简介》的管理指导特别报告，这标志着人工智能进入了财务领域。</w:t>
      </w:r>
      <w:bookmarkEnd w:id="20"/>
      <w:bookmarkStart w:id="21" w:name="【paperrevise】72_自此国外财会领域不同的专家对人工智能技术在会计、"/>
      <w:r>
        <w:rPr>
          <w:rFonts w:ascii="幼圆" w:eastAsia="幼圆" w:hAnsi="幼圆" w:cs="幼圆" w:hint="eastAsia"/>
          <w:color w:val="000000"/>
          <w:kern w:val="0"/>
          <w:sz w:val="24"/>
          <w:szCs w:val="24"/>
          <w:shd w:val="clear" w:color="auto" w:fill="FFFFFF"/>
        </w:rPr>
        <w:t>自此国外财会领域不同的专家对人工智能技术在会计、审计和税务等方面的运用进行了深入的研究与探索，并成功地研究出了相应的技术与专家系统来解决财会领域复杂的财务问题。</w:t>
      </w:r>
      <w:bookmarkEnd w:id="21"/>
      <w:r>
        <w:rPr>
          <w:rFonts w:ascii="幼圆" w:eastAsia="幼圆" w:hAnsi="幼圆" w:cs="幼圆" w:hint="eastAsia"/>
          <w:color w:val="000000"/>
          <w:kern w:val="0"/>
          <w:sz w:val="24"/>
          <w:szCs w:val="24"/>
          <w:shd w:val="clear" w:color="auto" w:fill="FFFFFF"/>
        </w:rPr>
        <w:t xml:space="preserve"> </w:t>
      </w:r>
    </w:p>
    <w:p>
      <w:pPr>
        <w:widowControl/>
        <w:spacing w:line="360" w:lineRule="auto"/>
        <w:ind w:firstLine="480" w:firstLineChars="200"/>
        <w:jc w:val="left"/>
        <w:rPr>
          <w:rFonts w:ascii="幼圆" w:eastAsia="幼圆" w:hAnsi="幼圆" w:cs="幼圆" w:hint="eastAsia"/>
          <w:sz w:val="24"/>
          <w:szCs w:val="24"/>
        </w:rPr>
      </w:pPr>
      <w:r>
        <w:rPr>
          <w:rFonts w:ascii="幼圆" w:eastAsia="幼圆" w:hAnsi="幼圆" w:cs="幼圆" w:hint="eastAsia"/>
          <w:color w:val="000000"/>
          <w:kern w:val="0"/>
          <w:sz w:val="24"/>
          <w:szCs w:val="24"/>
          <w:shd w:val="clear" w:color="auto" w:fill="FFFFFF"/>
        </w:rPr>
        <w:t>Theodora（2020）认为人工智能的进展并非偶然，它们是由三大创新催化剂推动的投资、计算能力和不断循环的更智能的新见解。目前所看到的智能互联系统人工智能是其潜在功能的雏形，为了使人工智能被更充分地利用，需要不断理解人工智能背后的机制和计算能力。人工智能和相关认知工具的总称已被证明是金融服务业商业模式革新和效率提高</w:t>
      </w:r>
      <w:r>
        <w:rPr>
          <w:rFonts w:ascii="幼圆" w:eastAsia="幼圆" w:hAnsi="幼圆" w:cs="幼圆" w:hint="eastAsia"/>
          <w:sz w:val="24"/>
          <w:szCs w:val="24"/>
        </w:rPr>
        <w:t xml:space="preserve">的催化剂。先进的分析工具正在对金融应用程序开发产生广泛的影响。随着智能化的发展，许多年轻公司和风险投资公司希望成为这股浪潮的一部分。 </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Florian（2020）通过结构化的文献综述，</w:t>
      </w:r>
      <w:r>
        <w:rPr>
          <w:rFonts w:ascii="幼圆" w:eastAsia="幼圆" w:hAnsi="幼圆" w:cs="幼圆" w:hint="eastAsia"/>
          <w:sz w:val="24"/>
          <w:szCs w:val="24"/>
          <w:shd w:val="clear" w:color="auto" w:fill="FFFFFF"/>
        </w:rPr>
        <w:t>研究如何在商业银行中运用人工智能和人工智能面临的挑战，</w:t>
      </w:r>
      <w:r>
        <w:rPr>
          <w:rFonts w:ascii="幼圆" w:eastAsia="幼圆" w:hAnsi="幼圆" w:cs="幼圆" w:hint="eastAsia"/>
          <w:sz w:val="24"/>
          <w:szCs w:val="24"/>
        </w:rPr>
        <w:t>得出了通过使用AI，商业银行能够减少贷款损失，提高处理付款的安全性，使合规性工作自动化，并改善客户定位的结论。</w:t>
      </w:r>
    </w:p>
    <w:p>
      <w:pPr>
        <w:spacing w:line="360" w:lineRule="auto"/>
        <w:ind w:firstLine="480" w:firstLineChars="200"/>
        <w:rPr>
          <w:rFonts w:ascii="幼圆" w:eastAsia="幼圆" w:hAnsi="幼圆" w:cs="幼圆" w:hint="eastAsia"/>
          <w:sz w:val="24"/>
          <w:szCs w:val="24"/>
        </w:rPr>
        <w:sectPr>
          <w:headerReference w:type="default" r:id="rId18"/>
          <w:footerReference w:type="default" r:id="rId19"/>
          <w:type w:val="nextPage"/>
          <w:pgSz w:w="11906" w:h="16838"/>
          <w:pgMar w:top="1418" w:right="1134" w:bottom="1134" w:left="1418" w:header="851" w:footer="992" w:gutter="0"/>
          <w:pgNumType w:start="2"/>
          <w:cols w:num="1" w:space="720"/>
          <w:titlePg w:val="0"/>
          <w:docGrid w:type="lines" w:linePitch="312" w:charSpace="0"/>
        </w:sectPr>
      </w:pPr>
      <w:r>
        <w:rPr>
          <w:rFonts w:ascii="幼圆" w:eastAsia="幼圆" w:hAnsi="幼圆" w:cs="幼圆" w:hint="eastAsia"/>
          <w:sz w:val="24"/>
          <w:szCs w:val="24"/>
        </w:rPr>
        <w:t>Louis（2020）通过回顾 FAS133 人工智能的案例：该案例反映了一个特定领域的监管如何推动新一代自动化和人工智能的发展</w:t>
      </w:r>
      <w:r>
        <w:rPr>
          <w:rFonts w:ascii="幼圆" w:eastAsia="幼圆" w:hAnsi="幼圆" w:cs="幼圆" w:hint="eastAsia"/>
          <w:sz w:val="24"/>
          <w:szCs w:val="24"/>
          <w:shd w:val="clear" w:color="auto" w:fill="FFFFFF"/>
        </w:rPr>
        <w:t>。得出在会计工作中，人工智能是不可或缺的部分。</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并根据此案例得出人工智能（AI）在现代会计准则得以正确实施的两个必要因素：衍生工具的估值引擎的两种机制（包括识别智能、估值情报模型或市场直接价值反馈）和市场因素。</w:t>
      </w:r>
      <w:r>
        <w:rPr>
          <w:rFonts w:ascii="幼圆" w:eastAsia="幼圆" w:hAnsi="幼圆" w:cs="幼圆" w:hint="eastAsia"/>
          <w:sz w:val="24"/>
          <w:szCs w:val="24"/>
        </w:rPr>
        <w:t xml:space="preserve"> </w:t>
      </w:r>
    </w:p>
    <w:p>
      <w:pPr>
        <w:widowControl/>
        <w:spacing w:line="360" w:lineRule="auto"/>
        <w:ind w:firstLine="480" w:firstLineChars="200"/>
        <w:jc w:val="left"/>
        <w:rPr>
          <w:rFonts w:ascii="幼圆" w:eastAsia="幼圆" w:hAnsi="幼圆" w:cs="幼圆" w:hint="eastAsia"/>
          <w:color w:val="000000"/>
          <w:kern w:val="0"/>
          <w:sz w:val="24"/>
          <w:szCs w:val="24"/>
          <w:shd w:val="clear" w:color="auto" w:fill="FFFFFF"/>
        </w:rPr>
      </w:pPr>
      <w:r>
        <w:rPr>
          <w:rFonts w:ascii="幼圆" w:eastAsia="幼圆" w:hAnsi="幼圆" w:cs="幼圆" w:hint="eastAsia"/>
          <w:sz w:val="24"/>
          <w:szCs w:val="24"/>
        </w:rPr>
        <w:t>Dogru（2019）认为随着对人工智能的开发投入越来越多，人工智能领域可能会发生前所未有的加速进步。人工智能、机器人和自动化将主导包括机械、汽车和消费电子产品在内的工业领域，以及包</w:t>
      </w:r>
      <w:r>
        <w:rPr>
          <w:rFonts w:ascii="幼圆" w:eastAsia="幼圆" w:hAnsi="幼圆" w:cs="幼圆" w:hint="eastAsia"/>
          <w:color w:val="000000"/>
          <w:kern w:val="0"/>
          <w:sz w:val="24"/>
          <w:szCs w:val="24"/>
          <w:shd w:val="clear" w:color="auto" w:fill="FFFFFF"/>
        </w:rPr>
        <w:t>括住房、教育、医疗、零售、教育、刑事司法、住房和银行在内的服务业。人工智能在这些领域的运用将会极大提高社会生产效率并且提供大量的就业机会。但同时也需要克服一些挑战，包括如何重新分工，如何保护隐私建立对人工智能的信任，如何改进监管以确保自动化系统的问责制。</w:t>
      </w:r>
      <w:bookmarkStart w:id="22" w:name="【paperrevise】81_在这个过程中，学院和研究机构发挥着至关重要的作用"/>
      <w:r>
        <w:rPr>
          <w:rFonts w:ascii="幼圆" w:eastAsia="幼圆" w:hAnsi="幼圆" w:cs="幼圆" w:hint="eastAsia"/>
          <w:color w:val="000000"/>
          <w:kern w:val="0"/>
          <w:sz w:val="24"/>
          <w:szCs w:val="24"/>
          <w:shd w:val="clear" w:color="auto" w:fill="FFFFFF"/>
        </w:rPr>
        <w:t>在这个过程中，学院和研究机构发挥着至关重要的作用。</w:t>
      </w:r>
      <w:bookmarkEnd w:id="22"/>
      <w:r>
        <w:rPr>
          <w:rFonts w:ascii="幼圆" w:eastAsia="幼圆" w:hAnsi="幼圆" w:cs="幼圆" w:hint="eastAsia"/>
          <w:color w:val="000000"/>
          <w:kern w:val="0"/>
          <w:sz w:val="24"/>
          <w:szCs w:val="24"/>
          <w:shd w:val="clear" w:color="auto" w:fill="FFFFFF"/>
        </w:rPr>
        <w:t xml:space="preserve"> </w:t>
      </w:r>
    </w:p>
    <w:p>
      <w:pPr>
        <w:pStyle w:val="Heading3"/>
        <w:keepNext w:val="0"/>
        <w:keepLines w:val="0"/>
        <w:spacing w:before="0" w:after="0" w:line="360" w:lineRule="auto"/>
        <w:jc w:val="left"/>
        <w:rPr>
          <w:rFonts w:ascii="幼圆" w:eastAsia="幼圆" w:hAnsi="幼圆" w:cs="幼圆" w:hint="eastAsia"/>
          <w:b w:val="0"/>
          <w:sz w:val="24"/>
          <w:szCs w:val="24"/>
        </w:rPr>
      </w:pPr>
      <w:bookmarkStart w:id="23" w:name="_Toc15383"/>
      <w:bookmarkStart w:id="24" w:name="_Toc13540"/>
      <w:r>
        <w:rPr>
          <w:rFonts w:ascii="幼圆" w:eastAsia="幼圆" w:hAnsi="幼圆" w:cs="幼圆" w:hint="eastAsia"/>
          <w:b w:val="0"/>
          <w:sz w:val="24"/>
          <w:szCs w:val="24"/>
        </w:rPr>
        <w:t>1.2.2国内综述</w:t>
      </w:r>
      <w:bookmarkEnd w:id="23"/>
      <w:bookmarkEnd w:id="24"/>
    </w:p>
    <w:p>
      <w:pPr>
        <w:spacing w:line="360" w:lineRule="auto"/>
        <w:ind w:firstLine="480" w:firstLineChars="200"/>
        <w:rPr>
          <w:rFonts w:ascii="幼圆" w:eastAsia="幼圆" w:hAnsi="幼圆" w:cs="幼圆" w:hint="eastAsia"/>
          <w:sz w:val="24"/>
          <w:szCs w:val="24"/>
          <w:shd w:val="clear" w:color="auto" w:fill="FFFFFF"/>
        </w:rPr>
      </w:pPr>
      <w:r>
        <w:rPr>
          <w:rFonts w:ascii="幼圆" w:eastAsia="幼圆" w:hAnsi="幼圆" w:cs="幼圆" w:hint="eastAsia"/>
          <w:sz w:val="24"/>
          <w:szCs w:val="24"/>
        </w:rPr>
        <w:t>在国外人工智能和智能财务理论研究的影响下，</w:t>
      </w:r>
      <w:r>
        <w:rPr>
          <w:rFonts w:ascii="幼圆" w:eastAsia="幼圆" w:hAnsi="幼圆" w:cs="幼圆" w:hint="eastAsia"/>
          <w:sz w:val="24"/>
          <w:szCs w:val="24"/>
          <w:shd w:val="clear" w:color="auto" w:fill="FFFFFF"/>
        </w:rPr>
        <w:t>国内学者根据我国的具体情况，对财务智能化做了更符合中国国情的研究。</w:t>
      </w:r>
    </w:p>
    <w:p>
      <w:pPr>
        <w:widowControl/>
        <w:spacing w:line="360" w:lineRule="auto"/>
        <w:ind w:firstLine="480" w:firstLineChars="200"/>
        <w:jc w:val="left"/>
        <w:rPr>
          <w:rFonts w:ascii="幼圆" w:eastAsia="幼圆" w:hAnsi="幼圆" w:cs="幼圆" w:hint="eastAsia"/>
          <w:color w:val="000000"/>
          <w:kern w:val="0"/>
          <w:sz w:val="24"/>
          <w:szCs w:val="24"/>
          <w:shd w:val="clear" w:color="auto" w:fill="FFFFFF"/>
        </w:rPr>
      </w:pPr>
      <w:r>
        <w:rPr>
          <w:rFonts w:ascii="幼圆" w:eastAsia="幼圆" w:hAnsi="幼圆" w:cs="幼圆" w:hint="eastAsia"/>
          <w:sz w:val="24"/>
          <w:szCs w:val="24"/>
          <w:shd w:val="clear" w:color="auto" w:fill="FFFFFF"/>
        </w:rPr>
        <w:t>张敏（2020）认为人工智能、智能工具、大数据分析是财务智能的三大核心要素。其中，</w:t>
      </w:r>
      <w:r>
        <w:rPr>
          <w:rFonts w:ascii="幼圆" w:eastAsia="幼圆" w:hAnsi="幼圆" w:cs="幼圆" w:hint="eastAsia"/>
          <w:sz w:val="24"/>
          <w:szCs w:val="24"/>
        </w:rPr>
        <w:t>人工智能是人的</w:t>
      </w:r>
      <w:r>
        <w:rPr>
          <w:rFonts w:ascii="幼圆" w:eastAsia="幼圆" w:hAnsi="幼圆" w:cs="幼圆" w:hint="eastAsia"/>
          <w:color w:val="000000"/>
          <w:kern w:val="0"/>
          <w:sz w:val="24"/>
          <w:szCs w:val="24"/>
          <w:shd w:val="clear" w:color="auto" w:fill="FFFFFF"/>
        </w:rPr>
        <w:t>大脑，智能工具人的内脏或四肢，大数据是人的血液，三者缺一不可。</w:t>
      </w:r>
      <w:bookmarkStart w:id="25" w:name="【paperrevise】61_她指出财务智能化转型有三个阶段，在财务智能化转型"/>
      <w:r>
        <w:rPr>
          <w:rFonts w:ascii="幼圆" w:eastAsia="幼圆" w:hAnsi="幼圆" w:cs="幼圆" w:hint="eastAsia"/>
          <w:color w:val="000000"/>
          <w:kern w:val="0"/>
          <w:sz w:val="24"/>
          <w:szCs w:val="24"/>
          <w:shd w:val="clear" w:color="auto" w:fill="FFFFFF"/>
        </w:rPr>
        <w:t>她指出财务智能化转型有三个阶段，在财务智能化转型的路径中，最主要的是是要构建基于财务中台的智能化系统。</w:t>
      </w:r>
      <w:bookmarkEnd w:id="25"/>
    </w:p>
    <w:p>
      <w:pPr>
        <w:widowControl/>
        <w:spacing w:line="360" w:lineRule="auto"/>
        <w:ind w:firstLine="480" w:firstLineChars="200"/>
        <w:jc w:val="left"/>
        <w:rPr>
          <w:rFonts w:ascii="幼圆" w:eastAsia="幼圆" w:hAnsi="幼圆" w:cs="幼圆" w:hint="eastAsia"/>
          <w:color w:val="000000"/>
          <w:kern w:val="0"/>
          <w:sz w:val="24"/>
          <w:szCs w:val="24"/>
          <w:shd w:val="clear" w:color="auto" w:fill="FFFFFF"/>
        </w:rPr>
      </w:pPr>
      <w:bookmarkStart w:id="26" w:name="【paperrevise】64_刘梅玲（2020）根据财务智能化的研究背景和现状"/>
      <w:r>
        <w:rPr>
          <w:rFonts w:ascii="幼圆" w:eastAsia="幼圆" w:hAnsi="幼圆" w:cs="幼圆" w:hint="eastAsia"/>
          <w:color w:val="000000"/>
          <w:kern w:val="0"/>
          <w:sz w:val="24"/>
          <w:szCs w:val="24"/>
          <w:shd w:val="clear" w:color="auto" w:fill="FFFFFF"/>
        </w:rPr>
        <w:t>刘梅玲（2020）根据财务智能化的研究背景和现状，提出了智能财务的定义、特点和基本框架等理论，以云南烟草公司为例，研究了财务智能化的建设思路，对智能财务平台和新型财务管理模式构建进行了深刻的思考。</w:t>
      </w:r>
      <w:bookmarkEnd w:id="26"/>
    </w:p>
    <w:p>
      <w:pPr>
        <w:widowControl/>
        <w:spacing w:line="360" w:lineRule="auto"/>
        <w:ind w:firstLine="480" w:firstLineChars="200"/>
        <w:jc w:val="left"/>
        <w:rPr>
          <w:rFonts w:ascii="幼圆" w:eastAsia="幼圆" w:hAnsi="幼圆" w:cs="幼圆" w:hint="eastAsia"/>
          <w:color w:val="000000"/>
          <w:kern w:val="0"/>
          <w:sz w:val="24"/>
          <w:szCs w:val="24"/>
          <w:shd w:val="clear" w:color="auto" w:fill="FFFFFF"/>
        </w:rPr>
      </w:pPr>
      <w:bookmarkStart w:id="27" w:name="【paperrevise】69_傅元略（2019）为“财务机器人”的构建提出了智"/>
      <w:r>
        <w:rPr>
          <w:rFonts w:ascii="幼圆" w:eastAsia="幼圆" w:hAnsi="幼圆" w:cs="幼圆" w:hint="eastAsia"/>
          <w:color w:val="000000"/>
          <w:kern w:val="0"/>
          <w:sz w:val="24"/>
          <w:szCs w:val="24"/>
          <w:shd w:val="clear" w:color="auto" w:fill="FFFFFF"/>
        </w:rPr>
        <w:t>傅元略（2019）为“财务机器人”的构建提出了智慧会计理论：它将会计智能体、深度学习、软计算与传统会计理论融合，并将“三设计一决策”的成果纳入会计智能体的知识库和规则库进行研究，以期形成一套与传统会计理论不同的，却又能解决现实财会问题的智慧会计理论体系。</w:t>
      </w:r>
      <w:bookmarkEnd w:id="27"/>
      <w:bookmarkStart w:id="28" w:name="【paperrevise】57_“三设计”为内部报告体系设计、管控系统设计、决策"/>
      <w:r>
        <w:rPr>
          <w:rFonts w:ascii="幼圆" w:eastAsia="幼圆" w:hAnsi="幼圆" w:cs="幼圆" w:hint="eastAsia"/>
          <w:color w:val="000000"/>
          <w:kern w:val="0"/>
          <w:sz w:val="24"/>
          <w:szCs w:val="24"/>
          <w:shd w:val="clear" w:color="auto" w:fill="FFFFFF"/>
        </w:rPr>
        <w:t>“三设计”为内部报告体系设计、管控系统设计、决策支持体系设计，“一决策”为财务决策。</w:t>
      </w:r>
      <w:bookmarkEnd w:id="28"/>
      <w:bookmarkStart w:id="29" w:name="【paperrevise】56_该理论体系旨在探索如何将传统会计理论与人工智能技"/>
      <w:r>
        <w:rPr>
          <w:rFonts w:ascii="幼圆" w:eastAsia="幼圆" w:hAnsi="幼圆" w:cs="幼圆" w:hint="eastAsia"/>
          <w:color w:val="000000"/>
          <w:kern w:val="0"/>
          <w:sz w:val="24"/>
          <w:szCs w:val="24"/>
          <w:shd w:val="clear" w:color="auto" w:fill="FFFFFF"/>
        </w:rPr>
        <w:t>该理论体系旨在探索如何将传统会计理论与人工智能技术融合，如何应用智能体技术打造会计智能体，如何在 AI 时代变革财务人员核心能力以及如何形成未来的智慧会计理论等问题。</w:t>
      </w:r>
      <w:bookmarkEnd w:id="29"/>
      <w:r>
        <w:rPr>
          <w:rFonts w:ascii="幼圆" w:eastAsia="幼圆" w:hAnsi="幼圆" w:cs="幼圆" w:hint="eastAsia"/>
          <w:color w:val="000000"/>
          <w:kern w:val="0"/>
          <w:sz w:val="24"/>
          <w:szCs w:val="24"/>
          <w:shd w:val="clear" w:color="auto" w:fill="FFFFFF"/>
        </w:rPr>
        <w:t xml:space="preserve"> </w:t>
      </w:r>
    </w:p>
    <w:p>
      <w:pPr>
        <w:spacing w:line="360" w:lineRule="auto"/>
        <w:ind w:firstLine="480" w:firstLineChars="200"/>
        <w:rPr>
          <w:rFonts w:ascii="幼圆" w:eastAsia="幼圆" w:hAnsi="幼圆" w:cs="幼圆" w:hint="eastAsia"/>
          <w:sz w:val="24"/>
          <w:szCs w:val="24"/>
        </w:rPr>
        <w:sectPr>
          <w:headerReference w:type="default" r:id="rId20"/>
          <w:footerReference w:type="default" r:id="rId21"/>
          <w:type w:val="nextPage"/>
          <w:pgSz w:w="11906" w:h="16838"/>
          <w:pgMar w:top="1418" w:right="1134" w:bottom="1134" w:left="1418" w:header="851" w:footer="992" w:gutter="0"/>
          <w:pgNumType w:start="3"/>
          <w:cols w:num="1" w:space="720"/>
          <w:titlePg w:val="0"/>
          <w:docGrid w:type="lines" w:linePitch="312" w:charSpace="0"/>
        </w:sectPr>
      </w:pPr>
      <w:r>
        <w:rPr>
          <w:rFonts w:ascii="幼圆" w:eastAsia="幼圆" w:hAnsi="幼圆" w:cs="幼圆" w:hint="eastAsia"/>
          <w:sz w:val="24"/>
          <w:szCs w:val="24"/>
          <w:shd w:val="clear" w:color="auto" w:fill="FFFFFF"/>
        </w:rPr>
        <w:t>李闻一（2019）调研了22家国内外的不同公司的财务共享中心和财务智能化情况，指出智能财务为企业战略提供管控服务，智能财务能够企业带来规模效益。企业为了进行财务智能化改革，需要有效运用各项信息技术，提高企业团队和财务人员的工作能力。在以上研究结果的基础上，提出了实现智能财务共享的要素和路径。</w:t>
      </w:r>
      <w:r>
        <w:rPr>
          <w:rFonts w:ascii="幼圆" w:eastAsia="幼圆" w:hAnsi="幼圆" w:cs="幼圆" w:hint="eastAsia"/>
          <w:sz w:val="24"/>
          <w:szCs w:val="24"/>
        </w:rPr>
        <w:t xml:space="preserve"> </w:t>
      </w:r>
    </w:p>
    <w:p>
      <w:pPr>
        <w:widowControl/>
        <w:spacing w:line="360" w:lineRule="auto"/>
        <w:ind w:firstLine="480" w:firstLineChars="200"/>
        <w:jc w:val="left"/>
        <w:rPr>
          <w:rFonts w:ascii="幼圆" w:eastAsia="幼圆" w:hAnsi="幼圆" w:cs="幼圆" w:hint="eastAsia"/>
          <w:color w:val="000000"/>
          <w:kern w:val="0"/>
          <w:sz w:val="24"/>
          <w:szCs w:val="24"/>
          <w:shd w:val="clear" w:color="auto" w:fill="FFFFFF"/>
        </w:rPr>
      </w:pPr>
      <w:r>
        <w:rPr>
          <w:rFonts w:ascii="幼圆" w:eastAsia="幼圆" w:hAnsi="幼圆" w:cs="幼圆" w:hint="eastAsia"/>
          <w:sz w:val="24"/>
          <w:szCs w:val="24"/>
        </w:rPr>
        <w:t>彭启发（2019）主要探讨了人工智能给会计行业带来的各种风险，包括财务人员的失业风险，财务信息的泄露风险和过渡依赖信息技术的隐患，以及法律边界不清晰的风险。为了应对风险，他提出了四项措施，分别为调整结构促进会计转型；学习相关智能技术预防过渡依赖；</w:t>
      </w:r>
      <w:bookmarkStart w:id="30" w:name="【paperrevise】53_加强立法界定边界，预防和控制风险；"/>
      <w:r>
        <w:rPr>
          <w:rFonts w:ascii="幼圆" w:eastAsia="幼圆" w:hAnsi="幼圆" w:cs="幼圆" w:hint="eastAsia"/>
          <w:color w:val="000000"/>
          <w:kern w:val="0"/>
          <w:sz w:val="24"/>
          <w:szCs w:val="24"/>
          <w:shd w:val="clear" w:color="auto" w:fill="FFFFFF"/>
        </w:rPr>
        <w:t>加强立法界定边界，预防和控制风险；</w:t>
      </w:r>
      <w:bookmarkEnd w:id="30"/>
      <w:bookmarkStart w:id="31" w:name="【paperrevise】80_促进人工智能和会计工作的双向深度融合。"/>
      <w:r>
        <w:rPr>
          <w:rFonts w:ascii="幼圆" w:eastAsia="幼圆" w:hAnsi="幼圆" w:cs="幼圆" w:hint="eastAsia"/>
          <w:color w:val="000000"/>
          <w:kern w:val="0"/>
          <w:sz w:val="24"/>
          <w:szCs w:val="24"/>
          <w:shd w:val="clear" w:color="auto" w:fill="FFFFFF"/>
        </w:rPr>
        <w:t>促进人工智能和会计工作的双向深度融合。</w:t>
      </w:r>
      <w:bookmarkEnd w:id="31"/>
    </w:p>
    <w:p>
      <w:pPr>
        <w:widowControl/>
        <w:spacing w:line="360" w:lineRule="auto"/>
        <w:ind w:firstLine="480" w:firstLineChars="200"/>
        <w:jc w:val="left"/>
        <w:rPr>
          <w:rFonts w:ascii="幼圆" w:eastAsia="幼圆" w:hAnsi="幼圆" w:cs="幼圆" w:hint="eastAsia"/>
          <w:sz w:val="24"/>
          <w:szCs w:val="24"/>
        </w:rPr>
      </w:pPr>
      <w:bookmarkStart w:id="32" w:name="【paperrevise】82_叶怡雄（2019）通过对集团企业财务共享建设的研"/>
      <w:r>
        <w:rPr>
          <w:rFonts w:ascii="幼圆" w:eastAsia="幼圆" w:hAnsi="幼圆" w:cs="幼圆" w:hint="eastAsia"/>
          <w:color w:val="000000"/>
          <w:kern w:val="0"/>
          <w:sz w:val="24"/>
          <w:szCs w:val="24"/>
          <w:shd w:val="clear" w:color="auto" w:fill="FFFFFF"/>
        </w:rPr>
        <w:t>叶怡雄（2019）通过对集团企业财务共享建设的研究，阐述了智慧财务是智能共享的发展，智能共享为智慧财务提供基础和推动力。</w:t>
      </w:r>
      <w:bookmarkEnd w:id="32"/>
      <w:r>
        <w:rPr>
          <w:rFonts w:ascii="幼圆" w:eastAsia="幼圆" w:hAnsi="幼圆" w:cs="幼圆" w:hint="eastAsia"/>
          <w:color w:val="000000"/>
          <w:kern w:val="0"/>
          <w:sz w:val="24"/>
          <w:szCs w:val="24"/>
          <w:shd w:val="clear" w:color="auto" w:fill="FFFFFF"/>
        </w:rPr>
        <w:t>指出财务人员要从实际的业务财务工作，总结出建设智慧财务的智慧和经验，提高自身的</w:t>
      </w:r>
      <w:r>
        <w:rPr>
          <w:rFonts w:ascii="幼圆" w:eastAsia="幼圆" w:hAnsi="幼圆" w:cs="幼圆" w:hint="eastAsia"/>
          <w:sz w:val="24"/>
          <w:szCs w:val="24"/>
          <w:shd w:val="clear" w:color="auto" w:fill="FFFFFF"/>
        </w:rPr>
        <w:t>分析和创新能力，加强整个财务团队的协作契合度。</w:t>
      </w:r>
      <w:r>
        <w:rPr>
          <w:rFonts w:ascii="幼圆" w:eastAsia="幼圆" w:hAnsi="幼圆" w:cs="幼圆" w:hint="eastAsia"/>
          <w:sz w:val="24"/>
          <w:szCs w:val="24"/>
        </w:rPr>
        <w:t xml:space="preserve"> </w:t>
      </w:r>
    </w:p>
    <w:p>
      <w:pPr>
        <w:spacing w:line="360" w:lineRule="auto"/>
        <w:ind w:firstLine="480" w:firstLineChars="200"/>
        <w:rPr>
          <w:rFonts w:ascii="幼圆" w:eastAsia="幼圆" w:hAnsi="幼圆" w:cs="幼圆" w:hint="eastAsia"/>
          <w:sz w:val="24"/>
          <w:szCs w:val="24"/>
          <w:shd w:val="clear" w:color="auto" w:fill="FFFFFF"/>
        </w:rPr>
      </w:pPr>
      <w:r>
        <w:rPr>
          <w:rFonts w:ascii="幼圆" w:eastAsia="幼圆" w:hAnsi="幼圆" w:cs="幼圆" w:hint="eastAsia"/>
          <w:sz w:val="24"/>
          <w:szCs w:val="24"/>
        </w:rPr>
        <w:t>综上可以看出，国外专家研究财务智能化起步早，结合案例针对人工智能在财务领域的应用做了很多的分析和论证，</w:t>
      </w:r>
      <w:r>
        <w:rPr>
          <w:rFonts w:ascii="幼圆" w:eastAsia="幼圆" w:hAnsi="幼圆" w:cs="幼圆" w:hint="eastAsia"/>
          <w:sz w:val="24"/>
          <w:szCs w:val="24"/>
          <w:shd w:val="clear" w:color="auto" w:fill="FFFFFF"/>
        </w:rPr>
        <w:t>对人工智能与金融业的结合进行了时间较长的研究。</w:t>
      </w:r>
      <w:r>
        <w:rPr>
          <w:rFonts w:ascii="幼圆" w:eastAsia="幼圆" w:hAnsi="幼圆" w:cs="幼圆" w:hint="eastAsia"/>
          <w:sz w:val="24"/>
          <w:szCs w:val="24"/>
        </w:rPr>
        <w:t>国内研究起步虽比国外晚，</w:t>
      </w:r>
      <w:r>
        <w:rPr>
          <w:rFonts w:ascii="幼圆" w:eastAsia="幼圆" w:hAnsi="幼圆" w:cs="幼圆" w:hint="eastAsia"/>
          <w:sz w:val="24"/>
          <w:szCs w:val="24"/>
          <w:shd w:val="clear" w:color="auto" w:fill="FFFFFF"/>
        </w:rPr>
        <w:t>但我国学者在借鉴国外财务智能的研究结果基础上，结合我的具体国情，采用多元的研究方法对财务智能化进行了更为广泛的研究，分析角度更加全面具体。但国内外对财务智能化的研究范围和研究内容不够深化和细化，对财务会计领域某个具体方面（如：影响企业实施智能财务的因素、如何搭建智能财务系统相适应的组织结构、如何培养复合型的财务人员等）的理论研究还不够完善。</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因此本文以平安集团“智慧财务工程”为对象，</w:t>
      </w:r>
      <w:r>
        <w:rPr>
          <w:rFonts w:ascii="幼圆" w:eastAsia="幼圆" w:hAnsi="幼圆" w:cs="幼圆" w:hint="eastAsia"/>
          <w:sz w:val="24"/>
          <w:szCs w:val="24"/>
          <w:shd w:val="clear" w:color="auto" w:fill="FFFFFF"/>
        </w:rPr>
        <w:t>研究财务智能化的影响，得到财务智能化的启示，能够</w:t>
      </w:r>
      <w:r>
        <w:rPr>
          <w:rFonts w:ascii="幼圆" w:eastAsia="幼圆" w:hAnsi="幼圆" w:cs="幼圆" w:hint="eastAsia"/>
          <w:sz w:val="24"/>
          <w:szCs w:val="24"/>
        </w:rPr>
        <w:t>丰富我国对财务智能化的研究成果。</w:t>
      </w:r>
    </w:p>
    <w:p>
      <w:pPr>
        <w:spacing w:line="360" w:lineRule="auto"/>
        <w:ind w:firstLine="480" w:firstLineChars="200"/>
        <w:rPr>
          <w:rFonts w:ascii="幼圆" w:eastAsia="幼圆" w:hAnsi="幼圆" w:cs="幼圆" w:hint="eastAsia"/>
          <w:sz w:val="24"/>
          <w:szCs w:val="24"/>
        </w:rPr>
      </w:pPr>
    </w:p>
    <w:p>
      <w:pPr>
        <w:pStyle w:val="Heading2"/>
        <w:widowControl/>
        <w:spacing w:before="0" w:after="0" w:line="360" w:lineRule="auto"/>
        <w:jc w:val="left"/>
        <w:rPr>
          <w:rFonts w:ascii="幼圆" w:eastAsia="幼圆" w:hAnsi="幼圆" w:cs="幼圆" w:hint="eastAsia"/>
          <w:bCs/>
          <w:sz w:val="28"/>
          <w:szCs w:val="28"/>
        </w:rPr>
      </w:pPr>
      <w:bookmarkStart w:id="33" w:name="_Toc14041"/>
      <w:r>
        <w:rPr>
          <w:rFonts w:ascii="幼圆" w:eastAsia="幼圆" w:hAnsi="幼圆" w:cs="幼圆" w:hint="eastAsia"/>
          <w:bCs/>
          <w:sz w:val="28"/>
          <w:szCs w:val="28"/>
        </w:rPr>
        <w:t>1.3研究内容与研究方法</w:t>
      </w:r>
      <w:bookmarkEnd w:id="33"/>
    </w:p>
    <w:p>
      <w:pPr>
        <w:pStyle w:val="Heading3"/>
        <w:keepNext w:val="0"/>
        <w:keepLines w:val="0"/>
        <w:spacing w:before="0" w:after="0" w:line="360" w:lineRule="auto"/>
        <w:jc w:val="left"/>
        <w:rPr>
          <w:rFonts w:ascii="幼圆" w:eastAsia="幼圆" w:hAnsi="幼圆" w:cs="幼圆" w:hint="eastAsia"/>
          <w:b w:val="0"/>
          <w:sz w:val="24"/>
          <w:szCs w:val="24"/>
        </w:rPr>
      </w:pPr>
      <w:bookmarkStart w:id="34" w:name="_Toc6452"/>
      <w:r>
        <w:rPr>
          <w:rFonts w:ascii="幼圆" w:eastAsia="幼圆" w:hAnsi="幼圆" w:cs="幼圆" w:hint="eastAsia"/>
          <w:b w:val="0"/>
          <w:sz w:val="24"/>
          <w:szCs w:val="24"/>
        </w:rPr>
        <w:t>1.3.1 研究内容</w:t>
      </w:r>
      <w:bookmarkEnd w:id="34"/>
      <w:r>
        <w:rPr>
          <w:rFonts w:ascii="幼圆" w:eastAsia="幼圆" w:hAnsi="幼圆" w:cs="幼圆" w:hint="eastAsia"/>
          <w:b w:val="0"/>
          <w:sz w:val="24"/>
          <w:szCs w:val="24"/>
        </w:rPr>
        <w:t xml:space="preserve"> </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shd w:val="clear" w:color="auto" w:fill="FFFFFF"/>
        </w:rPr>
        <w:t>本文以平安集团“智慧财务工程”为研究对象，深入分析了平安集团智慧财务工程建立的原因和内容，对平安集团财务智能化的成效进行了系统的研究。我国众多企业公司的管理层、财务人员和高等教育学校，可通过阅读本论文加强对财务智能化的了解，提高对智能财务的适应性和应用性。</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 xml:space="preserve">具体内容如下： </w:t>
      </w:r>
    </w:p>
    <w:p>
      <w:pPr>
        <w:widowControl/>
        <w:spacing w:line="360" w:lineRule="auto"/>
        <w:ind w:firstLine="480" w:firstLineChars="200"/>
        <w:jc w:val="left"/>
        <w:rPr>
          <w:rFonts w:ascii="幼圆" w:eastAsia="幼圆" w:hAnsi="幼圆" w:cs="幼圆" w:hint="eastAsia"/>
          <w:color w:val="000000"/>
          <w:kern w:val="0"/>
          <w:sz w:val="24"/>
          <w:szCs w:val="24"/>
          <w:shd w:val="clear" w:color="auto" w:fill="FFFFFF"/>
        </w:rPr>
      </w:pPr>
      <w:bookmarkStart w:id="35" w:name="【paperrevise】84_第一章阐述了财务智能化的研究背景和意义，介绍了国"/>
      <w:r>
        <w:rPr>
          <w:rFonts w:ascii="幼圆" w:eastAsia="幼圆" w:hAnsi="幼圆" w:cs="幼圆" w:hint="eastAsia"/>
          <w:color w:val="000000"/>
          <w:kern w:val="0"/>
          <w:sz w:val="24"/>
          <w:szCs w:val="24"/>
          <w:shd w:val="clear" w:color="auto" w:fill="FFFFFF"/>
        </w:rPr>
        <w:t>第一章阐述了财务智能化的研究背景和意义，介绍了国内外财务智能的研究成果，以及本论文的研究内容和研究方法。</w:t>
      </w:r>
      <w:bookmarkEnd w:id="35"/>
      <w:r>
        <w:rPr>
          <w:rFonts w:ascii="幼圆" w:eastAsia="幼圆" w:hAnsi="幼圆" w:cs="幼圆" w:hint="eastAsia"/>
          <w:color w:val="000000"/>
          <w:kern w:val="0"/>
          <w:sz w:val="24"/>
          <w:szCs w:val="24"/>
          <w:shd w:val="clear" w:color="auto" w:fill="FFFFFF"/>
        </w:rPr>
        <w:t xml:space="preserve"> </w:t>
      </w:r>
    </w:p>
    <w:p>
      <w:pPr>
        <w:widowControl/>
        <w:spacing w:line="360" w:lineRule="auto"/>
        <w:ind w:firstLine="480" w:firstLineChars="200"/>
        <w:jc w:val="left"/>
        <w:rPr>
          <w:rFonts w:ascii="幼圆" w:eastAsia="幼圆" w:hAnsi="幼圆" w:cs="幼圆" w:hint="eastAsia"/>
          <w:color w:val="000000"/>
          <w:kern w:val="0"/>
          <w:sz w:val="24"/>
          <w:szCs w:val="24"/>
          <w:shd w:val="clear" w:color="auto" w:fill="FFFFFF"/>
        </w:rPr>
        <w:sectPr>
          <w:headerReference w:type="default" r:id="rId22"/>
          <w:footerReference w:type="default" r:id="rId23"/>
          <w:type w:val="nextPage"/>
          <w:pgSz w:w="11906" w:h="16838"/>
          <w:pgMar w:top="1418" w:right="1134" w:bottom="1134" w:left="1418" w:header="851" w:footer="992" w:gutter="0"/>
          <w:pgNumType w:start="4"/>
          <w:cols w:num="1" w:space="720"/>
          <w:titlePg w:val="0"/>
          <w:docGrid w:type="lines" w:linePitch="312" w:charSpace="0"/>
        </w:sectPr>
      </w:pPr>
      <w:bookmarkStart w:id="36" w:name="【paperrevise】85_第二章主要介绍了平安集团概况，详细介绍了平安集团"/>
      <w:r>
        <w:rPr>
          <w:rFonts w:ascii="幼圆" w:eastAsia="幼圆" w:hAnsi="幼圆" w:cs="幼圆" w:hint="eastAsia"/>
          <w:color w:val="000000"/>
          <w:kern w:val="0"/>
          <w:sz w:val="24"/>
          <w:szCs w:val="24"/>
          <w:shd w:val="clear" w:color="auto" w:fill="FFFFFF"/>
        </w:rPr>
        <w:t>第二章主要介绍了平安集团概况，详细介绍了平安集团财务智能化原因和具体内容。</w:t>
      </w:r>
      <w:bookmarkEnd w:id="36"/>
    </w:p>
    <w:p>
      <w:pPr>
        <w:widowControl/>
        <w:spacing w:line="360" w:lineRule="auto"/>
        <w:ind w:firstLine="480" w:firstLineChars="200"/>
        <w:jc w:val="left"/>
        <w:rPr>
          <w:rFonts w:ascii="幼圆" w:eastAsia="幼圆" w:hAnsi="幼圆" w:cs="幼圆" w:hint="eastAsia"/>
          <w:color w:val="000000"/>
          <w:kern w:val="0"/>
          <w:sz w:val="24"/>
          <w:szCs w:val="24"/>
          <w:shd w:val="clear" w:color="auto" w:fill="FFFFFF"/>
        </w:rPr>
      </w:pPr>
      <w:r>
        <w:rPr>
          <w:rFonts w:ascii="幼圆" w:eastAsia="幼圆" w:hAnsi="幼圆" w:cs="幼圆" w:hint="eastAsia"/>
          <w:color w:val="000000"/>
          <w:kern w:val="0"/>
          <w:sz w:val="24"/>
          <w:szCs w:val="24"/>
          <w:shd w:val="clear" w:color="auto" w:fill="FFFFFF"/>
        </w:rPr>
        <w:t>第三章主要通过分析对比平安集团实施财务智能化前后数据，介绍了平安集团实施财务智能化成效及成功因素。</w:t>
      </w:r>
    </w:p>
    <w:p>
      <w:pPr>
        <w:widowControl/>
        <w:spacing w:line="360" w:lineRule="auto"/>
        <w:ind w:firstLine="480" w:firstLineChars="200"/>
        <w:jc w:val="left"/>
        <w:rPr>
          <w:rFonts w:ascii="幼圆" w:eastAsia="幼圆" w:hAnsi="幼圆" w:cs="幼圆" w:hint="eastAsia"/>
          <w:color w:val="000000"/>
          <w:kern w:val="0"/>
          <w:sz w:val="24"/>
          <w:szCs w:val="24"/>
          <w:shd w:val="clear" w:color="auto" w:fill="FFFFFF"/>
        </w:rPr>
      </w:pPr>
      <w:r>
        <w:rPr>
          <w:rFonts w:ascii="幼圆" w:eastAsia="幼圆" w:hAnsi="幼圆" w:cs="幼圆" w:hint="eastAsia"/>
          <w:color w:val="000000"/>
          <w:kern w:val="0"/>
          <w:sz w:val="24"/>
          <w:szCs w:val="24"/>
          <w:shd w:val="clear" w:color="auto" w:fill="FFFFFF"/>
        </w:rPr>
        <w:t>第四章在前第二章和第三章的基础上，总结了得出了平安集团财务智能化对企业、财务人员以及高效的启示。</w:t>
      </w:r>
    </w:p>
    <w:p>
      <w:pPr>
        <w:widowControl/>
        <w:spacing w:line="360" w:lineRule="auto"/>
        <w:ind w:firstLine="480" w:firstLineChars="200"/>
        <w:jc w:val="left"/>
        <w:rPr>
          <w:rFonts w:ascii="幼圆" w:eastAsia="幼圆" w:hAnsi="幼圆" w:cs="幼圆" w:hint="eastAsia"/>
          <w:color w:val="000000"/>
          <w:kern w:val="0"/>
          <w:sz w:val="24"/>
          <w:szCs w:val="24"/>
          <w:shd w:val="clear" w:color="auto" w:fill="FFFFFF"/>
        </w:rPr>
      </w:pPr>
      <w:r>
        <w:rPr>
          <w:rFonts w:ascii="幼圆" w:eastAsia="幼圆" w:hAnsi="幼圆" w:cs="幼圆" w:hint="eastAsia"/>
          <w:color w:val="000000"/>
          <w:kern w:val="0"/>
          <w:sz w:val="24"/>
          <w:szCs w:val="24"/>
          <w:shd w:val="clear" w:color="auto" w:fill="FFFFFF"/>
        </w:rPr>
        <w:t>第五章总结全文内容，并对财务智能化的发展表达了期待。</w:t>
      </w:r>
    </w:p>
    <w:p>
      <w:pPr>
        <w:pStyle w:val="Heading3"/>
        <w:keepNext w:val="0"/>
        <w:keepLines w:val="0"/>
        <w:spacing w:before="0" w:after="0" w:line="360" w:lineRule="auto"/>
        <w:jc w:val="left"/>
        <w:rPr>
          <w:rFonts w:ascii="幼圆" w:eastAsia="幼圆" w:hAnsi="幼圆" w:cs="幼圆" w:hint="eastAsia"/>
          <w:b w:val="0"/>
          <w:sz w:val="24"/>
          <w:szCs w:val="24"/>
        </w:rPr>
      </w:pPr>
      <w:bookmarkStart w:id="37" w:name="_Toc9263"/>
      <w:r>
        <w:rPr>
          <w:rFonts w:ascii="幼圆" w:eastAsia="幼圆" w:hAnsi="幼圆" w:cs="幼圆" w:hint="eastAsia"/>
          <w:b w:val="0"/>
          <w:sz w:val="24"/>
          <w:szCs w:val="24"/>
        </w:rPr>
        <w:t>1.3.2研究方法</w:t>
      </w:r>
      <w:bookmarkEnd w:id="37"/>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rPr>
        <w:t>本文在研究过程中，</w:t>
      </w:r>
      <w:r>
        <w:rPr>
          <w:rFonts w:ascii="幼圆" w:eastAsia="幼圆" w:hAnsi="幼圆" w:cs="幼圆" w:hint="eastAsia"/>
          <w:sz w:val="24"/>
          <w:szCs w:val="24"/>
          <w:shd w:val="clear" w:color="auto" w:fill="FFFFFF"/>
        </w:rPr>
        <w:t>为了使得出的研究结果更加科学和严谨，在定性和定量分析探索和经验积累的基础下，</w:t>
      </w:r>
      <w:r>
        <w:rPr>
          <w:rFonts w:ascii="幼圆" w:eastAsia="幼圆" w:hAnsi="幼圆" w:cs="幼圆" w:hint="eastAsia"/>
          <w:sz w:val="24"/>
          <w:szCs w:val="24"/>
        </w:rPr>
        <w:t>主要采用了以下三种方法：</w:t>
      </w:r>
    </w:p>
    <w:p>
      <w:pPr>
        <w:spacing w:line="360" w:lineRule="auto"/>
        <w:ind w:firstLine="480" w:firstLineChars="200"/>
        <w:rPr>
          <w:rFonts w:ascii="幼圆" w:eastAsia="幼圆" w:hAnsi="幼圆" w:cs="幼圆" w:hint="eastAsia"/>
          <w:sz w:val="24"/>
          <w:szCs w:val="24"/>
        </w:rPr>
      </w:pPr>
      <w:r>
        <w:rPr>
          <w:rFonts w:ascii="幼圆" w:eastAsia="幼圆" w:hAnsi="幼圆" w:cs="幼圆" w:hint="eastAsia"/>
          <w:sz w:val="24"/>
          <w:szCs w:val="24"/>
          <w:shd w:val="clear" w:color="auto" w:fill="FFFFFF"/>
        </w:rPr>
        <w:t>（1）文献研究法。</w:t>
      </w:r>
      <w:bookmarkStart w:id="38" w:name="【paperrevise】54_站在巨人的肩膀上，能够迈的更远。"/>
      <w:r>
        <w:rPr>
          <w:rFonts w:ascii="幼圆" w:eastAsia="幼圆" w:hAnsi="幼圆" w:cs="幼圆" w:hint="eastAsia"/>
          <w:color w:val="000000"/>
          <w:kern w:val="0"/>
          <w:sz w:val="24"/>
          <w:szCs w:val="24"/>
          <w:shd w:val="clear" w:color="auto" w:fill="FFFFFF"/>
        </w:rPr>
        <w:t>站在巨人的肩膀上，能够迈的更远。</w:t>
      </w:r>
      <w:bookmarkEnd w:id="38"/>
      <w:r>
        <w:rPr>
          <w:rFonts w:ascii="幼圆" w:eastAsia="幼圆" w:hAnsi="幼圆" w:cs="幼圆" w:hint="eastAsia"/>
          <w:color w:val="000000"/>
          <w:kern w:val="0"/>
          <w:sz w:val="24"/>
          <w:szCs w:val="24"/>
          <w:shd w:val="clear" w:color="auto" w:fill="FFFFFF"/>
        </w:rPr>
        <w:t>通过阅读前人的科研成果，我们能够有更全面的角度看问题，有更充分的立足点去阐述和研究问题。</w:t>
      </w:r>
      <w:bookmarkStart w:id="39" w:name="【paperrevise】79_前人的成果，是我们科研的基石。"/>
      <w:r>
        <w:rPr>
          <w:rFonts w:ascii="幼圆" w:eastAsia="幼圆" w:hAnsi="幼圆" w:cs="幼圆" w:hint="eastAsia"/>
          <w:color w:val="000000"/>
          <w:kern w:val="0"/>
          <w:sz w:val="24"/>
          <w:szCs w:val="24"/>
          <w:shd w:val="clear" w:color="auto" w:fill="FFFFFF"/>
        </w:rPr>
        <w:t>前人的成果，是我们科研的基石。</w:t>
      </w:r>
      <w:bookmarkEnd w:id="39"/>
      <w:bookmarkStart w:id="40" w:name="【paperrevise】78_文献研究法，是我们完成论文至关重要的方法。"/>
      <w:r>
        <w:rPr>
          <w:rFonts w:ascii="幼圆" w:eastAsia="幼圆" w:hAnsi="幼圆" w:cs="幼圆" w:hint="eastAsia"/>
          <w:color w:val="000000"/>
          <w:kern w:val="0"/>
          <w:sz w:val="24"/>
          <w:szCs w:val="24"/>
          <w:shd w:val="clear" w:color="auto" w:fill="FFFFFF"/>
        </w:rPr>
        <w:t>文献研究法，是我们完成论文至关重要的方法。</w:t>
      </w:r>
      <w:bookmarkEnd w:id="40"/>
      <w:r>
        <w:rPr>
          <w:rFonts w:ascii="幼圆" w:eastAsia="幼圆" w:hAnsi="幼圆" w:cs="幼圆" w:hint="eastAsia"/>
          <w:color w:val="000000"/>
          <w:kern w:val="0"/>
          <w:sz w:val="24"/>
          <w:szCs w:val="24"/>
          <w:shd w:val="clear" w:color="auto" w:fill="FFFFFF"/>
        </w:rPr>
        <w:t xml:space="preserve"> </w:t>
      </w:r>
    </w:p>
    <w:p>
      <w:pPr>
        <w:spacing w:line="360" w:lineRule="auto"/>
        <w:ind w:firstLine="480" w:firstLineChars="200"/>
        <w:rPr>
          <w:rFonts w:ascii="幼圆" w:eastAsia="幼圆" w:hAnsi="幼圆" w:cs="幼圆" w:hint="eastAsia"/>
          <w:sz w:val="24"/>
          <w:szCs w:val="24"/>
          <w:shd w:val="clear" w:color="auto" w:fill="FFFFFF"/>
        </w:rPr>
      </w:pPr>
      <w:r>
        <w:rPr>
          <w:rFonts w:ascii="幼圆" w:eastAsia="幼圆" w:hAnsi="幼圆" w:cs="幼圆" w:hint="eastAsia"/>
          <w:sz w:val="24"/>
          <w:szCs w:val="24"/>
          <w:shd w:val="clear" w:color="auto" w:fill="FFFFFF"/>
        </w:rPr>
        <w:t>（2）比较研究法。本文通过对比平安集团实施财务智能化前后经营成果，通过对比平安集团与不同公司之间财务年报发布时间，尽可能科学和严谨地得出财务智能化带来的成效，和给其他公司借鉴的经验。</w:t>
      </w:r>
    </w:p>
    <w:p>
      <w:pPr>
        <w:spacing w:line="360" w:lineRule="auto"/>
        <w:ind w:firstLine="480" w:firstLineChars="200"/>
        <w:rPr>
          <w:rFonts w:ascii="幼圆" w:eastAsia="幼圆" w:hAnsi="幼圆" w:cs="幼圆" w:hint="eastAsia"/>
          <w:color w:val="000000"/>
          <w:kern w:val="0"/>
          <w:sz w:val="24"/>
          <w:szCs w:val="24"/>
        </w:rPr>
      </w:pPr>
      <w:r>
        <w:rPr>
          <w:rFonts w:ascii="幼圆" w:eastAsia="幼圆" w:hAnsi="幼圆" w:cs="幼圆" w:hint="eastAsia"/>
          <w:sz w:val="24"/>
          <w:szCs w:val="24"/>
          <w:shd w:val="clear" w:color="auto" w:fill="FFFFFF"/>
        </w:rPr>
        <w:t>（3）案例研究法。在阅读国内外较成功和成熟的案例基础下，本文以平安集团财务智能为例，深刻分析了财务智能化的成效，成功因素，科学地得出财务智能化对社会各界的影响和启示。</w:t>
      </w:r>
    </w:p>
    <w:p>
      <w:pPr>
        <w:widowControl/>
        <w:spacing w:line="500" w:lineRule="exact"/>
        <w:ind w:firstLine="480" w:firstLineChars="200"/>
        <w:jc w:val="left"/>
        <w:rPr>
          <w:rFonts w:ascii="幼圆" w:eastAsia="幼圆" w:hAnsi="幼圆" w:cs="幼圆" w:hint="eastAsia"/>
          <w:color w:val="000000"/>
          <w:kern w:val="0"/>
          <w:sz w:val="24"/>
          <w:szCs w:val="24"/>
        </w:rPr>
      </w:pPr>
    </w:p>
    <w:p>
      <w:pPr>
        <w:widowControl/>
        <w:spacing w:line="500" w:lineRule="exact"/>
        <w:ind w:firstLine="480" w:firstLineChars="200"/>
        <w:jc w:val="left"/>
        <w:rPr>
          <w:rFonts w:ascii="幼圆" w:eastAsia="幼圆" w:hAnsi="幼圆" w:cs="幼圆" w:hint="eastAsia"/>
          <w:color w:val="000000"/>
          <w:kern w:val="0"/>
          <w:sz w:val="24"/>
          <w:szCs w:val="24"/>
        </w:rPr>
      </w:pPr>
    </w:p>
    <w:p>
      <w:pPr>
        <w:widowControl/>
        <w:spacing w:line="500" w:lineRule="exact"/>
        <w:ind w:firstLine="480" w:firstLineChars="200"/>
        <w:jc w:val="left"/>
        <w:rPr>
          <w:rFonts w:ascii="幼圆" w:eastAsia="幼圆" w:hAnsi="幼圆" w:cs="幼圆" w:hint="eastAsia"/>
          <w:color w:val="000000"/>
          <w:kern w:val="0"/>
          <w:sz w:val="24"/>
          <w:szCs w:val="24"/>
        </w:rPr>
      </w:pPr>
    </w:p>
    <w:p>
      <w:pPr>
        <w:widowControl/>
        <w:spacing w:line="500" w:lineRule="exact"/>
        <w:ind w:firstLine="480" w:firstLineChars="200"/>
        <w:jc w:val="left"/>
        <w:rPr>
          <w:rFonts w:ascii="幼圆" w:eastAsia="幼圆" w:hAnsi="幼圆" w:cs="幼圆" w:hint="eastAsia"/>
          <w:color w:val="000000"/>
          <w:kern w:val="0"/>
          <w:sz w:val="24"/>
          <w:szCs w:val="24"/>
        </w:rPr>
      </w:pPr>
    </w:p>
    <w:p>
      <w:pPr>
        <w:widowControl/>
        <w:spacing w:line="500" w:lineRule="exact"/>
        <w:ind w:firstLine="480" w:firstLineChars="200"/>
        <w:jc w:val="left"/>
        <w:rPr>
          <w:rFonts w:ascii="幼圆" w:eastAsia="幼圆" w:hAnsi="幼圆" w:cs="幼圆" w:hint="eastAsia"/>
          <w:color w:val="000000"/>
          <w:kern w:val="0"/>
          <w:sz w:val="24"/>
          <w:szCs w:val="24"/>
        </w:rPr>
      </w:pPr>
    </w:p>
    <w:p>
      <w:pPr>
        <w:pStyle w:val="Heading1"/>
        <w:jc w:val="center"/>
        <w:rPr>
          <w:rFonts w:ascii="幼圆" w:eastAsia="幼圆" w:hAnsi="幼圆" w:cs="幼圆" w:hint="eastAsia"/>
        </w:rPr>
        <w:sectPr>
          <w:headerReference w:type="default" r:id="rId24"/>
          <w:footerReference w:type="default" r:id="rId25"/>
          <w:type w:val="nextPage"/>
          <w:pgSz w:w="11906" w:h="16838"/>
          <w:pgMar w:top="1418" w:right="1134" w:bottom="1134" w:left="1418" w:header="851" w:footer="992" w:gutter="0"/>
          <w:pgNumType w:start="5"/>
          <w:cols w:num="1" w:space="720"/>
          <w:titlePg w:val="0"/>
          <w:docGrid w:type="lines" w:linePitch="312" w:charSpace="0"/>
        </w:sectPr>
      </w:pPr>
    </w:p>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https://d.book118.com/788074002072006037</w:t>
        </w:r>
      </w:hyperlink>
    </w:p>
    <w:p/>
    <w:sectPr>
      <w:headerReference w:type="default" r:id="rId27"/>
      <w:footerReference w:type="default" r:id="rId28"/>
      <w:type w:val="continuous"/>
      <w:pgSz w:w="11906" w:h="16838"/>
      <w:pgMar w:top="1418" w:right="1134" w:bottom="1134" w:left="1418" w:header="851" w:footer="992" w:gutter="0"/>
      <w:pgNumType w:start="6"/>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Gulim">
    <w:altName w:val="Malgun Gothic"/>
    <w:panose1 w:val="020B0600000101010101"/>
    <w:charset w:val="81"/>
    <w:family w:val="swiss"/>
    <w:pitch w:val="default"/>
    <w:sig w:usb0="00000000" w:usb1="00000000" w:usb2="00000030" w:usb3="00000000" w:csb0="0008009F"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828800" cy="182880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77459664" name="文本框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828800" cy="182880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05377268" name="文本框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828800" cy="182880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71102864" name="文本框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828800" cy="182880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16205" cy="139700"/>
              <wp:effectExtent l="0" t="0" r="0" b="0"/>
              <wp:wrapNone/>
              <wp:docPr id="15" name="文本框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16205" cy="13970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3" type="#_x0000_t202" style="width:9.15pt;height:11pt;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16205" cy="139700"/>
              <wp:effectExtent l="0" t="0" r="0" b="0"/>
              <wp:wrapNone/>
              <wp:docPr id="658995969" name="文本框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16205" cy="13970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4" type="#_x0000_t202" style="width:9.15pt;height:11pt;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16205" cy="139700"/>
              <wp:effectExtent l="0" t="0" r="0" b="0"/>
              <wp:wrapNone/>
              <wp:docPr id="52750312" name="文本框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16205" cy="13970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5" type="#_x0000_t202" style="width:9.15pt;height:11pt;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16205" cy="139700"/>
              <wp:effectExtent l="0" t="0" r="0" b="0"/>
              <wp:wrapNone/>
              <wp:docPr id="439227478" name="文本框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16205" cy="13970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6" type="#_x0000_t202" style="width:9.15pt;height:11pt;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16205" cy="139700"/>
              <wp:effectExtent l="0" t="0" r="0" b="0"/>
              <wp:wrapNone/>
              <wp:docPr id="416703845" name="文本框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16205" cy="13970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7" type="#_x0000_t202" style="width:9.15pt;height:11pt;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16205" cy="139700"/>
              <wp:effectExtent l="0" t="0" r="0" b="0"/>
              <wp:wrapNone/>
              <wp:docPr id="1729581382" name="文本框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16205" cy="13970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26</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2058" type="#_x0000_t202" style="width:9.15pt;height:11pt;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26</w:t>
                    </w:r>
                    <w:r>
                      <w:rPr>
                        <w:rFonts w:hint="eastAsia"/>
                        <w:sz w:val="18"/>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196971F"/>
    <w:multiLevelType w:val="singleLevel"/>
    <w:tmpl w:val="6196971F"/>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86C"/>
    <w:rsid w:val="0000296C"/>
    <w:rsid w:val="00020B80"/>
    <w:rsid w:val="000269A8"/>
    <w:rsid w:val="000337F5"/>
    <w:rsid w:val="00066E13"/>
    <w:rsid w:val="000F795B"/>
    <w:rsid w:val="00100E84"/>
    <w:rsid w:val="00122045"/>
    <w:rsid w:val="001346C9"/>
    <w:rsid w:val="00150D65"/>
    <w:rsid w:val="0015158D"/>
    <w:rsid w:val="001541F8"/>
    <w:rsid w:val="00164019"/>
    <w:rsid w:val="00175F96"/>
    <w:rsid w:val="0018231A"/>
    <w:rsid w:val="001A2927"/>
    <w:rsid w:val="001D3AD6"/>
    <w:rsid w:val="002013BB"/>
    <w:rsid w:val="0022099C"/>
    <w:rsid w:val="00220C9E"/>
    <w:rsid w:val="00221FEA"/>
    <w:rsid w:val="00224903"/>
    <w:rsid w:val="00237DFE"/>
    <w:rsid w:val="00240178"/>
    <w:rsid w:val="00240498"/>
    <w:rsid w:val="00255A07"/>
    <w:rsid w:val="00256279"/>
    <w:rsid w:val="00267A0F"/>
    <w:rsid w:val="00285390"/>
    <w:rsid w:val="003175DA"/>
    <w:rsid w:val="00322CC3"/>
    <w:rsid w:val="003B31A6"/>
    <w:rsid w:val="003B41E1"/>
    <w:rsid w:val="0042142C"/>
    <w:rsid w:val="00437A95"/>
    <w:rsid w:val="00483ADA"/>
    <w:rsid w:val="004D4FE9"/>
    <w:rsid w:val="005231AF"/>
    <w:rsid w:val="0055086C"/>
    <w:rsid w:val="005520F3"/>
    <w:rsid w:val="005658E3"/>
    <w:rsid w:val="00566966"/>
    <w:rsid w:val="00586098"/>
    <w:rsid w:val="005C60CA"/>
    <w:rsid w:val="00613277"/>
    <w:rsid w:val="006159B8"/>
    <w:rsid w:val="00617DA6"/>
    <w:rsid w:val="00642F47"/>
    <w:rsid w:val="006472FD"/>
    <w:rsid w:val="00647C97"/>
    <w:rsid w:val="00655FDF"/>
    <w:rsid w:val="00676578"/>
    <w:rsid w:val="00682340"/>
    <w:rsid w:val="00693AF8"/>
    <w:rsid w:val="0069544D"/>
    <w:rsid w:val="006B2BF2"/>
    <w:rsid w:val="006C74C2"/>
    <w:rsid w:val="006E2A25"/>
    <w:rsid w:val="00702C3A"/>
    <w:rsid w:val="0071195F"/>
    <w:rsid w:val="00726547"/>
    <w:rsid w:val="00730ABE"/>
    <w:rsid w:val="007324F5"/>
    <w:rsid w:val="00751ADE"/>
    <w:rsid w:val="00751C04"/>
    <w:rsid w:val="00757F15"/>
    <w:rsid w:val="007B2A59"/>
    <w:rsid w:val="007B6842"/>
    <w:rsid w:val="008058AE"/>
    <w:rsid w:val="00811962"/>
    <w:rsid w:val="00820F02"/>
    <w:rsid w:val="00860BF9"/>
    <w:rsid w:val="00891ED9"/>
    <w:rsid w:val="008B60A2"/>
    <w:rsid w:val="008C022C"/>
    <w:rsid w:val="008E515F"/>
    <w:rsid w:val="00900F9E"/>
    <w:rsid w:val="0090182F"/>
    <w:rsid w:val="00902147"/>
    <w:rsid w:val="00905BB5"/>
    <w:rsid w:val="009111C0"/>
    <w:rsid w:val="0091245C"/>
    <w:rsid w:val="0094607E"/>
    <w:rsid w:val="0095192A"/>
    <w:rsid w:val="0096139F"/>
    <w:rsid w:val="00964750"/>
    <w:rsid w:val="0097513B"/>
    <w:rsid w:val="009A3948"/>
    <w:rsid w:val="009B586C"/>
    <w:rsid w:val="009C2FAF"/>
    <w:rsid w:val="009E275D"/>
    <w:rsid w:val="009E405D"/>
    <w:rsid w:val="009E53D1"/>
    <w:rsid w:val="00A1280B"/>
    <w:rsid w:val="00A13E04"/>
    <w:rsid w:val="00A3089A"/>
    <w:rsid w:val="00A337E2"/>
    <w:rsid w:val="00A40BE1"/>
    <w:rsid w:val="00A52303"/>
    <w:rsid w:val="00A5260F"/>
    <w:rsid w:val="00A730D0"/>
    <w:rsid w:val="00A90B17"/>
    <w:rsid w:val="00A9683B"/>
    <w:rsid w:val="00AC4D37"/>
    <w:rsid w:val="00AC7888"/>
    <w:rsid w:val="00AD72F9"/>
    <w:rsid w:val="00AF22E5"/>
    <w:rsid w:val="00B200D4"/>
    <w:rsid w:val="00B37609"/>
    <w:rsid w:val="00B45A91"/>
    <w:rsid w:val="00B70210"/>
    <w:rsid w:val="00B745D3"/>
    <w:rsid w:val="00B87146"/>
    <w:rsid w:val="00BC57A1"/>
    <w:rsid w:val="00BF637D"/>
    <w:rsid w:val="00C36439"/>
    <w:rsid w:val="00C37CD8"/>
    <w:rsid w:val="00C418DC"/>
    <w:rsid w:val="00C6171E"/>
    <w:rsid w:val="00C860F0"/>
    <w:rsid w:val="00C929FA"/>
    <w:rsid w:val="00CA11AD"/>
    <w:rsid w:val="00CA2744"/>
    <w:rsid w:val="00CE665F"/>
    <w:rsid w:val="00D13521"/>
    <w:rsid w:val="00D2105F"/>
    <w:rsid w:val="00D22888"/>
    <w:rsid w:val="00D52734"/>
    <w:rsid w:val="00D831FC"/>
    <w:rsid w:val="00D91DD2"/>
    <w:rsid w:val="00DA3DFE"/>
    <w:rsid w:val="00E11061"/>
    <w:rsid w:val="00E20155"/>
    <w:rsid w:val="00E255E0"/>
    <w:rsid w:val="00E74CF4"/>
    <w:rsid w:val="00E84897"/>
    <w:rsid w:val="00EA43B7"/>
    <w:rsid w:val="00EF1DCE"/>
    <w:rsid w:val="00F04729"/>
    <w:rsid w:val="00F2306C"/>
    <w:rsid w:val="00F23F34"/>
    <w:rsid w:val="00F737D3"/>
    <w:rsid w:val="00FE287A"/>
    <w:rsid w:val="00FF5380"/>
    <w:rsid w:val="1E3A3653"/>
    <w:rsid w:val="21181CA7"/>
    <w:rsid w:val="2A713324"/>
    <w:rsid w:val="2ABC61A4"/>
    <w:rsid w:val="36303842"/>
    <w:rsid w:val="3ADB067E"/>
    <w:rsid w:val="4CA57922"/>
    <w:rsid w:val="53343089"/>
    <w:rsid w:val="59392657"/>
    <w:rsid w:val="5CA651EC"/>
    <w:rsid w:val="6CB21BF5"/>
    <w:rsid w:val="73085399"/>
    <w:rsid w:val="737E0357"/>
    <w:rsid w:val="7A3645C9"/>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semiHidden="0" w:qFormat="1"/>
    <w:lsdException w:name="header" w:semiHidden="0" w:qFormat="1"/>
    <w:lsdException w:name="footer" w:semiHidden="0" w:uiPriority="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0"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paragraph" w:styleId="Heading1">
    <w:name w:val="heading 1"/>
    <w:basedOn w:val="Normal"/>
    <w:next w:val="Normal"/>
    <w:link w:val="1Char"/>
    <w:qFormat/>
    <w:pPr>
      <w:keepNext/>
      <w:keepLines/>
      <w:spacing w:before="340" w:after="330" w:line="576" w:lineRule="auto"/>
      <w:outlineLvl w:val="0"/>
    </w:pPr>
    <w:rPr>
      <w:b/>
      <w:kern w:val="44"/>
      <w:sz w:val="44"/>
    </w:rPr>
  </w:style>
  <w:style w:type="paragraph" w:styleId="Heading2">
    <w:name w:val="heading 2"/>
    <w:basedOn w:val="Normal"/>
    <w:next w:val="Normal"/>
    <w:link w:val="2Char"/>
    <w:qFormat/>
    <w:pPr>
      <w:keepNext/>
      <w:keepLines/>
      <w:spacing w:before="260" w:after="260" w:line="413" w:lineRule="auto"/>
      <w:outlineLvl w:val="1"/>
    </w:pPr>
    <w:rPr>
      <w:rFonts w:ascii="Arial" w:eastAsia="黑体" w:hAnsi="Arial"/>
      <w:b/>
      <w:sz w:val="32"/>
    </w:rPr>
  </w:style>
  <w:style w:type="paragraph" w:styleId="Heading3">
    <w:name w:val="heading 3"/>
    <w:basedOn w:val="Normal"/>
    <w:next w:val="Normal"/>
    <w:link w:val="3Char"/>
    <w:qFormat/>
    <w:pPr>
      <w:keepNext/>
      <w:keepLines/>
      <w:spacing w:before="260" w:after="260" w:line="413" w:lineRule="auto"/>
      <w:outlineLvl w:val="2"/>
    </w:pPr>
    <w:rPr>
      <w:b/>
      <w:sz w:val="32"/>
    </w:rPr>
  </w:style>
  <w:style w:type="paragraph" w:styleId="Heading4">
    <w:name w:val="heading 4"/>
    <w:basedOn w:val="Normal"/>
    <w:next w:val="Normal"/>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3"/>
    <w:autoRedefine/>
    <w:uiPriority w:val="99"/>
    <w:unhideWhenUsed/>
    <w:qFormat/>
    <w:pPr>
      <w:jc w:val="left"/>
    </w:pPr>
  </w:style>
  <w:style w:type="paragraph" w:styleId="TOC3">
    <w:name w:val="toc 3"/>
    <w:basedOn w:val="Normal"/>
    <w:next w:val="Normal"/>
    <w:autoRedefine/>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widowControl/>
      <w:spacing w:after="100" w:line="276" w:lineRule="auto"/>
      <w:jc w:val="left"/>
    </w:pPr>
    <w:rPr>
      <w:rFonts w:asciiTheme="minorHAnsi" w:eastAsiaTheme="minorEastAsia" w:hAnsiTheme="minorHAnsi" w:cstheme="minorBidi"/>
      <w:kern w:val="0"/>
      <w:sz w:val="22"/>
    </w:rPr>
  </w:style>
  <w:style w:type="paragraph" w:styleId="TOC2">
    <w:name w:val="toc 2"/>
    <w:basedOn w:val="Normal"/>
    <w:next w:val="Normal"/>
    <w:autoRedefine/>
    <w:uiPriority w:val="39"/>
    <w:unhideWhenUsed/>
    <w:qFormat/>
    <w:pPr>
      <w:widowControl/>
      <w:spacing w:after="100" w:line="276" w:lineRule="auto"/>
      <w:ind w:left="220"/>
      <w:jc w:val="left"/>
    </w:pPr>
    <w:rPr>
      <w:rFonts w:asciiTheme="minorHAnsi" w:eastAsiaTheme="minorEastAsia" w:hAnsiTheme="minorHAnsi" w:cstheme="minorBidi"/>
      <w:kern w:val="0"/>
      <w:sz w:val="22"/>
    </w:rPr>
  </w:style>
  <w:style w:type="paragraph" w:styleId="Title">
    <w:name w:val="Title"/>
    <w:basedOn w:val="Normal"/>
    <w:next w:val="Normal"/>
    <w:link w:val="Char2"/>
    <w:autoRedefine/>
    <w:uiPriority w:val="10"/>
    <w:qFormat/>
    <w:pPr>
      <w:spacing w:before="240" w:after="60"/>
      <w:jc w:val="center"/>
      <w:outlineLvl w:val="0"/>
    </w:pPr>
    <w:rPr>
      <w:rFonts w:ascii="Cambria" w:hAnsi="Cambria"/>
      <w:b/>
      <w:bCs/>
      <w:sz w:val="32"/>
      <w:szCs w:val="32"/>
    </w:rPr>
  </w:style>
  <w:style w:type="paragraph" w:styleId="CommentSubject">
    <w:name w:val="annotation subject"/>
    <w:basedOn w:val="CommentText"/>
    <w:next w:val="CommentText"/>
    <w:link w:val="Char4"/>
    <w:autoRedefine/>
    <w:uiPriority w:val="99"/>
    <w:semiHidden/>
    <w:unhideWhenUsed/>
    <w:qFormat/>
    <w:rPr>
      <w:b/>
      <w:bCs/>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styleId="CommentReference">
    <w:name w:val="annotation reference"/>
    <w:basedOn w:val="DefaultParagraphFont"/>
    <w:autoRedefine/>
    <w:uiPriority w:val="99"/>
    <w:semiHidden/>
    <w:unhideWhenUsed/>
    <w:qFormat/>
    <w:rPr>
      <w:sz w:val="21"/>
      <w:szCs w:val="21"/>
    </w:rPr>
  </w:style>
  <w:style w:type="paragraph" w:customStyle="1" w:styleId="2">
    <w:name w:val="样式2"/>
    <w:basedOn w:val="Normal"/>
    <w:next w:val="Normal"/>
    <w:autoRedefine/>
    <w:qFormat/>
    <w:pPr>
      <w:ind w:firstLine="200" w:firstLineChars="200"/>
    </w:p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1Char">
    <w:name w:val="标题 1 Char"/>
    <w:basedOn w:val="DefaultParagraphFont"/>
    <w:link w:val="Heading1"/>
    <w:autoRedefine/>
    <w:qFormat/>
    <w:rPr>
      <w:rFonts w:ascii="Calibri" w:eastAsia="宋体" w:hAnsi="Calibri" w:cs="Times New Roman"/>
      <w:b/>
      <w:kern w:val="44"/>
      <w:sz w:val="44"/>
    </w:rPr>
  </w:style>
  <w:style w:type="character" w:customStyle="1" w:styleId="2Char">
    <w:name w:val="标题 2 Char"/>
    <w:basedOn w:val="DefaultParagraphFont"/>
    <w:link w:val="Heading2"/>
    <w:autoRedefine/>
    <w:qFormat/>
    <w:rPr>
      <w:rFonts w:ascii="Arial" w:eastAsia="黑体" w:hAnsi="Arial" w:cs="Times New Roman"/>
      <w:b/>
      <w:sz w:val="32"/>
    </w:rPr>
  </w:style>
  <w:style w:type="character" w:customStyle="1" w:styleId="3Char">
    <w:name w:val="标题 3 Char"/>
    <w:basedOn w:val="DefaultParagraphFont"/>
    <w:link w:val="Heading3"/>
    <w:autoRedefine/>
    <w:qFormat/>
    <w:rPr>
      <w:rFonts w:ascii="Calibri" w:eastAsia="宋体" w:hAnsi="Calibri" w:cs="Times New Roman"/>
      <w:b/>
      <w:sz w:val="32"/>
    </w:rPr>
  </w:style>
  <w:style w:type="character" w:customStyle="1" w:styleId="Char1">
    <w:name w:val="批注框文本 Char"/>
    <w:basedOn w:val="DefaultParagraphFont"/>
    <w:link w:val="BalloonText"/>
    <w:autoRedefine/>
    <w:uiPriority w:val="99"/>
    <w:semiHidden/>
    <w:qFormat/>
    <w:rPr>
      <w:rFonts w:ascii="Calibri" w:eastAsia="宋体" w:hAnsi="Calibri" w:cs="Times New Roman"/>
      <w:sz w:val="18"/>
      <w:szCs w:val="18"/>
    </w:rPr>
  </w:style>
  <w:style w:type="character" w:customStyle="1" w:styleId="Char2">
    <w:name w:val="标题 Char"/>
    <w:basedOn w:val="DefaultParagraphFont"/>
    <w:link w:val="Title"/>
    <w:autoRedefine/>
    <w:uiPriority w:val="10"/>
    <w:qFormat/>
    <w:rPr>
      <w:rFonts w:ascii="Cambria" w:eastAsia="宋体" w:hAnsi="Cambria" w:cs="Times New Roman"/>
      <w:b/>
      <w:bCs/>
      <w:sz w:val="32"/>
      <w:szCs w:val="32"/>
    </w:rPr>
  </w:style>
  <w:style w:type="paragraph" w:customStyle="1" w:styleId="TOC10">
    <w:name w:val="TOC 标题1"/>
    <w:basedOn w:val="Heading1"/>
    <w:next w:val="Normal"/>
    <w:autoRedefine/>
    <w:uiPriority w:val="39"/>
    <w:unhideWhenUsed/>
    <w:qFormat/>
    <w:pPr>
      <w:widowControl/>
      <w:spacing w:before="480" w:after="0" w:line="276" w:lineRule="auto"/>
      <w:jc w:val="left"/>
      <w:outlineLvl w:val="9"/>
    </w:pPr>
    <w:rPr>
      <w:rFonts w:asciiTheme="majorHAnsi" w:eastAsiaTheme="majorEastAsia" w:hAnsiTheme="majorHAnsi" w:cstheme="majorBidi"/>
      <w:bCs/>
      <w:color w:val="376092" w:themeColor="accent1" w:themeShade="BF"/>
      <w:kern w:val="0"/>
      <w:sz w:val="28"/>
      <w:szCs w:val="28"/>
    </w:rPr>
  </w:style>
  <w:style w:type="character" w:customStyle="1" w:styleId="Char3">
    <w:name w:val="批注文字 Char"/>
    <w:basedOn w:val="DefaultParagraphFont"/>
    <w:link w:val="CommentText"/>
    <w:autoRedefine/>
    <w:uiPriority w:val="99"/>
    <w:qFormat/>
    <w:rPr>
      <w:rFonts w:ascii="Calibri" w:eastAsia="宋体" w:hAnsi="Calibri" w:cs="Times New Roman"/>
      <w:kern w:val="2"/>
      <w:sz w:val="21"/>
      <w:szCs w:val="22"/>
    </w:rPr>
  </w:style>
  <w:style w:type="character" w:customStyle="1" w:styleId="Char4">
    <w:name w:val="批注主题 Char"/>
    <w:basedOn w:val="Char3"/>
    <w:link w:val="CommentSubject"/>
    <w:autoRedefine/>
    <w:uiPriority w:val="99"/>
    <w:semiHidden/>
    <w:qFormat/>
    <w:rPr>
      <w:rFonts w:ascii="Calibri" w:eastAsia="宋体" w:hAnsi="Calibri" w:cs="Times New Roman"/>
      <w:b/>
      <w:bCs/>
      <w:kern w:val="2"/>
      <w:sz w:val="21"/>
      <w:szCs w:val="22"/>
    </w:rPr>
  </w:style>
  <w:style w:type="paragraph" w:styleId="ListParagraph">
    <w:name w:val="List Paragraph"/>
    <w:basedOn w:val="Normal"/>
    <w:autoRedefine/>
    <w:uiPriority w:val="99"/>
    <w:unhideWhenUsed/>
    <w:qFormat/>
    <w:pPr>
      <w:ind w:firstLine="420" w:firstLineChars="200"/>
    </w:pPr>
  </w:style>
  <w:style w:type="character" w:customStyle="1" w:styleId="4Char">
    <w:name w:val="标题 4 Char"/>
    <w:basedOn w:val="DefaultParagraphFont"/>
    <w:link w:val="Heading4"/>
    <w:autoRedefine/>
    <w:uiPriority w:val="9"/>
    <w:qFormat/>
    <w:rPr>
      <w:rFonts w:asciiTheme="majorHAnsi" w:eastAsiaTheme="majorEastAsia" w:hAnsiTheme="majorHAnsi" w:cstheme="majorBidi"/>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2.xml" /><Relationship Id="rId12" Type="http://schemas.openxmlformats.org/officeDocument/2006/relationships/header" Target="header5.xml" /><Relationship Id="rId13" Type="http://schemas.openxmlformats.org/officeDocument/2006/relationships/footer" Target="footer3.xml" /><Relationship Id="rId14" Type="http://schemas.openxmlformats.org/officeDocument/2006/relationships/header" Target="header6.xml" /><Relationship Id="rId15" Type="http://schemas.openxmlformats.org/officeDocument/2006/relationships/footer" Target="footer4.xml" /><Relationship Id="rId16" Type="http://schemas.openxmlformats.org/officeDocument/2006/relationships/header" Target="header7.xml" /><Relationship Id="rId17" Type="http://schemas.openxmlformats.org/officeDocument/2006/relationships/footer" Target="footer5.xml" /><Relationship Id="rId18" Type="http://schemas.openxmlformats.org/officeDocument/2006/relationships/header" Target="header8.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7.xml" /><Relationship Id="rId22" Type="http://schemas.openxmlformats.org/officeDocument/2006/relationships/header" Target="header10.xml" /><Relationship Id="rId23" Type="http://schemas.openxmlformats.org/officeDocument/2006/relationships/footer" Target="footer8.xml" /><Relationship Id="rId24" Type="http://schemas.openxmlformats.org/officeDocument/2006/relationships/header" Target="header11.xml" /><Relationship Id="rId25" Type="http://schemas.openxmlformats.org/officeDocument/2006/relationships/footer" Target="footer9.xml" /><Relationship Id="rId26" Type="http://schemas.openxmlformats.org/officeDocument/2006/relationships/hyperlink" Target="https://d.book118.com/788074002072006037" TargetMode="External" /><Relationship Id="rId27" Type="http://schemas.openxmlformats.org/officeDocument/2006/relationships/header" Target="header12.xml" /><Relationship Id="rId28" Type="http://schemas.openxmlformats.org/officeDocument/2006/relationships/footer" Target="footer10.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numbering" Target="numbering.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3FC617-38E5-4FB2-BB32-67EF43EE2BA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3757</Words>
  <Characters>21417</Characters>
  <Application>Microsoft Office Word</Application>
  <DocSecurity>0</DocSecurity>
  <Lines>178</Lines>
  <Paragraphs>50</Paragraphs>
  <ScaleCrop>false</ScaleCrop>
  <Company/>
  <LinksUpToDate>false</LinksUpToDate>
  <CharactersWithSpaces>25124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outlookerfeng</dc:creator>
  <cp:lastModifiedBy>ABEEL</cp:lastModifiedBy>
  <cp:revision>6</cp:revision>
  <dcterms:created xsi:type="dcterms:W3CDTF">2021-05-04T03:03:00Z</dcterms:created>
  <dcterms:modified xsi:type="dcterms:W3CDTF">2024-02-21T12:41:47Z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3AE9EFC7667E4F22835FC6223C070622_13</vt:lpwstr>
  </property>
  <property fmtid="{D5CDD505-2E9C-101B-9397-08002B2CF9AE}" pid="3" name="KSOProductBuildVer">
    <vt:lpwstr>2052-12.1.0.16388</vt:lpwstr>
  </property>
  <property fmtid="{D5CDD505-2E9C-101B-9397-08002B2CF9AE}" pid="4" name="ReviseMark">
    <vt:bool>true</vt:bool>
  </property>
</Properties>
</file>