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7500D" w:rsidP="00C7500D" w14:paraId="5B8FF56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7500D">
        <w:rPr>
          <w:rFonts w:ascii="华文中宋" w:eastAsia="华文中宋" w:hAnsi="华文中宋"/>
          <w:b/>
          <w:sz w:val="30"/>
        </w:rPr>
        <w:t>2024</w:t>
      </w:r>
      <w:r w:rsidRPr="00C7500D">
        <w:rPr>
          <w:rFonts w:ascii="华文中宋" w:eastAsia="华文中宋" w:hAnsi="华文中宋"/>
          <w:b/>
          <w:sz w:val="30"/>
        </w:rPr>
        <w:t>重庆市沙坪坝区人民法院派遣制工作人员招聘（</w:t>
      </w:r>
      <w:r w:rsidRPr="00C7500D">
        <w:rPr>
          <w:rFonts w:ascii="华文中宋" w:eastAsia="华文中宋" w:hAnsi="华文中宋"/>
          <w:b/>
          <w:sz w:val="30"/>
        </w:rPr>
        <w:t>6</w:t>
      </w:r>
      <w:r w:rsidRPr="00C7500D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3CC5E3F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C7E82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2622F7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下列选项能反映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的故事表达出的哲学观点的是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68E9A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、量变会引起质变</w:t>
      </w:r>
    </w:p>
    <w:p w:rsidR="00090F29" w14:paraId="47BB21E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、事物都是变化发展的，一成不变的事物是没有的</w:t>
      </w:r>
    </w:p>
    <w:p w:rsidR="00090F29" w14:paraId="71106CD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、实践是检验真理的唯一标准</w:t>
      </w:r>
    </w:p>
    <w:p w:rsidR="00090F29" w14:paraId="1E2B55D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、认识到矛盾的客观存在</w:t>
      </w:r>
    </w:p>
    <w:p w:rsidR="00090F29" w14:paraId="7F899A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5D03DDE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讳疾忌医</w:t>
      </w:r>
      <w:r w:rsidRPr="00090F29">
        <w:rPr>
          <w:rFonts w:ascii="微软雅黑" w:eastAsia="微软雅黑" w:cs="微软雅黑"/>
          <w:szCs w:val="14"/>
        </w:rPr>
        <w:t>"</w:t>
      </w:r>
      <w:r w:rsidRPr="00090F29">
        <w:rPr>
          <w:rFonts w:ascii="微软雅黑" w:eastAsia="微软雅黑" w:cs="微软雅黑"/>
          <w:szCs w:val="14"/>
        </w:rPr>
        <w:t>反映了主人公回避和掩盖矛盾，否认矛盾的客观存在。因此强调的是应该认识到矛盾的客观存在。故选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864821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在租约规定的期限内，作为级差地租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的超额利润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2E0904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、由农业资本家获得</w:t>
      </w:r>
    </w:p>
    <w:p w:rsidR="00090F29" w14:paraId="3C0B52C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、由土地所有者获得</w:t>
      </w:r>
    </w:p>
    <w:p w:rsidR="00090F29" w14:paraId="1972659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、由农业资本家和土地所有者瓜分</w:t>
      </w:r>
    </w:p>
    <w:p w:rsidR="00090F29" w14:paraId="54B13E6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、由农业资本家和农业工人瓜分</w:t>
      </w:r>
    </w:p>
    <w:p w:rsidR="00090F29" w14:paraId="2EB3033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248FA8C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因租约在签定时，就已经明确了农业资本家和土地所有者的地租数量，所以在租约规定的期限内，农业资本家因多投入而产生的级差地租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自然由农业资本家获得，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选项是正确的。当租约期满，作为级差地租</w:t>
      </w:r>
      <w:r w:rsidRPr="00090F29">
        <w:rPr>
          <w:rFonts w:ascii="微软雅黑" w:eastAsia="微软雅黑" w:cs="微软雅黑"/>
          <w:szCs w:val="14"/>
        </w:rPr>
        <w:t>II</w:t>
      </w:r>
      <w:r w:rsidRPr="00090F29">
        <w:rPr>
          <w:rFonts w:ascii="微软雅黑" w:eastAsia="微软雅黑" w:cs="微软雅黑"/>
          <w:szCs w:val="14"/>
        </w:rPr>
        <w:t>的未来产生的超额利润到底归谁所有，要取决于农业资本家和土地所有者之间的斗争。故选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64BAD6B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在管理创新中，目标创新对管理活动起着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的作用。</w:t>
      </w:r>
    </w:p>
    <w:p w:rsidR="00090F29" w14:paraId="1048BFC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、指导性</w:t>
      </w:r>
    </w:p>
    <w:p w:rsidR="00090F29" w14:paraId="51F13FC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、先导性</w:t>
      </w:r>
    </w:p>
    <w:p w:rsidR="00090F29" w14:paraId="2F29A2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、导向性</w:t>
      </w:r>
    </w:p>
    <w:p w:rsidR="00090F29" w14:paraId="6B5A011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、定向性</w:t>
      </w:r>
    </w:p>
    <w:p w:rsidR="00090F29" w14:paraId="76E9363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6BD1818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目标创新是管理创新行为的先导。管理创新目标是一项创新活动要达到的最终结果，是管理创新行为的方向，也是未来组织配置资源和能量的规划，常常蕴含在管理创新主体的意识中或者其创新计划内，对管理活动起着先导性的作用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62A54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建筑物及其附属设施的费用分担、收益分配等事项，如何确定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666C810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、有约定的，按照约定</w:t>
      </w:r>
    </w:p>
    <w:p w:rsidR="00090F29" w14:paraId="6B9E74E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、没有约定的，按业主专有面积所占比例确定</w:t>
      </w:r>
    </w:p>
    <w:p w:rsidR="00090F29" w14:paraId="38F8BFA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、约定不明的，按业主专有面积所占比例确定</w:t>
      </w:r>
    </w:p>
    <w:p w:rsidR="00090F29" w14:paraId="39DE3B5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、以上都是</w:t>
      </w:r>
    </w:p>
    <w:p w:rsidR="00090F29" w14:paraId="1D9878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7D43D6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民法典第二百八十三条规定，建筑物及其附属设施的费用分摊、收益分配等事项，有约定的，按照约定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没有约定或者约定不明确的，按照业主专有部分面积所占比例确定。故选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E7F7BE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5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关于基本粒子目前最被认可的理论是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。它约在</w:t>
      </w:r>
      <w:r w:rsidRPr="00090F29">
        <w:rPr>
          <w:rFonts w:ascii="微软雅黑" w:eastAsia="微软雅黑" w:cs="微软雅黑"/>
          <w:szCs w:val="14"/>
        </w:rPr>
        <w:t>30</w:t>
      </w:r>
      <w:r w:rsidRPr="00090F29">
        <w:rPr>
          <w:rFonts w:ascii="微软雅黑" w:eastAsia="微软雅黑" w:cs="微软雅黑"/>
          <w:szCs w:val="14"/>
        </w:rPr>
        <w:t>年前确立，已发现的基本粒子都可以根据这一理论进行解释。</w:t>
      </w:r>
      <w:r w:rsidRPr="00090F29">
        <w:rPr>
          <w:rFonts w:ascii="微软雅黑" w:eastAsia="微软雅黑" w:cs="微软雅黑"/>
          <w:szCs w:val="14"/>
        </w:rPr>
        <w:t>100</w:t>
      </w:r>
      <w:r w:rsidRPr="00090F29">
        <w:rPr>
          <w:rFonts w:ascii="微软雅黑" w:eastAsia="微软雅黑" w:cs="微软雅黑"/>
          <w:szCs w:val="14"/>
        </w:rPr>
        <w:t>多年来，质子、中子、电子等基本粒子陆续被发现。面对这些成绩，有人认为，宇宙间的基本粒子被发现得差不多了，即使有，也可以用现有的理论解释，因而不会给人们带来太大的惊奇。</w:t>
      </w:r>
    </w:p>
    <w:p w:rsidR="00090F29" w14:paraId="6BC0B27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以下哪项如果为真，最能反驳以上观点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A8B7AD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而被发现的基本粒子很少</w:t>
      </w:r>
    </w:p>
    <w:p w:rsidR="00090F29" w14:paraId="33F53F0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、基于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做出的某些预测未在实验中得到证实</w:t>
      </w:r>
    </w:p>
    <w:p w:rsidR="00090F29" w14:paraId="6280126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做出的预测不相符</w:t>
      </w:r>
    </w:p>
    <w:p w:rsidR="00090F29" w14:paraId="6650282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、有科学家提出了颠覆人们以往对基本粒子认识的新理论</w:t>
      </w:r>
    </w:p>
    <w:p w:rsidR="00090F29" w14:paraId="2C22503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3B6C303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题中结论是宇宙间的基本粒子都可以用现有的理论，即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项正确，指出新发现的基本粒子与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做出的预测不符，即并非都可以用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标准理论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来解释，直接反驳了题中的结论，反驳力度最强。故选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https://d.book118.com/788101023136006033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:rsidP="00FE4CB5" w14:paraId="6316375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500D" w14:paraId="6749B9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:rsidP="00FE4CB5" w14:paraId="66553986" w14:textId="73531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500D" w14:paraId="53BF8A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paraId="54C51A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50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:rsidP="00FE4CB5" w14:textId="73531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50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500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:rsidP="00FE4CB5" w14:textId="73531C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500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paraId="11F449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paraId="5A0EF7F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paraId="0727796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50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7500D"/>
    <w:rsid w:val="00CA2A55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85080A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C750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7500D"/>
    <w:rPr>
      <w:sz w:val="18"/>
      <w:szCs w:val="18"/>
    </w:rPr>
  </w:style>
  <w:style w:type="paragraph" w:styleId="Footer">
    <w:name w:val="footer"/>
    <w:basedOn w:val="Normal"/>
    <w:link w:val="a0"/>
    <w:rsid w:val="00C7500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7500D"/>
    <w:rPr>
      <w:sz w:val="18"/>
      <w:szCs w:val="18"/>
    </w:rPr>
  </w:style>
  <w:style w:type="character" w:styleId="PageNumber">
    <w:name w:val="page number"/>
    <w:basedOn w:val="DefaultParagraphFont"/>
    <w:rsid w:val="00C750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8101023136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3135</Words>
  <Characters>17872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