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_GB2312" w:eastAsia="仿宋_GB2312" w:hAnsi="仿宋_GB2312" w:cs="仿宋_GB2312" w:hint="default"/>
          <w:color w:val="000000" w:themeColor="text1"/>
          <w:sz w:val="36"/>
          <w:szCs w:val="36"/>
          <w:highlight w:val="none"/>
          <w14:textFill>
            <w14:solidFill>
              <w14:schemeClr w14:val="tx1"/>
            </w14:solidFill>
          </w14:textFill>
        </w:rPr>
      </w:pPr>
    </w:p>
    <w:p>
      <w:pPr>
        <w:rPr>
          <w:rFonts w:ascii="仿宋_GB2312" w:eastAsia="仿宋_GB2312" w:hAnsi="仿宋_GB2312" w:cs="仿宋_GB2312"/>
          <w:color w:val="000000" w:themeColor="text1"/>
          <w:sz w:val="36"/>
          <w:szCs w:val="36"/>
          <w:highlight w:val="none"/>
          <w14:textFill>
            <w14:solidFill>
              <w14:schemeClr w14:val="tx1"/>
            </w14:solidFill>
          </w14:textFill>
        </w:rPr>
      </w:pPr>
    </w:p>
    <w:p>
      <w:pPr>
        <w:adjustRightInd w:val="0"/>
        <w:snapToGrid w:val="0"/>
        <w:jc w:val="center"/>
        <w:outlineLvl w:val="0"/>
        <w:rPr>
          <w:rFonts w:ascii="方正小标宋_GBK" w:eastAsia="方正小标宋_GBK" w:hint="eastAsia"/>
          <w:bCs/>
          <w:color w:val="000000" w:themeColor="text1"/>
          <w:sz w:val="72"/>
          <w:szCs w:val="72"/>
          <w:highlight w:val="none"/>
          <w14:textFill>
            <w14:solidFill>
              <w14:schemeClr w14:val="tx1"/>
            </w14:solidFill>
          </w14:textFill>
        </w:rPr>
      </w:pPr>
      <w:r>
        <w:rPr>
          <w:rFonts w:ascii="方正小标宋_GBK" w:eastAsia="方正小标宋_GBK" w:hint="eastAsia"/>
          <w:bCs/>
          <w:color w:val="000000" w:themeColor="text1"/>
          <w:sz w:val="72"/>
          <w:szCs w:val="72"/>
          <w:highlight w:val="none"/>
          <w14:textFill>
            <w14:solidFill>
              <w14:schemeClr w14:val="tx1"/>
            </w14:solidFill>
          </w14:textFill>
        </w:rPr>
        <w:t>建设项目环境影响报告表</w:t>
      </w:r>
    </w:p>
    <w:p>
      <w:pPr>
        <w:adjustRightInd w:val="0"/>
        <w:snapToGrid w:val="0"/>
        <w:spacing w:before="250" w:beforeLines="80"/>
        <w:jc w:val="center"/>
        <w:rPr>
          <w:rFonts w:ascii="楷体_GB2312" w:eastAsia="楷体_GB2312" w:hint="eastAsia"/>
          <w:bCs/>
          <w:color w:val="000000" w:themeColor="text1"/>
          <w:sz w:val="48"/>
          <w:szCs w:val="48"/>
          <w:highlight w:val="none"/>
          <w14:textFill>
            <w14:solidFill>
              <w14:schemeClr w14:val="tx1"/>
            </w14:solidFill>
          </w14:textFill>
        </w:rPr>
      </w:pPr>
      <w:r>
        <w:rPr>
          <w:rFonts w:ascii="楷体_GB2312" w:eastAsia="楷体_GB2312" w:hint="eastAsia"/>
          <w:bCs/>
          <w:color w:val="000000" w:themeColor="text1"/>
          <w:sz w:val="48"/>
          <w:szCs w:val="48"/>
          <w:highlight w:val="none"/>
          <w14:textFill>
            <w14:solidFill>
              <w14:schemeClr w14:val="tx1"/>
            </w14:solidFill>
          </w14:textFill>
        </w:rPr>
        <w:t>（污染影响类）</w:t>
      </w:r>
    </w:p>
    <w:p>
      <w:pPr>
        <w:adjustRightInd w:val="0"/>
        <w:snapToGrid w:val="0"/>
        <w:spacing w:before="250" w:beforeLines="80"/>
        <w:jc w:val="center"/>
        <w:rPr>
          <w:rFonts w:ascii="楷体_GB2312" w:eastAsia="楷体_GB2312" w:hint="eastAsia"/>
          <w:bCs/>
          <w:color w:val="000000" w:themeColor="text1"/>
          <w:sz w:val="48"/>
          <w:szCs w:val="48"/>
          <w:highlight w:val="none"/>
          <w14:textFill>
            <w14:solidFill>
              <w14:schemeClr w14:val="tx1"/>
            </w14:solidFill>
          </w14:textFill>
        </w:rPr>
      </w:pPr>
      <w:r>
        <w:rPr>
          <w:rFonts w:ascii="楷体_GB2312" w:eastAsia="楷体_GB2312" w:hint="eastAsia"/>
          <w:bCs/>
          <w:color w:val="000000" w:themeColor="text1"/>
          <w:sz w:val="48"/>
          <w:szCs w:val="48"/>
          <w:highlight w:val="none"/>
          <w:lang w:eastAsia="zh-CN"/>
          <w14:textFill>
            <w14:solidFill>
              <w14:schemeClr w14:val="tx1"/>
            </w14:solidFill>
          </w14:textFill>
        </w:rPr>
        <w:t>（</w:t>
      </w:r>
      <w:r>
        <w:rPr>
          <w:rFonts w:ascii="楷体_GB2312" w:eastAsia="楷体_GB2312" w:hint="eastAsia"/>
          <w:bCs/>
          <w:color w:val="000000" w:themeColor="text1"/>
          <w:sz w:val="48"/>
          <w:szCs w:val="48"/>
          <w:highlight w:val="none"/>
          <w:lang w:val="en-US" w:eastAsia="zh-CN"/>
          <w14:textFill>
            <w14:solidFill>
              <w14:schemeClr w14:val="tx1"/>
            </w14:solidFill>
          </w14:textFill>
        </w:rPr>
        <w:t>公示稿</w:t>
      </w:r>
      <w:r>
        <w:rPr>
          <w:rFonts w:ascii="楷体_GB2312" w:eastAsia="楷体_GB2312" w:hint="eastAsia"/>
          <w:bCs/>
          <w:color w:val="000000" w:themeColor="text1"/>
          <w:sz w:val="48"/>
          <w:szCs w:val="48"/>
          <w:highlight w:val="none"/>
          <w:lang w:eastAsia="zh-CN"/>
          <w14:textFill>
            <w14:solidFill>
              <w14:schemeClr w14:val="tx1"/>
            </w14:solidFill>
          </w14:textFill>
        </w:rPr>
        <w:t>）</w:t>
      </w:r>
    </w:p>
    <w:p>
      <w:pPr>
        <w:ind w:firstLine="1040"/>
        <w:rPr>
          <w:rFonts w:eastAsia="仿宋"/>
          <w:color w:val="000000" w:themeColor="text1"/>
          <w:sz w:val="44"/>
          <w:szCs w:val="44"/>
          <w:highlight w:val="none"/>
          <w14:textFill>
            <w14:solidFill>
              <w14:schemeClr w14:val="tx1"/>
            </w14:solidFill>
          </w14:textFill>
        </w:rPr>
      </w:pPr>
    </w:p>
    <w:p>
      <w:pPr>
        <w:ind w:firstLine="1040"/>
        <w:rPr>
          <w:rFonts w:eastAsia="仿宋"/>
          <w:color w:val="000000" w:themeColor="text1"/>
          <w:sz w:val="44"/>
          <w:szCs w:val="44"/>
          <w:highlight w:val="none"/>
          <w14:textFill>
            <w14:solidFill>
              <w14:schemeClr w14:val="tx1"/>
            </w14:solidFill>
          </w14:textFill>
        </w:rPr>
      </w:pPr>
    </w:p>
    <w:p>
      <w:pPr>
        <w:ind w:firstLine="1040"/>
        <w:rPr>
          <w:rFonts w:eastAsia="仿宋"/>
          <w:color w:val="000000" w:themeColor="text1"/>
          <w:sz w:val="44"/>
          <w:szCs w:val="44"/>
          <w:highlight w:val="none"/>
          <w14:textFill>
            <w14:solidFill>
              <w14:schemeClr w14:val="tx1"/>
            </w14:solidFill>
          </w14:textFill>
        </w:rPr>
      </w:pPr>
    </w:p>
    <w:p>
      <w:pPr>
        <w:ind w:firstLine="1040"/>
        <w:rPr>
          <w:rFonts w:ascii="仿宋" w:eastAsia="仿宋" w:hAnsi="仿宋" w:cs="仿宋" w:hint="eastAsia"/>
          <w:color w:val="000000" w:themeColor="text1"/>
          <w:sz w:val="44"/>
          <w:szCs w:val="44"/>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288" w:lineRule="auto"/>
        <w:ind w:firstLine="360" w:firstLineChars="100"/>
        <w:jc w:val="both"/>
        <w:textAlignment w:val="auto"/>
        <w:rPr>
          <w:rFonts w:ascii="仿宋" w:eastAsia="仿宋" w:hAnsi="仿宋" w:cs="仿宋" w:hint="eastAsia"/>
          <w:b/>
          <w:bCs/>
          <w:color w:val="000000" w:themeColor="text1"/>
          <w:sz w:val="36"/>
          <w:szCs w:val="36"/>
          <w:highlight w:val="none"/>
          <w:u w:val="single"/>
          <w14:textFill>
            <w14:solidFill>
              <w14:schemeClr w14:val="tx1"/>
            </w14:solidFill>
          </w14:textFill>
        </w:rPr>
      </w:pPr>
      <w:r>
        <w:rPr>
          <w:rFonts w:ascii="仿宋" w:eastAsia="仿宋" w:hAnsi="仿宋" w:cs="仿宋" w:hint="eastAsia"/>
          <w:b/>
          <w:bCs/>
          <w:color w:val="000000" w:themeColor="text1"/>
          <w:sz w:val="36"/>
          <w:szCs w:val="36"/>
          <w:highlight w:val="none"/>
          <w14:textFill>
            <w14:solidFill>
              <w14:schemeClr w14:val="tx1"/>
            </w14:solidFill>
          </w14:textFill>
        </w:rPr>
        <w:t>项目名称：</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14:textFill>
            <w14:solidFill>
              <w14:schemeClr w14:val="tx1"/>
            </w14:solidFill>
          </w14:textFill>
        </w:rPr>
        <w:t>三亚新琼南眼科医院项目</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w:t>
      </w:r>
    </w:p>
    <w:p>
      <w:pPr>
        <w:adjustRightInd w:val="0"/>
        <w:snapToGrid w:val="0"/>
        <w:spacing w:line="288" w:lineRule="auto"/>
        <w:ind w:firstLine="360" w:firstLineChars="100"/>
        <w:jc w:val="both"/>
        <w:rPr>
          <w:rFonts w:ascii="仿宋" w:eastAsia="仿宋" w:hAnsi="仿宋" w:cs="仿宋" w:hint="eastAsia"/>
          <w:b/>
          <w:bCs/>
          <w:color w:val="000000" w:themeColor="text1"/>
          <w:sz w:val="36"/>
          <w:szCs w:val="36"/>
          <w:highlight w:val="none"/>
          <w:u w:val="single"/>
          <w14:textFill>
            <w14:solidFill>
              <w14:schemeClr w14:val="tx1"/>
            </w14:solidFill>
          </w14:textFill>
        </w:rPr>
      </w:pPr>
      <w:r>
        <w:rPr>
          <w:rFonts w:ascii="仿宋" w:eastAsia="仿宋" w:hAnsi="仿宋" w:cs="仿宋" w:hint="eastAsia"/>
          <w:b/>
          <w:bCs/>
          <w:color w:val="000000" w:themeColor="text1"/>
          <w:sz w:val="36"/>
          <w:szCs w:val="36"/>
          <w:highlight w:val="none"/>
          <w14:textFill>
            <w14:solidFill>
              <w14:schemeClr w14:val="tx1"/>
            </w14:solidFill>
          </w14:textFill>
        </w:rPr>
        <w:t>建设单位（盖章）：</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14:textFill>
            <w14:solidFill>
              <w14:schemeClr w14:val="tx1"/>
            </w14:solidFill>
          </w14:textFill>
        </w:rPr>
        <w:t>三亚新琼南眼科医院</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有限公司   </w:t>
      </w:r>
    </w:p>
    <w:p>
      <w:pPr>
        <w:adjustRightInd w:val="0"/>
        <w:snapToGrid w:val="0"/>
        <w:spacing w:line="288" w:lineRule="auto"/>
        <w:ind w:firstLine="360" w:firstLineChars="100"/>
        <w:rPr>
          <w:rFonts w:ascii="仿宋" w:eastAsia="仿宋" w:hAnsi="仿宋" w:cs="仿宋" w:hint="eastAsia"/>
          <w:b/>
          <w:bCs/>
          <w:color w:val="000000" w:themeColor="text1"/>
          <w:sz w:val="36"/>
          <w:szCs w:val="36"/>
          <w:highlight w:val="none"/>
          <w:u w:val="single"/>
          <w14:textFill>
            <w14:solidFill>
              <w14:schemeClr w14:val="tx1"/>
            </w14:solidFill>
          </w14:textFill>
        </w:rPr>
      </w:pPr>
      <w:r>
        <w:rPr>
          <w:rFonts w:ascii="仿宋" w:eastAsia="仿宋" w:hAnsi="仿宋" w:cs="仿宋" w:hint="eastAsia"/>
          <w:b/>
          <w:bCs/>
          <w:color w:val="000000" w:themeColor="text1"/>
          <w:sz w:val="36"/>
          <w:szCs w:val="36"/>
          <w:highlight w:val="none"/>
          <w14:textFill>
            <w14:solidFill>
              <w14:schemeClr w14:val="tx1"/>
            </w14:solidFill>
          </w14:textFill>
        </w:rPr>
        <w:t>编制日期：</w:t>
      </w:r>
      <w:r>
        <w:rPr>
          <w:rFonts w:ascii="仿宋" w:eastAsia="仿宋" w:hAnsi="仿宋" w:cs="仿宋" w:hint="eastAsia"/>
          <w:b/>
          <w:bCs/>
          <w:color w:val="000000" w:themeColor="text1"/>
          <w:sz w:val="36"/>
          <w:szCs w:val="36"/>
          <w:highlight w:val="none"/>
          <w:u w:val="single"/>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2022年1月</w:t>
      </w:r>
      <w:r>
        <w:rPr>
          <w:rFonts w:ascii="仿宋" w:eastAsia="仿宋" w:hAnsi="仿宋" w:cs="仿宋" w:hint="eastAsia"/>
          <w:b/>
          <w:bCs/>
          <w:color w:val="000000" w:themeColor="text1"/>
          <w:sz w:val="36"/>
          <w:szCs w:val="36"/>
          <w:highlight w:val="none"/>
          <w:u w:val="single"/>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14:textFill>
            <w14:solidFill>
              <w14:schemeClr w14:val="tx1"/>
            </w14:solidFill>
          </w14:textFill>
        </w:rPr>
        <w:t xml:space="preserve">      </w:t>
      </w:r>
      <w:r>
        <w:rPr>
          <w:rFonts w:ascii="仿宋" w:eastAsia="仿宋" w:hAnsi="仿宋" w:cs="仿宋" w:hint="eastAsia"/>
          <w:b/>
          <w:bCs/>
          <w:color w:val="000000" w:themeColor="text1"/>
          <w:sz w:val="36"/>
          <w:szCs w:val="36"/>
          <w:highlight w:val="none"/>
          <w:u w:val="single"/>
          <w:lang w:val="en-US" w:eastAsia="zh-CN"/>
          <w14:textFill>
            <w14:solidFill>
              <w14:schemeClr w14:val="tx1"/>
            </w14:solidFill>
          </w14:textFill>
        </w:rPr>
        <w:t xml:space="preserve">   </w:t>
      </w:r>
    </w:p>
    <w:p>
      <w:pPr>
        <w:adjustRightInd w:val="0"/>
        <w:snapToGrid w:val="0"/>
        <w:spacing w:line="288" w:lineRule="auto"/>
        <w:ind w:firstLine="1040"/>
        <w:rPr>
          <w:rFonts w:ascii="仿宋" w:eastAsia="仿宋" w:hAnsi="仿宋" w:cs="仿宋" w:hint="eastAsia"/>
          <w:b/>
          <w:bCs/>
          <w:color w:val="000000" w:themeColor="text1"/>
          <w:sz w:val="36"/>
          <w:szCs w:val="36"/>
          <w:highlight w:val="none"/>
          <w:u w:val="single"/>
          <w14:textFill>
            <w14:solidFill>
              <w14:schemeClr w14:val="tx1"/>
            </w14:solidFill>
          </w14:textFill>
        </w:rPr>
      </w:pPr>
      <w:bookmarkStart w:id="0" w:name="_Hlk57884087"/>
    </w:p>
    <w:p>
      <w:pPr>
        <w:adjustRightInd w:val="0"/>
        <w:snapToGrid w:val="0"/>
        <w:spacing w:line="288" w:lineRule="auto"/>
        <w:rPr>
          <w:rFonts w:ascii="仿宋" w:eastAsia="仿宋" w:hAnsi="仿宋" w:cs="仿宋" w:hint="eastAsia"/>
          <w:color w:val="000000" w:themeColor="text1"/>
          <w:sz w:val="36"/>
          <w:szCs w:val="36"/>
          <w:highlight w:val="none"/>
          <w14:textFill>
            <w14:solidFill>
              <w14:schemeClr w14:val="tx1"/>
            </w14:solidFill>
          </w14:textFill>
        </w:rPr>
      </w:pPr>
    </w:p>
    <w:p>
      <w:pPr>
        <w:adjustRightInd w:val="0"/>
        <w:snapToGrid w:val="0"/>
        <w:spacing w:line="288" w:lineRule="auto"/>
        <w:ind w:firstLine="1040"/>
        <w:rPr>
          <w:rFonts w:ascii="仿宋" w:eastAsia="仿宋" w:hAnsi="仿宋" w:cs="仿宋" w:hint="eastAsia"/>
          <w:color w:val="000000" w:themeColor="text1"/>
          <w:sz w:val="36"/>
          <w:szCs w:val="36"/>
          <w:highlight w:val="none"/>
          <w14:textFill>
            <w14:solidFill>
              <w14:schemeClr w14:val="tx1"/>
            </w14:solidFill>
          </w14:textFill>
        </w:rPr>
      </w:pPr>
    </w:p>
    <w:p>
      <w:pPr>
        <w:adjustRightInd w:val="0"/>
        <w:snapToGrid w:val="0"/>
        <w:spacing w:line="288" w:lineRule="auto"/>
        <w:ind w:firstLine="1040"/>
        <w:rPr>
          <w:rFonts w:ascii="仿宋" w:eastAsia="仿宋" w:hAnsi="仿宋" w:cs="仿宋" w:hint="eastAsia"/>
          <w:color w:val="000000" w:themeColor="text1"/>
          <w:sz w:val="36"/>
          <w:szCs w:val="36"/>
          <w:highlight w:val="none"/>
          <w14:textFill>
            <w14:solidFill>
              <w14:schemeClr w14:val="tx1"/>
            </w14:solidFill>
          </w14:textFill>
        </w:rPr>
      </w:pPr>
    </w:p>
    <w:p>
      <w:pPr>
        <w:adjustRightInd w:val="0"/>
        <w:snapToGrid w:val="0"/>
        <w:spacing w:line="288" w:lineRule="auto"/>
        <w:ind w:firstLine="1040"/>
        <w:rPr>
          <w:rFonts w:ascii="仿宋" w:eastAsia="仿宋" w:hAnsi="仿宋" w:cs="仿宋" w:hint="eastAsia"/>
          <w:color w:val="000000" w:themeColor="text1"/>
          <w:sz w:val="36"/>
          <w:szCs w:val="36"/>
          <w:highlight w:val="none"/>
          <w14:textFill>
            <w14:solidFill>
              <w14:schemeClr w14:val="tx1"/>
            </w14:solidFill>
          </w14:textFill>
        </w:rPr>
      </w:pPr>
    </w:p>
    <w:bookmarkEnd w:id="0"/>
    <w:p>
      <w:pPr>
        <w:adjustRightInd w:val="0"/>
        <w:snapToGrid w:val="0"/>
        <w:spacing w:line="288" w:lineRule="auto"/>
        <w:jc w:val="center"/>
        <w:rPr>
          <w:rFonts w:ascii="仿宋" w:eastAsia="仿宋" w:hAnsi="仿宋" w:cs="仿宋" w:hint="eastAsia"/>
          <w:color w:val="000000" w:themeColor="text1"/>
          <w:sz w:val="36"/>
          <w:szCs w:val="36"/>
          <w:highlight w:val="none"/>
          <w14:textFill>
            <w14:solidFill>
              <w14:schemeClr w14:val="tx1"/>
            </w14:solidFill>
          </w14:textFill>
        </w:rPr>
      </w:pPr>
      <w:r>
        <w:rPr>
          <w:rFonts w:ascii="仿宋" w:eastAsia="仿宋" w:hAnsi="仿宋" w:cs="仿宋" w:hint="eastAsia"/>
          <w:b/>
          <w:bCs/>
          <w:color w:val="000000" w:themeColor="text1"/>
          <w:sz w:val="36"/>
          <w:szCs w:val="36"/>
          <w:highlight w:val="none"/>
          <w14:textFill>
            <w14:solidFill>
              <w14:schemeClr w14:val="tx1"/>
            </w14:solidFill>
          </w14:textFill>
        </w:rPr>
        <w:t>中华人民共和国生态环境部制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rFonts w:eastAsiaTheme="minorEastAsia" w:hint="eastAsia"/>
          <w:color w:val="000000" w:themeColor="text1"/>
          <w:highlight w:val="none"/>
          <w14:textFill>
            <w14:solidFill>
              <w14:schemeClr w14:val="tx1"/>
            </w14:solidFill>
          </w14:textFill>
        </w:rPr>
        <w:sectPr>
          <w:footerReference w:type="default" r:id="rId5"/>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
          <w:cols w:num="1" w:space="425"/>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color w:val="000000" w:themeColor="text1"/>
          <w:highlight w:val="none"/>
          <w14:textFill>
            <w14:solidFill>
              <w14:schemeClr w14:val="tx1"/>
            </w14:solidFill>
          </w14:textFill>
        </w:rPr>
        <w:sectPr>
          <w:footerReference w:type="default" r:id="rId6"/>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
          <w:cols w:num="1" w:space="425"/>
          <w:docGrid w:type="lines" w:linePitch="312" w:charSpace="0"/>
        </w:sectPr>
      </w:pPr>
    </w:p>
    <w:p>
      <w:pPr>
        <w:pStyle w:val="Heading1"/>
        <w:bidi w:val="0"/>
        <w:rPr>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t>一、建设项目基本情况</w:t>
      </w:r>
    </w:p>
    <w:tbl>
      <w:tblPr>
        <w:tblStyle w:val="TableNormal"/>
        <w:tblW w:w="1038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903"/>
        <w:gridCol w:w="1200"/>
        <w:gridCol w:w="2419"/>
        <w:gridCol w:w="1753"/>
        <w:gridCol w:w="4110"/>
      </w:tblGrid>
      <w:tr>
        <w:tblPrEx>
          <w:tblW w:w="1038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295"/>
        </w:trPr>
        <w:tc>
          <w:tcPr>
            <w:tcW w:w="2103" w:type="dxa"/>
            <w:gridSpan w:val="2"/>
            <w:tcBorders>
              <w:top w:val="single" w:sz="6" w:space="0" w:color="auto"/>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建设项目名称</w:t>
            </w:r>
          </w:p>
        </w:tc>
        <w:tc>
          <w:tcPr>
            <w:tcW w:w="8282" w:type="dxa"/>
            <w:gridSpan w:val="3"/>
            <w:tcBorders>
              <w:top w:val="single" w:sz="6" w:space="0" w:color="auto"/>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eastAsia="宋体" w:hAnsi="Times New Roman" w:cs="Times New Roman" w:hint="default"/>
                <w:color w:val="auto"/>
                <w:sz w:val="21"/>
                <w:szCs w:val="21"/>
                <w:highlight w:val="none"/>
                <w:lang w:val="en-US" w:eastAsia="zh-CN"/>
              </w:rPr>
              <w:t>三亚新琼南眼科医院项目</w:t>
            </w:r>
          </w:p>
        </w:tc>
      </w:tr>
      <w:tr>
        <w:tblPrEx>
          <w:tblW w:w="10385" w:type="dxa"/>
          <w:tblInd w:w="-318" w:type="dxa"/>
          <w:shd w:val="clear" w:color="auto" w:fill="auto"/>
          <w:tblLayout w:type="fixed"/>
          <w:tblCellMar>
            <w:top w:w="0" w:type="dxa"/>
            <w:left w:w="0" w:type="dxa"/>
            <w:bottom w:w="0" w:type="dxa"/>
            <w:right w:w="0" w:type="dxa"/>
          </w:tblCellMar>
        </w:tblPrEx>
        <w:trPr>
          <w:trHeight w:val="285"/>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项目代码</w:t>
            </w:r>
          </w:p>
        </w:tc>
        <w:tc>
          <w:tcPr>
            <w:tcW w:w="8282" w:type="dxa"/>
            <w:gridSpan w:val="3"/>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eastAsia="宋体" w:hAnsi="Times New Roman" w:cs="Times New Roman" w:hint="default"/>
                <w:color w:val="auto"/>
                <w:sz w:val="21"/>
                <w:szCs w:val="21"/>
                <w:highlight w:val="none"/>
                <w:lang w:val="en-US" w:eastAsia="zh-CN"/>
              </w:rPr>
              <w:t>2021-460203-84-03-000627</w:t>
            </w:r>
          </w:p>
        </w:tc>
      </w:tr>
      <w:tr>
        <w:tblPrEx>
          <w:tblW w:w="10385" w:type="dxa"/>
          <w:tblInd w:w="-318" w:type="dxa"/>
          <w:shd w:val="clear" w:color="auto" w:fill="auto"/>
          <w:tblLayout w:type="fixed"/>
          <w:tblCellMar>
            <w:top w:w="0" w:type="dxa"/>
            <w:left w:w="0" w:type="dxa"/>
            <w:bottom w:w="0" w:type="dxa"/>
            <w:right w:w="0" w:type="dxa"/>
          </w:tblCellMar>
        </w:tblPrEx>
        <w:trPr>
          <w:trHeight w:val="285"/>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建设单位联系人</w:t>
            </w:r>
          </w:p>
        </w:tc>
        <w:tc>
          <w:tcPr>
            <w:tcW w:w="2419"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bookmarkStart w:id="1" w:name="_GoBack"/>
            <w:bookmarkEnd w:id="1"/>
          </w:p>
        </w:tc>
        <w:tc>
          <w:tcPr>
            <w:tcW w:w="1753"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p>
        </w:tc>
        <w:tc>
          <w:tcPr>
            <w:tcW w:w="4110"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p>
        </w:tc>
      </w:tr>
      <w:tr>
        <w:tblPrEx>
          <w:tblW w:w="10385" w:type="dxa"/>
          <w:tblInd w:w="-318" w:type="dxa"/>
          <w:shd w:val="clear" w:color="auto" w:fill="auto"/>
          <w:tblLayout w:type="fixed"/>
          <w:tblCellMar>
            <w:top w:w="0" w:type="dxa"/>
            <w:left w:w="0" w:type="dxa"/>
            <w:bottom w:w="0" w:type="dxa"/>
            <w:right w:w="0" w:type="dxa"/>
          </w:tblCellMar>
        </w:tblPrEx>
        <w:trPr>
          <w:trHeight w:val="422"/>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建设地点</w:t>
            </w:r>
          </w:p>
        </w:tc>
        <w:tc>
          <w:tcPr>
            <w:tcW w:w="8282" w:type="dxa"/>
            <w:gridSpan w:val="3"/>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海南省三亚市吉阳区商品街十巷A01号</w:t>
            </w:r>
          </w:p>
        </w:tc>
      </w:tr>
      <w:tr>
        <w:tblPrEx>
          <w:tblW w:w="10385" w:type="dxa"/>
          <w:tblInd w:w="-318" w:type="dxa"/>
          <w:shd w:val="clear" w:color="auto" w:fill="auto"/>
          <w:tblLayout w:type="fixed"/>
          <w:tblCellMar>
            <w:top w:w="0" w:type="dxa"/>
            <w:left w:w="0" w:type="dxa"/>
            <w:bottom w:w="0" w:type="dxa"/>
            <w:right w:w="0" w:type="dxa"/>
          </w:tblCellMar>
        </w:tblPrEx>
        <w:trPr>
          <w:trHeight w:val="335"/>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地理坐标</w:t>
            </w:r>
          </w:p>
        </w:tc>
        <w:tc>
          <w:tcPr>
            <w:tcW w:w="8282" w:type="dxa"/>
            <w:gridSpan w:val="3"/>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hAnsi="Times New Roman" w:cs="Times New Roman" w:hint="default"/>
                <w:color w:val="auto"/>
                <w:sz w:val="21"/>
                <w:szCs w:val="21"/>
                <w:highlight w:val="none"/>
              </w:rPr>
              <w:t>E:109°30′26.80</w:t>
            </w:r>
            <w:r>
              <w:rPr>
                <w:rFonts w:ascii="Times New Roman" w:hAnsi="Times New Roman" w:cs="Times New Roman" w:hint="default"/>
                <w:color w:val="auto"/>
                <w:sz w:val="21"/>
                <w:szCs w:val="21"/>
                <w:highlight w:val="none"/>
                <w:lang w:val="en-US" w:eastAsia="zh-CN"/>
              </w:rPr>
              <w:t>5</w:t>
            </w:r>
            <w:r>
              <w:rPr>
                <w:rFonts w:ascii="Times New Roman" w:hAnsi="Times New Roman" w:cs="Times New Roman" w:hint="default"/>
                <w:color w:val="auto"/>
                <w:sz w:val="21"/>
                <w:szCs w:val="21"/>
                <w:highlight w:val="none"/>
              </w:rPr>
              <w:t>″</w:t>
            </w:r>
            <w:r>
              <w:rPr>
                <w:rFonts w:ascii="Times New Roman" w:hAnsi="Times New Roman" w:cs="Times New Roman" w:hint="eastAsia"/>
                <w:color w:val="auto"/>
                <w:sz w:val="21"/>
                <w:szCs w:val="21"/>
                <w:highlight w:val="none"/>
                <w:lang w:val="en-US" w:eastAsia="zh-CN"/>
              </w:rPr>
              <w:t xml:space="preserve"> </w:t>
            </w:r>
            <w:r>
              <w:rPr>
                <w:rFonts w:ascii="Times New Roman" w:hAnsi="Times New Roman" w:cs="Times New Roman" w:hint="default"/>
                <w:color w:val="auto"/>
                <w:sz w:val="21"/>
                <w:szCs w:val="21"/>
                <w:highlight w:val="none"/>
              </w:rPr>
              <w:t>N:18°14′59.56</w:t>
            </w:r>
            <w:r>
              <w:rPr>
                <w:rFonts w:ascii="Times New Roman" w:hAnsi="Times New Roman" w:cs="Times New Roman" w:hint="default"/>
                <w:color w:val="auto"/>
                <w:sz w:val="21"/>
                <w:szCs w:val="21"/>
                <w:highlight w:val="none"/>
                <w:lang w:val="en-US" w:eastAsia="zh-CN"/>
              </w:rPr>
              <w:t>4</w:t>
            </w:r>
            <w:r>
              <w:rPr>
                <w:rFonts w:ascii="Times New Roman" w:hAnsi="Times New Roman" w:cs="Times New Roman" w:hint="default"/>
                <w:color w:val="auto"/>
                <w:sz w:val="21"/>
                <w:szCs w:val="21"/>
                <w:highlight w:val="none"/>
              </w:rPr>
              <w:t>″</w:t>
            </w:r>
          </w:p>
        </w:tc>
      </w:tr>
      <w:tr>
        <w:tblPrEx>
          <w:tblW w:w="10385" w:type="dxa"/>
          <w:tblInd w:w="-318" w:type="dxa"/>
          <w:shd w:val="clear" w:color="auto" w:fill="auto"/>
          <w:tblLayout w:type="fixed"/>
          <w:tblCellMar>
            <w:top w:w="0" w:type="dxa"/>
            <w:left w:w="0" w:type="dxa"/>
            <w:bottom w:w="0" w:type="dxa"/>
            <w:right w:w="0" w:type="dxa"/>
          </w:tblCellMar>
        </w:tblPrEx>
        <w:trPr>
          <w:trHeight w:val="555"/>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国民经济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行业类别</w:t>
            </w:r>
          </w:p>
        </w:tc>
        <w:tc>
          <w:tcPr>
            <w:tcW w:w="2419"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eastAsia="宋体" w:hAnsi="Times New Roman" w:cs="Times New Roman" w:hint="default"/>
                <w:color w:val="auto"/>
                <w:sz w:val="21"/>
                <w:szCs w:val="21"/>
                <w:highlight w:val="none"/>
              </w:rPr>
              <w:t>Q84</w:t>
            </w:r>
            <w:r>
              <w:rPr>
                <w:rFonts w:ascii="Times New Roman" w:eastAsia="宋体" w:hAnsi="Times New Roman" w:cs="Times New Roman" w:hint="default"/>
                <w:color w:val="auto"/>
                <w:sz w:val="21"/>
                <w:szCs w:val="21"/>
                <w:highlight w:val="none"/>
                <w:lang w:val="en-US" w:eastAsia="zh-CN"/>
              </w:rPr>
              <w:t>15</w:t>
            </w:r>
            <w:r>
              <w:rPr>
                <w:rFonts w:ascii="Times New Roman" w:eastAsia="宋体" w:hAnsi="Times New Roman" w:cs="Times New Roman" w:hint="default"/>
                <w:color w:val="auto"/>
                <w:sz w:val="21"/>
                <w:szCs w:val="21"/>
                <w:highlight w:val="none"/>
                <w:lang w:eastAsia="zh-CN"/>
              </w:rPr>
              <w:t>专科医院</w:t>
            </w:r>
          </w:p>
        </w:tc>
        <w:tc>
          <w:tcPr>
            <w:tcW w:w="1753"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建设项目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行业类别</w:t>
            </w:r>
          </w:p>
        </w:tc>
        <w:tc>
          <w:tcPr>
            <w:tcW w:w="4110"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left"/>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rPr>
              <w:t>“</w:t>
            </w:r>
            <w:r>
              <w:rPr>
                <w:rFonts w:ascii="Times New Roman" w:hAnsi="Times New Roman" w:cs="Times New Roman" w:hint="default"/>
                <w:color w:val="auto"/>
                <w:sz w:val="21"/>
                <w:szCs w:val="21"/>
                <w:highlight w:val="none"/>
                <w:lang w:val="en-US" w:eastAsia="zh-CN"/>
              </w:rPr>
              <w:t>四</w:t>
            </w:r>
            <w:r>
              <w:rPr>
                <w:rFonts w:ascii="Times New Roman" w:hAnsi="Times New Roman" w:cs="Times New Roman" w:hint="default"/>
                <w:color w:val="auto"/>
                <w:sz w:val="21"/>
                <w:szCs w:val="21"/>
                <w:highlight w:val="none"/>
              </w:rPr>
              <w:t>十九、卫生”第</w:t>
            </w:r>
            <w:r>
              <w:rPr>
                <w:rFonts w:ascii="Times New Roman" w:hAnsi="Times New Roman" w:cs="Times New Roman" w:hint="default"/>
                <w:color w:val="auto"/>
                <w:sz w:val="21"/>
                <w:szCs w:val="21"/>
                <w:highlight w:val="none"/>
                <w:lang w:val="en-US" w:eastAsia="zh-CN"/>
              </w:rPr>
              <w:t>108</w:t>
            </w:r>
            <w:r>
              <w:rPr>
                <w:rFonts w:ascii="Times New Roman" w:hAnsi="Times New Roman" w:cs="Times New Roman" w:hint="default"/>
                <w:color w:val="auto"/>
                <w:sz w:val="21"/>
                <w:szCs w:val="21"/>
                <w:highlight w:val="none"/>
              </w:rPr>
              <w:t>项“</w:t>
            </w:r>
            <w:r>
              <w:rPr>
                <w:rFonts w:ascii="Times New Roman" w:hAnsi="Times New Roman" w:cs="Times New Roman" w:hint="default"/>
                <w:color w:val="auto"/>
                <w:sz w:val="21"/>
                <w:szCs w:val="21"/>
                <w:highlight w:val="none"/>
                <w:lang w:val="en-US" w:eastAsia="zh-CN"/>
              </w:rPr>
              <w:t>医院841；专科疾病防治院（所、站）8432；</w:t>
            </w:r>
            <w:r>
              <w:rPr>
                <w:rFonts w:ascii="Times New Roman" w:hAnsi="Times New Roman" w:cs="Times New Roman" w:hint="default"/>
                <w:color w:val="auto"/>
                <w:sz w:val="21"/>
                <w:szCs w:val="21"/>
                <w:highlight w:val="none"/>
              </w:rPr>
              <w:t>妇幼保健院</w:t>
            </w:r>
            <w:r>
              <w:rPr>
                <w:rFonts w:ascii="Times New Roman" w:hAnsi="Times New Roman" w:cs="Times New Roman" w:hint="default"/>
                <w:color w:val="auto"/>
                <w:sz w:val="21"/>
                <w:szCs w:val="21"/>
                <w:highlight w:val="none"/>
                <w:lang w:eastAsia="zh-CN"/>
              </w:rPr>
              <w:t>（</w:t>
            </w:r>
            <w:r>
              <w:rPr>
                <w:rFonts w:ascii="Times New Roman" w:hAnsi="Times New Roman" w:cs="Times New Roman" w:hint="default"/>
                <w:color w:val="auto"/>
                <w:sz w:val="21"/>
                <w:szCs w:val="21"/>
                <w:highlight w:val="none"/>
                <w:lang w:val="en-US" w:eastAsia="zh-CN"/>
              </w:rPr>
              <w:t>所、站</w:t>
            </w:r>
            <w:r>
              <w:rPr>
                <w:rFonts w:ascii="Times New Roman" w:hAnsi="Times New Roman" w:cs="Times New Roman" w:hint="default"/>
                <w:color w:val="auto"/>
                <w:sz w:val="21"/>
                <w:szCs w:val="21"/>
                <w:highlight w:val="none"/>
                <w:lang w:eastAsia="zh-CN"/>
              </w:rPr>
              <w:t>）</w:t>
            </w:r>
            <w:r>
              <w:rPr>
                <w:rFonts w:ascii="Times New Roman" w:hAnsi="Times New Roman" w:cs="Times New Roman" w:hint="default"/>
                <w:color w:val="auto"/>
                <w:sz w:val="21"/>
                <w:szCs w:val="21"/>
                <w:highlight w:val="none"/>
                <w:lang w:val="en-US" w:eastAsia="zh-CN"/>
              </w:rPr>
              <w:t>8433；急救中心（站）服务8434；采供血机构服务8435；基层医疗卫生服务842</w:t>
            </w:r>
            <w:r>
              <w:rPr>
                <w:rFonts w:ascii="Times New Roman" w:hAnsi="Times New Roman" w:cs="Times New Roman" w:hint="default"/>
                <w:color w:val="auto"/>
                <w:sz w:val="21"/>
                <w:szCs w:val="21"/>
                <w:highlight w:val="none"/>
              </w:rPr>
              <w:t>”中的 “其他（</w:t>
            </w:r>
            <w:r>
              <w:rPr>
                <w:rFonts w:ascii="Times New Roman" w:hAnsi="Times New Roman" w:cs="Times New Roman" w:hint="eastAsia"/>
                <w:color w:val="auto"/>
                <w:sz w:val="21"/>
                <w:szCs w:val="21"/>
                <w:highlight w:val="none"/>
                <w:lang w:eastAsia="zh-CN"/>
              </w:rPr>
              <w:t>20张床位</w:t>
            </w:r>
            <w:r>
              <w:rPr>
                <w:rFonts w:ascii="Times New Roman" w:hAnsi="Times New Roman" w:cs="Times New Roman" w:hint="default"/>
                <w:color w:val="auto"/>
                <w:sz w:val="21"/>
                <w:szCs w:val="21"/>
                <w:highlight w:val="none"/>
              </w:rPr>
              <w:t>以下的除外）”类别</w:t>
            </w:r>
          </w:p>
        </w:tc>
      </w:tr>
      <w:tr>
        <w:tblPrEx>
          <w:tblW w:w="10385" w:type="dxa"/>
          <w:tblInd w:w="-318" w:type="dxa"/>
          <w:shd w:val="clear" w:color="auto" w:fill="auto"/>
          <w:tblLayout w:type="fixed"/>
          <w:tblCellMar>
            <w:top w:w="0" w:type="dxa"/>
            <w:left w:w="0" w:type="dxa"/>
            <w:bottom w:w="0" w:type="dxa"/>
            <w:right w:w="0" w:type="dxa"/>
          </w:tblCellMar>
        </w:tblPrEx>
        <w:trPr>
          <w:trHeight w:val="1215"/>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建设性质</w:t>
            </w:r>
          </w:p>
        </w:tc>
        <w:tc>
          <w:tcPr>
            <w:tcW w:w="2419"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lang w:eastAsia="zh-CN"/>
              </w:rPr>
              <w:t>☑</w:t>
            </w:r>
            <w:r>
              <w:rPr>
                <w:rFonts w:ascii="Times New Roman" w:eastAsia="宋体" w:hAnsi="Times New Roman" w:cs="Times New Roman" w:hint="default"/>
                <w:color w:val="auto"/>
                <w:sz w:val="21"/>
                <w:szCs w:val="21"/>
                <w:highlight w:val="none"/>
              </w:rPr>
              <w:t>新建（迁建）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w:t>
            </w:r>
            <w:r>
              <w:rPr>
                <w:rFonts w:ascii="Times New Roman" w:eastAsia="宋体" w:hAnsi="Times New Roman" w:cs="Times New Roman" w:hint="default"/>
                <w:color w:val="auto"/>
                <w:sz w:val="21"/>
                <w:szCs w:val="21"/>
                <w:highlight w:val="none"/>
              </w:rPr>
              <w:t>改建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lang w:eastAsia="zh-CN"/>
              </w:rPr>
              <w:t>£</w:t>
            </w:r>
            <w:r>
              <w:rPr>
                <w:rFonts w:ascii="Times New Roman" w:eastAsia="宋体" w:hAnsi="Times New Roman" w:cs="Times New Roman" w:hint="default"/>
                <w:color w:val="auto"/>
                <w:sz w:val="21"/>
                <w:szCs w:val="21"/>
                <w:highlight w:val="none"/>
              </w:rPr>
              <w:t>扩建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w:t>
            </w:r>
            <w:r>
              <w:rPr>
                <w:rFonts w:ascii="Times New Roman" w:eastAsia="宋体" w:hAnsi="Times New Roman" w:cs="Times New Roman" w:hint="default"/>
                <w:color w:val="auto"/>
                <w:sz w:val="21"/>
                <w:szCs w:val="21"/>
                <w:highlight w:val="none"/>
              </w:rPr>
              <w:t>技术改造</w:t>
            </w:r>
          </w:p>
        </w:tc>
        <w:tc>
          <w:tcPr>
            <w:tcW w:w="1753"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建设项目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申报情形</w:t>
            </w:r>
          </w:p>
        </w:tc>
        <w:tc>
          <w:tcPr>
            <w:tcW w:w="4110"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left"/>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lang w:eastAsia="zh-CN"/>
              </w:rPr>
              <w:t>☑</w:t>
            </w:r>
            <w:r>
              <w:rPr>
                <w:rFonts w:ascii="Times New Roman" w:eastAsia="宋体" w:hAnsi="Times New Roman" w:cs="Times New Roman" w:hint="default"/>
                <w:color w:val="auto"/>
                <w:sz w:val="21"/>
                <w:szCs w:val="21"/>
                <w:highlight w:val="none"/>
              </w:rPr>
              <w:t>首次申报项目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w:t>
            </w:r>
            <w:r>
              <w:rPr>
                <w:rFonts w:ascii="Times New Roman" w:eastAsia="宋体" w:hAnsi="Times New Roman" w:cs="Times New Roman" w:hint="default"/>
                <w:color w:val="auto"/>
                <w:sz w:val="21"/>
                <w:szCs w:val="21"/>
                <w:highlight w:val="none"/>
              </w:rPr>
              <w:t>不予批准后再次申报项目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w:t>
            </w:r>
            <w:r>
              <w:rPr>
                <w:rFonts w:ascii="Times New Roman" w:eastAsia="宋体" w:hAnsi="Times New Roman" w:cs="Times New Roman" w:hint="default"/>
                <w:color w:val="auto"/>
                <w:sz w:val="21"/>
                <w:szCs w:val="21"/>
                <w:highlight w:val="none"/>
              </w:rPr>
              <w:t>超五年重新审核</w:t>
            </w:r>
            <w:r>
              <w:rPr>
                <w:rFonts w:ascii="Times New Roman" w:eastAsia="宋体" w:hAnsi="Times New Roman" w:cs="Times New Roman" w:hint="default"/>
                <w:color w:val="auto"/>
                <w:sz w:val="21"/>
                <w:szCs w:val="21"/>
                <w:highlight w:val="none"/>
                <w:lang w:eastAsia="zh-CN"/>
              </w:rPr>
              <w:t>项</w:t>
            </w:r>
            <w:r>
              <w:rPr>
                <w:rFonts w:ascii="Times New Roman" w:eastAsia="宋体" w:hAnsi="Times New Roman" w:cs="Times New Roman" w:hint="default"/>
                <w:color w:val="auto"/>
                <w:sz w:val="21"/>
                <w:szCs w:val="21"/>
                <w:highlight w:val="none"/>
              </w:rPr>
              <w:t>目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w:t>
            </w:r>
            <w:r>
              <w:rPr>
                <w:rFonts w:ascii="Times New Roman" w:eastAsia="宋体" w:hAnsi="Times New Roman" w:cs="Times New Roman" w:hint="default"/>
                <w:color w:val="auto"/>
                <w:sz w:val="21"/>
                <w:szCs w:val="21"/>
                <w:highlight w:val="none"/>
              </w:rPr>
              <w:t>重大变动重新报批项目</w:t>
            </w:r>
          </w:p>
        </w:tc>
      </w:tr>
      <w:tr>
        <w:tblPrEx>
          <w:tblW w:w="10385" w:type="dxa"/>
          <w:tblInd w:w="-318" w:type="dxa"/>
          <w:shd w:val="clear" w:color="auto" w:fill="auto"/>
          <w:tblLayout w:type="fixed"/>
          <w:tblCellMar>
            <w:top w:w="0" w:type="dxa"/>
            <w:left w:w="0" w:type="dxa"/>
            <w:bottom w:w="0" w:type="dxa"/>
            <w:right w:w="0" w:type="dxa"/>
          </w:tblCellMar>
        </w:tblPrEx>
        <w:trPr>
          <w:trHeight w:val="654"/>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项目审批（核准/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备案）部门（选填）</w:t>
            </w:r>
          </w:p>
        </w:tc>
        <w:tc>
          <w:tcPr>
            <w:tcW w:w="2419"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eastAsia="宋体" w:hAnsi="Times New Roman" w:cs="Times New Roman" w:hint="eastAsia"/>
                <w:color w:val="auto"/>
                <w:sz w:val="21"/>
                <w:szCs w:val="21"/>
                <w:highlight w:val="none"/>
                <w:lang w:val="en-US" w:eastAsia="zh-CN"/>
              </w:rPr>
              <w:t>/</w:t>
            </w:r>
          </w:p>
        </w:tc>
        <w:tc>
          <w:tcPr>
            <w:tcW w:w="1753"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项目审批（核准/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备案）文号（选填）</w:t>
            </w:r>
          </w:p>
        </w:tc>
        <w:tc>
          <w:tcPr>
            <w:tcW w:w="4110"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w:t>
            </w:r>
          </w:p>
        </w:tc>
      </w:tr>
      <w:tr>
        <w:tblPrEx>
          <w:tblW w:w="10385" w:type="dxa"/>
          <w:tblInd w:w="-318" w:type="dxa"/>
          <w:shd w:val="clear" w:color="auto" w:fill="auto"/>
          <w:tblLayout w:type="fixed"/>
          <w:tblCellMar>
            <w:top w:w="0" w:type="dxa"/>
            <w:left w:w="0" w:type="dxa"/>
            <w:bottom w:w="0" w:type="dxa"/>
            <w:right w:w="0" w:type="dxa"/>
          </w:tblCellMar>
        </w:tblPrEx>
        <w:trPr>
          <w:trHeight w:val="90"/>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总投资（万元）</w:t>
            </w:r>
          </w:p>
        </w:tc>
        <w:tc>
          <w:tcPr>
            <w:tcW w:w="2419"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230</w:t>
            </w:r>
          </w:p>
        </w:tc>
        <w:tc>
          <w:tcPr>
            <w:tcW w:w="1753" w:type="dxa"/>
            <w:tcBorders>
              <w:top w:val="nil"/>
              <w:left w:val="nil"/>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环保投资（万元）</w:t>
            </w:r>
          </w:p>
        </w:tc>
        <w:tc>
          <w:tcPr>
            <w:tcW w:w="4110"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25</w:t>
            </w:r>
          </w:p>
        </w:tc>
      </w:tr>
      <w:tr>
        <w:tblPrEx>
          <w:tblW w:w="10385" w:type="dxa"/>
          <w:tblInd w:w="-318" w:type="dxa"/>
          <w:shd w:val="clear" w:color="auto" w:fill="auto"/>
          <w:tblLayout w:type="fixed"/>
          <w:tblCellMar>
            <w:top w:w="0" w:type="dxa"/>
            <w:left w:w="0" w:type="dxa"/>
            <w:bottom w:w="0" w:type="dxa"/>
            <w:right w:w="0" w:type="dxa"/>
          </w:tblCellMar>
        </w:tblPrEx>
        <w:trPr>
          <w:trHeight w:val="90"/>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环保投资占比（%）</w:t>
            </w:r>
          </w:p>
        </w:tc>
        <w:tc>
          <w:tcPr>
            <w:tcW w:w="2419"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10.87</w:t>
            </w:r>
          </w:p>
        </w:tc>
        <w:tc>
          <w:tcPr>
            <w:tcW w:w="1753" w:type="dxa"/>
            <w:tcBorders>
              <w:top w:val="nil"/>
              <w:left w:val="nil"/>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施工工期</w:t>
            </w:r>
          </w:p>
        </w:tc>
        <w:tc>
          <w:tcPr>
            <w:tcW w:w="4110"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4个月</w:t>
            </w:r>
          </w:p>
        </w:tc>
      </w:tr>
      <w:tr>
        <w:tblPrEx>
          <w:tblW w:w="10385" w:type="dxa"/>
          <w:tblInd w:w="-318" w:type="dxa"/>
          <w:shd w:val="clear" w:color="auto" w:fill="auto"/>
          <w:tblLayout w:type="fixed"/>
          <w:tblCellMar>
            <w:top w:w="0" w:type="dxa"/>
            <w:left w:w="0" w:type="dxa"/>
            <w:bottom w:w="0" w:type="dxa"/>
            <w:right w:w="0" w:type="dxa"/>
          </w:tblCellMar>
        </w:tblPrEx>
        <w:trPr>
          <w:trHeight w:val="495"/>
        </w:trPr>
        <w:tc>
          <w:tcPr>
            <w:tcW w:w="2103" w:type="dxa"/>
            <w:gridSpan w:val="2"/>
            <w:tcBorders>
              <w:top w:val="nil"/>
              <w:left w:val="single" w:sz="6" w:space="0" w:color="auto"/>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是否开工建设</w:t>
            </w:r>
          </w:p>
        </w:tc>
        <w:tc>
          <w:tcPr>
            <w:tcW w:w="2419" w:type="dxa"/>
            <w:tcBorders>
              <w:top w:val="nil"/>
              <w:left w:val="nil"/>
              <w:bottom w:val="single" w:sz="6" w:space="0" w:color="auto"/>
              <w:right w:val="single" w:sz="6" w:space="0" w:color="auto"/>
            </w:tcBorders>
            <w:shd w:val="clear" w:color="auto" w:fill="auto"/>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w:t>
            </w:r>
            <w:r>
              <w:rPr>
                <w:rFonts w:ascii="Times New Roman" w:eastAsia="宋体" w:hAnsi="Times New Roman" w:cs="Times New Roman" w:hint="default"/>
                <w:color w:val="auto"/>
                <w:sz w:val="21"/>
                <w:szCs w:val="21"/>
                <w:highlight w:val="none"/>
              </w:rPr>
              <w:t>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rPr>
                <w:rFonts w:ascii="Times New Roman" w:hAnsi="Times New Roman" w:cs="Times New Roman" w:hint="default"/>
                <w:color w:val="auto"/>
                <w:sz w:val="21"/>
                <w:szCs w:val="21"/>
                <w:highlight w:val="none"/>
              </w:rPr>
            </w:pPr>
            <w:r>
              <w:rPr>
                <w:rFonts w:ascii="Wingdings 2" w:eastAsia="宋体" w:hAnsi="Wingdings 2" w:cs="Times New Roman"/>
                <w:color w:val="auto"/>
                <w:sz w:val="21"/>
                <w:szCs w:val="21"/>
                <w:highlight w:val="none"/>
              </w:rPr>
              <w:t>R</w:t>
            </w:r>
            <w:r>
              <w:rPr>
                <w:rFonts w:ascii="Times New Roman" w:eastAsia="宋体" w:hAnsi="Times New Roman" w:cs="Times New Roman" w:hint="default"/>
                <w:color w:val="auto"/>
                <w:sz w:val="21"/>
                <w:szCs w:val="21"/>
                <w:highlight w:val="none"/>
              </w:rPr>
              <w:t>是：</w:t>
            </w:r>
            <w:r>
              <w:rPr>
                <w:rFonts w:ascii="Times New Roman" w:eastAsia="宋体" w:hAnsi="Times New Roman" w:cs="Times New Roman" w:hint="default"/>
                <w:color w:val="auto"/>
                <w:sz w:val="21"/>
                <w:szCs w:val="21"/>
                <w:highlight w:val="none"/>
                <w:u w:val="single"/>
                <w:lang w:val="en-US" w:eastAsia="zh-CN"/>
              </w:rPr>
              <w:t>目前施工装修已完毕，部分设备安装，尚未运营</w:t>
            </w:r>
            <w:r>
              <w:rPr>
                <w:rFonts w:ascii="Times New Roman" w:eastAsia="宋体" w:hAnsi="Times New Roman" w:cs="Times New Roman" w:hint="eastAsia"/>
                <w:color w:val="auto"/>
                <w:sz w:val="21"/>
                <w:szCs w:val="21"/>
                <w:highlight w:val="none"/>
                <w:u w:val="single"/>
                <w:lang w:val="en-US" w:eastAsia="zh-CN"/>
              </w:rPr>
              <w:t>，尚未受到行政处罚</w:t>
            </w:r>
            <w:r>
              <w:rPr>
                <w:rFonts w:ascii="Times New Roman" w:eastAsia="宋体" w:hAnsi="Times New Roman" w:cs="Times New Roman" w:hint="default"/>
                <w:color w:val="auto"/>
                <w:sz w:val="21"/>
                <w:szCs w:val="21"/>
                <w:highlight w:val="none"/>
                <w:u w:val="single"/>
                <w:lang w:val="en-US" w:eastAsia="zh-CN"/>
              </w:rPr>
              <w:t>。</w:t>
            </w:r>
            <w:r>
              <w:rPr>
                <w:rFonts w:ascii="Times New Roman" w:eastAsia="宋体" w:hAnsi="Times New Roman" w:cs="Times New Roman" w:hint="default"/>
                <w:color w:val="auto"/>
                <w:sz w:val="21"/>
                <w:szCs w:val="21"/>
                <w:highlight w:val="none"/>
                <w:u w:val="single"/>
              </w:rPr>
              <w:t xml:space="preserve">      </w:t>
            </w:r>
          </w:p>
        </w:tc>
        <w:tc>
          <w:tcPr>
            <w:tcW w:w="1753" w:type="dxa"/>
            <w:tcBorders>
              <w:top w:val="nil"/>
              <w:left w:val="nil"/>
              <w:bottom w:val="single" w:sz="6" w:space="0" w:color="auto"/>
              <w:right w:val="single" w:sz="6" w:space="0" w:color="auto"/>
            </w:tcBorders>
            <w:shd w:val="clear" w:color="auto" w:fill="auto"/>
            <w:tcMar>
              <w:top w:w="15" w:type="dxa"/>
              <w:left w:w="15" w:type="dxa"/>
              <w:right w:w="1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pacing w:val="-6"/>
                <w:sz w:val="21"/>
                <w:szCs w:val="21"/>
                <w:highlight w:val="none"/>
              </w:rPr>
              <w:t>用地面积（m</w:t>
            </w:r>
            <w:r>
              <w:rPr>
                <w:rFonts w:ascii="Times New Roman" w:eastAsia="宋体" w:hAnsi="Times New Roman" w:cs="Times New Roman" w:hint="default"/>
                <w:color w:val="auto"/>
                <w:spacing w:val="-6"/>
                <w:sz w:val="21"/>
                <w:szCs w:val="21"/>
                <w:highlight w:val="none"/>
                <w:vertAlign w:val="superscript"/>
              </w:rPr>
              <w:t>2</w:t>
            </w:r>
            <w:r>
              <w:rPr>
                <w:rFonts w:ascii="Times New Roman" w:eastAsia="宋体" w:hAnsi="Times New Roman" w:cs="Times New Roman" w:hint="default"/>
                <w:color w:val="auto"/>
                <w:spacing w:val="-6"/>
                <w:sz w:val="21"/>
                <w:szCs w:val="21"/>
                <w:highlight w:val="none"/>
              </w:rPr>
              <w:t>）</w:t>
            </w:r>
          </w:p>
        </w:tc>
        <w:tc>
          <w:tcPr>
            <w:tcW w:w="4110" w:type="dxa"/>
            <w:tcBorders>
              <w:top w:val="nil"/>
              <w:left w:val="nil"/>
              <w:bottom w:val="single" w:sz="6" w:space="0" w:color="auto"/>
              <w:right w:val="single" w:sz="6" w:space="0" w:color="auto"/>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1044</w:t>
            </w:r>
          </w:p>
        </w:tc>
      </w:tr>
      <w:tr>
        <w:tblPrEx>
          <w:tblW w:w="10385" w:type="dxa"/>
          <w:tblInd w:w="-318" w:type="dxa"/>
          <w:shd w:val="clear" w:color="auto" w:fill="auto"/>
          <w:tblLayout w:type="fixed"/>
          <w:tblCellMar>
            <w:top w:w="0" w:type="dxa"/>
            <w:left w:w="0" w:type="dxa"/>
            <w:bottom w:w="0" w:type="dxa"/>
            <w:right w:w="0" w:type="dxa"/>
          </w:tblCellMar>
        </w:tblPrEx>
        <w:trPr>
          <w:trHeight w:val="557"/>
        </w:trPr>
        <w:tc>
          <w:tcPr>
            <w:tcW w:w="2103" w:type="dxa"/>
            <w:gridSpan w:val="2"/>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both"/>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专项评价设置情况</w:t>
            </w:r>
          </w:p>
        </w:tc>
        <w:tc>
          <w:tcPr>
            <w:tcW w:w="8282" w:type="dxa"/>
            <w:gridSpan w:val="3"/>
            <w:tcBorders>
              <w:top w:val="nil"/>
              <w:left w:val="nil"/>
              <w:bottom w:val="single" w:sz="6" w:space="0" w:color="auto"/>
              <w:right w:val="single" w:sz="6" w:space="0" w:color="auto"/>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eastAsia="zh-CN"/>
              </w:rPr>
              <w:t>无</w:t>
            </w:r>
          </w:p>
        </w:tc>
      </w:tr>
      <w:tr>
        <w:tblPrEx>
          <w:tblW w:w="10385" w:type="dxa"/>
          <w:tblInd w:w="-318" w:type="dxa"/>
          <w:shd w:val="clear" w:color="auto" w:fill="auto"/>
          <w:tblLayout w:type="fixed"/>
          <w:tblCellMar>
            <w:top w:w="0" w:type="dxa"/>
            <w:left w:w="0" w:type="dxa"/>
            <w:bottom w:w="0" w:type="dxa"/>
            <w:right w:w="0" w:type="dxa"/>
          </w:tblCellMar>
        </w:tblPrEx>
        <w:trPr>
          <w:trHeight w:val="395"/>
        </w:trPr>
        <w:tc>
          <w:tcPr>
            <w:tcW w:w="2103" w:type="dxa"/>
            <w:gridSpan w:val="2"/>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规划情况</w:t>
            </w:r>
          </w:p>
        </w:tc>
        <w:tc>
          <w:tcPr>
            <w:tcW w:w="8282" w:type="dxa"/>
            <w:gridSpan w:val="3"/>
            <w:tcBorders>
              <w:top w:val="nil"/>
              <w:left w:val="nil"/>
              <w:bottom w:val="single" w:sz="6" w:space="0" w:color="auto"/>
              <w:right w:val="single" w:sz="6" w:space="0" w:color="auto"/>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无</w:t>
            </w:r>
          </w:p>
        </w:tc>
      </w:tr>
      <w:tr>
        <w:tblPrEx>
          <w:tblW w:w="10385" w:type="dxa"/>
          <w:tblInd w:w="-318" w:type="dxa"/>
          <w:shd w:val="clear" w:color="auto" w:fill="auto"/>
          <w:tblLayout w:type="fixed"/>
          <w:tblCellMar>
            <w:top w:w="0" w:type="dxa"/>
            <w:left w:w="0" w:type="dxa"/>
            <w:bottom w:w="0" w:type="dxa"/>
            <w:right w:w="0" w:type="dxa"/>
          </w:tblCellMar>
        </w:tblPrEx>
        <w:trPr>
          <w:trHeight w:val="445"/>
        </w:trPr>
        <w:tc>
          <w:tcPr>
            <w:tcW w:w="2103" w:type="dxa"/>
            <w:gridSpan w:val="2"/>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规划环境影响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评价情况</w:t>
            </w:r>
          </w:p>
        </w:tc>
        <w:tc>
          <w:tcPr>
            <w:tcW w:w="8282" w:type="dxa"/>
            <w:gridSpan w:val="3"/>
            <w:tcBorders>
              <w:top w:val="nil"/>
              <w:left w:val="nil"/>
              <w:bottom w:val="single" w:sz="6" w:space="0" w:color="auto"/>
              <w:right w:val="single" w:sz="6" w:space="0" w:color="auto"/>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eastAsia="zh-CN"/>
              </w:rPr>
              <w:t>无</w:t>
            </w:r>
          </w:p>
        </w:tc>
      </w:tr>
      <w:tr>
        <w:tblPrEx>
          <w:tblW w:w="10385" w:type="dxa"/>
          <w:tblInd w:w="-318" w:type="dxa"/>
          <w:shd w:val="clear" w:color="auto" w:fill="auto"/>
          <w:tblLayout w:type="fixed"/>
          <w:tblCellMar>
            <w:top w:w="0" w:type="dxa"/>
            <w:left w:w="0" w:type="dxa"/>
            <w:bottom w:w="0" w:type="dxa"/>
            <w:right w:w="0" w:type="dxa"/>
          </w:tblCellMar>
        </w:tblPrEx>
        <w:trPr>
          <w:trHeight w:val="1020"/>
        </w:trPr>
        <w:tc>
          <w:tcPr>
            <w:tcW w:w="2103" w:type="dxa"/>
            <w:gridSpan w:val="2"/>
            <w:tcBorders>
              <w:top w:val="nil"/>
              <w:left w:val="single" w:sz="6" w:space="0" w:color="auto"/>
              <w:bottom w:val="single" w:sz="4"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规划及规划环境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影响评价符合性分析</w:t>
            </w:r>
          </w:p>
        </w:tc>
        <w:tc>
          <w:tcPr>
            <w:tcW w:w="8282" w:type="dxa"/>
            <w:gridSpan w:val="3"/>
            <w:tcBorders>
              <w:top w:val="nil"/>
              <w:left w:val="nil"/>
              <w:bottom w:val="single" w:sz="4" w:space="0" w:color="auto"/>
              <w:right w:val="single" w:sz="6" w:space="0" w:color="auto"/>
            </w:tcBorders>
            <w:shd w:val="clear" w:color="auto" w:fill="auto"/>
            <w:tcMar>
              <w:left w:w="105" w:type="dxa"/>
              <w:right w:w="105" w:type="dxa"/>
            </w:tcMar>
            <w:vAlign w:val="center"/>
          </w:tcPr>
          <w:p>
            <w:pPr>
              <w:keepNext w:val="0"/>
              <w:keepLines w:val="0"/>
              <w:pageBreakBefore w:val="0"/>
              <w:widowControl/>
              <w:kinsoku/>
              <w:wordWrap/>
              <w:overflowPunct/>
              <w:topLinePunct w:val="0"/>
              <w:autoSpaceDE/>
              <w:autoSpaceDN/>
              <w:bidi w:val="0"/>
              <w:adjustRightInd/>
              <w:snapToGrid/>
              <w:spacing w:after="0" w:line="360" w:lineRule="auto"/>
              <w:ind w:right="0"/>
              <w:jc w:val="center"/>
              <w:textAlignment w:val="auto"/>
              <w:rPr>
                <w:rFonts w:ascii="Times New Roman" w:hAnsi="Times New Roman" w:cs="Times New Roman" w:hint="default"/>
                <w:color w:val="auto"/>
                <w:szCs w:val="21"/>
                <w:highlight w:val="none"/>
              </w:rPr>
            </w:pPr>
            <w:r>
              <w:rPr>
                <w:rFonts w:ascii="Times New Roman" w:hAnsi="Times New Roman" w:cs="Times New Roman" w:hint="default"/>
                <w:color w:val="auto"/>
                <w:sz w:val="21"/>
                <w:szCs w:val="21"/>
                <w:highlight w:val="none"/>
                <w:lang w:val="en-US" w:eastAsia="zh-CN"/>
              </w:rPr>
              <w:t>无</w:t>
            </w:r>
          </w:p>
        </w:tc>
      </w:tr>
      <w:tr>
        <w:tblPrEx>
          <w:tblW w:w="10385" w:type="dxa"/>
          <w:tblInd w:w="-318" w:type="dxa"/>
          <w:shd w:val="clear" w:color="auto" w:fill="auto"/>
          <w:tblLayout w:type="fixed"/>
          <w:tblCellMar>
            <w:top w:w="0" w:type="dxa"/>
            <w:left w:w="0" w:type="dxa"/>
            <w:bottom w:w="0" w:type="dxa"/>
            <w:right w:w="0" w:type="dxa"/>
          </w:tblCellMar>
        </w:tblPrEx>
        <w:trPr>
          <w:trHeight w:val="90"/>
        </w:trPr>
        <w:tc>
          <w:tcPr>
            <w:tcW w:w="903" w:type="dxa"/>
            <w:tcBorders>
              <w:top w:val="single" w:sz="4" w:space="0" w:color="auto"/>
              <w:left w:val="single" w:sz="6" w:space="0" w:color="auto"/>
              <w:bottom w:val="single" w:sz="4"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both"/>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tc>
        <w:tc>
          <w:tcPr>
            <w:tcW w:w="9482" w:type="dxa"/>
            <w:gridSpan w:val="4"/>
            <w:tcBorders>
              <w:top w:val="single" w:sz="4" w:space="0" w:color="auto"/>
              <w:left w:val="nil"/>
              <w:bottom w:val="single" w:sz="4" w:space="0" w:color="auto"/>
              <w:right w:val="single" w:sz="6" w:space="0" w:color="auto"/>
            </w:tcBorders>
            <w:shd w:val="clear" w:color="auto" w:fill="auto"/>
            <w:tcMar>
              <w:left w:w="105" w:type="dxa"/>
              <w:right w:w="105" w:type="dxa"/>
            </w:tcMar>
            <w:vAlign w:val="center"/>
          </w:tcPr>
          <w:p>
            <w:pPr>
              <w:keepNext/>
              <w:keepLines w:val="0"/>
              <w:pageBreakBefore w:val="0"/>
              <w:widowControl w:val="0"/>
              <w:numPr>
                <w:ilvl w:val="0"/>
                <w:numId w:val="0"/>
              </w:numPr>
              <w:kinsoku/>
              <w:wordWrap/>
              <w:overflowPunct/>
              <w:topLinePunct w:val="0"/>
              <w:autoSpaceDE/>
              <w:autoSpaceDN/>
              <w:bidi w:val="0"/>
              <w:adjustRightInd/>
              <w:snapToGrid/>
              <w:spacing w:after="0" w:line="360" w:lineRule="auto"/>
              <w:ind w:right="0" w:firstLine="420" w:rightChars="0" w:firstLineChars="200"/>
              <w:jc w:val="left"/>
              <w:textAlignment w:val="auto"/>
              <w:outlineLvl w:val="9"/>
              <w:rPr>
                <w:rFonts w:ascii="Times New Roman" w:eastAsia="宋体" w:hAnsi="Times New Roman" w:cs="Times New Roman" w:hint="default"/>
                <w:b/>
                <w:bCs/>
                <w:color w:val="auto"/>
                <w:kern w:val="0"/>
                <w:szCs w:val="21"/>
                <w:highlight w:val="none"/>
              </w:rPr>
            </w:pPr>
            <w:r>
              <w:rPr>
                <w:rFonts w:ascii="Times New Roman" w:eastAsia="宋体" w:hAnsi="Times New Roman" w:cs="Times New Roman" w:hint="default"/>
                <w:b/>
                <w:bCs/>
                <w:color w:val="auto"/>
                <w:sz w:val="21"/>
                <w:szCs w:val="21"/>
                <w:highlight w:val="none"/>
                <w:lang w:val="en-US" w:eastAsia="zh-CN"/>
              </w:rPr>
              <w:t>1、与《三亚市总体规划（空间类2015-2030）》相符性分析</w:t>
            </w:r>
          </w:p>
          <w:p>
            <w:pPr>
              <w:keepNext w:val="0"/>
              <w:keepLines w:val="0"/>
              <w:pageBreakBefore w:val="0"/>
              <w:widowControl/>
              <w:kinsoku/>
              <w:wordWrap/>
              <w:overflowPunct/>
              <w:topLinePunct w:val="0"/>
              <w:autoSpaceDE/>
              <w:autoSpaceDN/>
              <w:bidi w:val="0"/>
              <w:adjustRightInd/>
              <w:snapToGrid/>
              <w:spacing w:after="0" w:line="360" w:lineRule="auto"/>
              <w:ind w:right="0" w:firstLine="420" w:firstLineChars="200"/>
              <w:jc w:val="left"/>
              <w:textAlignment w:val="auto"/>
              <w:rPr>
                <w:rFonts w:ascii="Times New Roman" w:eastAsia="宋体" w:hAnsi="Times New Roman" w:cs="Times New Roman" w:hint="default"/>
                <w:b w:val="0"/>
                <w:bCs/>
                <w:color w:val="auto"/>
                <w:szCs w:val="21"/>
                <w:highlight w:val="none"/>
              </w:rPr>
            </w:pPr>
            <w:r>
              <w:rPr>
                <w:rFonts w:ascii="Times New Roman" w:eastAsia="宋体" w:hAnsi="Times New Roman" w:cs="Times New Roman" w:hint="default"/>
                <w:b w:val="0"/>
                <w:bCs w:val="0"/>
                <w:color w:val="auto"/>
                <w:sz w:val="21"/>
                <w:szCs w:val="21"/>
                <w:highlight w:val="none"/>
                <w:lang w:val="en-US" w:eastAsia="zh-CN"/>
              </w:rPr>
              <w:t>本项目位于</w:t>
            </w:r>
            <w:r>
              <w:rPr>
                <w:rFonts w:ascii="Times New Roman" w:eastAsia="宋体" w:hAnsi="Times New Roman" w:cs="Times New Roman" w:hint="default"/>
                <w:color w:val="auto"/>
                <w:sz w:val="21"/>
                <w:szCs w:val="21"/>
                <w:highlight w:val="none"/>
                <w:lang w:val="en-US" w:eastAsia="zh-CN"/>
              </w:rPr>
              <w:t>海南省三亚市吉阳区商品街十巷A01号</w:t>
            </w:r>
            <w:r>
              <w:rPr>
                <w:rFonts w:ascii="Times New Roman" w:eastAsia="宋体" w:hAnsi="Times New Roman" w:cs="Times New Roman" w:hint="default"/>
                <w:b w:val="0"/>
                <w:bCs w:val="0"/>
                <w:color w:val="auto"/>
                <w:sz w:val="21"/>
                <w:szCs w:val="21"/>
                <w:highlight w:val="none"/>
                <w:lang w:val="en-US" w:eastAsia="zh-CN"/>
              </w:rPr>
              <w:t>，租用已有建筑物作为医院建设。</w:t>
            </w:r>
            <w:r>
              <w:rPr>
                <w:rFonts w:ascii="Times New Roman" w:eastAsia="宋体" w:hAnsi="Times New Roman" w:cs="Times New Roman" w:hint="default"/>
                <w:b w:val="0"/>
                <w:bCs/>
                <w:color w:val="auto"/>
                <w:sz w:val="21"/>
                <w:szCs w:val="21"/>
                <w:highlight w:val="none"/>
                <w:lang w:val="en-US" w:eastAsia="zh-CN"/>
              </w:rPr>
              <w:t>根据项目与“多规合一”图叠图可知：项目用地规划性质主要为城镇建设用地，由于历史建筑原因，现有建筑物占用到公路用地，</w:t>
            </w:r>
            <w:r>
              <w:rPr>
                <w:rFonts w:ascii="Times New Roman" w:eastAsia="宋体" w:hAnsi="Times New Roman" w:cs="Times New Roman" w:hint="default"/>
                <w:b w:val="0"/>
                <w:bCs w:val="0"/>
                <w:color w:val="auto"/>
                <w:sz w:val="21"/>
                <w:szCs w:val="21"/>
                <w:highlight w:val="none"/>
                <w:lang w:eastAsia="zh-CN"/>
              </w:rPr>
              <w:t>本项目用做医院建设</w:t>
            </w:r>
            <w:r>
              <w:rPr>
                <w:rFonts w:ascii="Times New Roman" w:eastAsia="宋体" w:hAnsi="Times New Roman" w:cs="Times New Roman" w:hint="default"/>
                <w:b w:val="0"/>
                <w:bCs/>
                <w:color w:val="auto"/>
                <w:sz w:val="21"/>
                <w:szCs w:val="21"/>
                <w:highlight w:val="none"/>
                <w:lang w:val="en-US" w:eastAsia="zh-CN"/>
              </w:rPr>
              <w:t>（见附图）。</w:t>
            </w:r>
            <w:r>
              <w:rPr>
                <w:rFonts w:ascii="Times New Roman" w:eastAsia="宋体" w:hAnsi="Times New Roman" w:cs="Times New Roman" w:hint="default"/>
                <w:b w:val="0"/>
                <w:bCs w:val="0"/>
                <w:color w:val="auto"/>
                <w:sz w:val="21"/>
                <w:szCs w:val="21"/>
                <w:highlight w:val="none"/>
                <w:lang w:val="en-US" w:eastAsia="zh-CN" w:bidi="ar-SA"/>
              </w:rPr>
              <w:t>项目房屋产权证属于个人房产（见附件），项目业主利用个人房产建设专科医院，为盈利性医疗机构，为商业服务设施建设。</w:t>
            </w:r>
            <w:r>
              <w:rPr>
                <w:rFonts w:ascii="Times New Roman" w:eastAsia="宋体" w:hAnsi="Times New Roman" w:cs="Times New Roman" w:hint="default"/>
                <w:b w:val="0"/>
                <w:bCs/>
                <w:color w:val="auto"/>
                <w:sz w:val="21"/>
                <w:szCs w:val="21"/>
                <w:highlight w:val="none"/>
                <w:lang w:val="en-US" w:eastAsia="zh-CN"/>
              </w:rPr>
              <w:t>因此，项目的建设与“多规合一”图相符。</w:t>
            </w:r>
          </w:p>
        </w:tc>
      </w:tr>
    </w:tbl>
    <w:p>
      <w:pPr>
        <w:sectPr>
          <w:footerReference w:type="default" r:id="rId7"/>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
          <w:cols w:num="1" w:space="425"/>
          <w:docGrid w:type="lines" w:linePitch="312" w:charSpace="0"/>
        </w:sectPr>
      </w:pPr>
    </w:p>
    <w:tbl>
      <w:tblPr>
        <w:tblStyle w:val="TableNormal"/>
        <w:tblW w:w="1038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903"/>
        <w:gridCol w:w="9482"/>
      </w:tblGrid>
      <w:tr>
        <w:tblPrEx>
          <w:tblW w:w="1038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90"/>
        </w:trPr>
        <w:tc>
          <w:tcPr>
            <w:tcW w:w="903" w:type="dxa"/>
            <w:tcBorders>
              <w:top w:val="single" w:sz="4" w:space="0" w:color="auto"/>
              <w:left w:val="single" w:sz="6" w:space="0" w:color="auto"/>
              <w:bottom w:val="single" w:sz="4"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其他符合性分析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color w:val="auto"/>
                <w:sz w:val="21"/>
                <w:szCs w:val="21"/>
                <w:highlight w:val="none"/>
              </w:rPr>
            </w:pPr>
          </w:p>
        </w:tc>
        <w:tc>
          <w:tcPr>
            <w:tcW w:w="9482" w:type="dxa"/>
            <w:tcBorders>
              <w:top w:val="single" w:sz="4" w:space="0" w:color="auto"/>
              <w:left w:val="nil"/>
              <w:bottom w:val="single" w:sz="4" w:space="0" w:color="auto"/>
              <w:right w:val="single" w:sz="6" w:space="0" w:color="auto"/>
            </w:tcBorders>
            <w:shd w:val="clear" w:color="auto" w:fill="auto"/>
            <w:tcMar>
              <w:left w:w="105" w:type="dxa"/>
              <w:right w:w="105" w:type="dxa"/>
            </w:tcMar>
            <w:vAlign w:val="center"/>
          </w:tcPr>
          <w:p>
            <w:pPr>
              <w:pStyle w:val="BodyText"/>
              <w:keepLines w:val="0"/>
              <w:pageBreakBefore w:val="0"/>
              <w:numPr>
                <w:ilvl w:val="0"/>
                <w:numId w:val="0"/>
              </w:numPr>
              <w:tabs>
                <w:tab w:val="left" w:pos="0"/>
              </w:tabs>
              <w:kinsoku/>
              <w:wordWrap/>
              <w:overflowPunct/>
              <w:topLinePunct w:val="0"/>
              <w:autoSpaceDE/>
              <w:autoSpaceDN/>
              <w:bidi w:val="0"/>
              <w:adjustRightInd/>
              <w:snapToGrid/>
              <w:spacing w:line="360" w:lineRule="auto"/>
              <w:ind w:right="0" w:firstLine="420" w:rightChars="0" w:firstLineChars="200"/>
              <w:jc w:val="left"/>
              <w:textAlignment w:val="auto"/>
              <w:rPr>
                <w:rFonts w:ascii="Times New Roman" w:eastAsia="宋体" w:hAnsi="Times New Roman" w:cs="Times New Roman" w:hint="eastAsia"/>
                <w:b/>
                <w:bCs/>
                <w:color w:val="auto"/>
                <w:u w:val="none"/>
                <w:lang w:val="en-US" w:eastAsia="zh-CN"/>
              </w:rPr>
            </w:pPr>
            <w:r>
              <w:rPr>
                <w:rFonts w:ascii="Times New Roman" w:eastAsia="宋体" w:hAnsi="Times New Roman" w:cs="Times New Roman" w:hint="default"/>
                <w:b/>
                <w:bCs/>
                <w:color w:val="auto"/>
                <w:u w:val="none"/>
                <w:lang w:val="en-US" w:eastAsia="zh-CN"/>
              </w:rPr>
              <w:t>2、与</w:t>
            </w:r>
            <w:r>
              <w:rPr>
                <w:rFonts w:ascii="Times New Roman" w:eastAsia="宋体" w:hAnsi="Times New Roman" w:cs="Times New Roman" w:hint="eastAsia"/>
                <w:b/>
                <w:bCs/>
                <w:color w:val="auto"/>
                <w:u w:val="none"/>
                <w:lang w:val="en-US" w:eastAsia="zh-CN"/>
              </w:rPr>
              <w:t>“三线一单”符合性分析</w:t>
            </w:r>
          </w:p>
          <w:p>
            <w:pPr>
              <w:pStyle w:val="BodyText"/>
              <w:keepLines w:val="0"/>
              <w:pageBreakBefore w:val="0"/>
              <w:kinsoku/>
              <w:wordWrap/>
              <w:overflowPunct/>
              <w:topLinePunct w:val="0"/>
              <w:autoSpaceDE/>
              <w:autoSpaceDN/>
              <w:bidi w:val="0"/>
              <w:adjustRightInd/>
              <w:snapToGrid/>
              <w:spacing w:line="360" w:lineRule="auto"/>
              <w:ind w:left="0" w:firstLine="420" w:leftChars="0" w:firstLineChars="200"/>
              <w:jc w:val="left"/>
              <w:textAlignment w:val="auto"/>
              <w:rPr>
                <w:rFonts w:ascii="Times New Roman" w:hAnsi="Times New Roman" w:cs="Times New Roman" w:hint="default"/>
                <w:b/>
                <w:bCs/>
                <w:color w:val="auto"/>
                <w:u w:val="none"/>
                <w:lang w:val="en-US" w:eastAsia="zh-CN"/>
              </w:rPr>
            </w:pPr>
            <w:r>
              <w:rPr>
                <w:rFonts w:ascii="Times New Roman" w:eastAsia="宋体" w:hAnsi="Times New Roman" w:cs="Times New Roman" w:hint="eastAsia"/>
                <w:b/>
                <w:bCs/>
                <w:color w:val="auto"/>
                <w:u w:val="none"/>
                <w:lang w:val="en-US" w:eastAsia="zh-CN"/>
              </w:rPr>
              <w:t>2.1、</w:t>
            </w:r>
            <w:r>
              <w:rPr>
                <w:rFonts w:ascii="Times New Roman" w:hAnsi="Times New Roman" w:cs="Times New Roman" w:hint="default"/>
                <w:b/>
                <w:bCs/>
                <w:color w:val="auto"/>
                <w:u w:val="none"/>
                <w:lang w:val="en-US" w:eastAsia="zh-CN"/>
              </w:rPr>
              <w:t>生态保护红线</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eastAsia"/>
                <w:color w:val="auto"/>
                <w:u w:val="none"/>
                <w:lang w:val="en-US" w:eastAsia="zh-CN"/>
              </w:rPr>
            </w:pPr>
            <w:r>
              <w:rPr>
                <w:rFonts w:ascii="Times New Roman" w:eastAsia="宋体" w:hAnsi="Times New Roman" w:cs="Times New Roman" w:hint="eastAsia"/>
                <w:color w:val="auto"/>
                <w:u w:val="none"/>
                <w:lang w:val="en-US" w:eastAsia="zh-CN"/>
              </w:rPr>
              <w:t>根据根据《三亚市总体规划（空间类2015-2030）》，本项目不涉及占用I类和II类生态保护红线，因此，本项目选址与《海南省生态保护红线管理规定》是相符的。</w:t>
            </w:r>
          </w:p>
          <w:p>
            <w:pPr>
              <w:ind w:firstLine="420" w:firstLineChars="200"/>
              <w:rPr>
                <w:rFonts w:hint="default"/>
                <w:b/>
                <w:bCs/>
                <w:color w:val="auto"/>
              </w:rPr>
            </w:pPr>
            <w:r>
              <w:rPr>
                <w:rFonts w:ascii="Times New Roman" w:eastAsia="宋体" w:hAnsi="Times New Roman" w:cs="Times New Roman" w:hint="eastAsia"/>
                <w:b/>
                <w:bCs/>
                <w:color w:val="auto"/>
                <w:u w:val="none"/>
                <w:lang w:val="en-US" w:eastAsia="zh-CN"/>
              </w:rPr>
              <w:t>2.2、环境质量底线</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default"/>
                <w:color w:val="auto"/>
                <w:u w:val="none"/>
              </w:rPr>
            </w:pPr>
            <w:r>
              <w:rPr>
                <w:rFonts w:ascii="Times New Roman" w:hAnsi="Times New Roman" w:cs="Times New Roman" w:hint="default"/>
                <w:color w:val="auto"/>
                <w:u w:val="none"/>
              </w:rPr>
              <w:t>本项目运营后会产生一定的污染物，如</w:t>
            </w:r>
            <w:r>
              <w:rPr>
                <w:rFonts w:ascii="Times New Roman" w:hAnsi="Times New Roman" w:cs="Times New Roman" w:hint="default"/>
                <w:color w:val="auto"/>
                <w:u w:val="none"/>
                <w:lang w:eastAsia="zh-CN"/>
              </w:rPr>
              <w:t>污水处理站臭气</w:t>
            </w:r>
            <w:r>
              <w:rPr>
                <w:rFonts w:ascii="Times New Roman" w:hAnsi="Times New Roman" w:cs="Times New Roman" w:hint="default"/>
                <w:color w:val="auto"/>
                <w:u w:val="none"/>
              </w:rPr>
              <w:t>、</w:t>
            </w:r>
            <w:r>
              <w:rPr>
                <w:rFonts w:ascii="Times New Roman" w:hAnsi="Times New Roman" w:cs="Times New Roman" w:hint="default"/>
                <w:color w:val="auto"/>
                <w:u w:val="none"/>
                <w:lang w:eastAsia="zh-CN"/>
              </w:rPr>
              <w:t>医疗废水</w:t>
            </w:r>
            <w:r>
              <w:rPr>
                <w:rFonts w:ascii="Times New Roman" w:hAnsi="Times New Roman" w:cs="Times New Roman" w:hint="default"/>
                <w:color w:val="auto"/>
                <w:u w:val="none"/>
              </w:rPr>
              <w:t>、生产设备运行产生的噪声、</w:t>
            </w:r>
            <w:r>
              <w:rPr>
                <w:rFonts w:ascii="Times New Roman" w:hAnsi="Times New Roman" w:cs="Times New Roman" w:hint="default"/>
                <w:color w:val="auto"/>
                <w:u w:val="none"/>
                <w:lang w:eastAsia="zh-CN"/>
              </w:rPr>
              <w:t>医疗废物</w:t>
            </w:r>
            <w:r>
              <w:rPr>
                <w:rFonts w:ascii="Times New Roman" w:hAnsi="Times New Roman" w:cs="Times New Roman" w:hint="default"/>
                <w:color w:val="auto"/>
                <w:u w:val="none"/>
              </w:rPr>
              <w:t>等，但在采取相应的污染防治措施后，各类污染物的排放对周边环境影响较小，即不会改变区域环境功能区质量要求，能维持环境功能区质量现状，满足大气</w:t>
            </w:r>
            <w:r>
              <w:rPr>
                <w:rFonts w:ascii="Times New Roman" w:hAnsi="Times New Roman" w:cs="Times New Roman" w:hint="eastAsia"/>
                <w:color w:val="auto"/>
                <w:u w:val="none"/>
                <w:lang w:val="en-US" w:eastAsia="zh-CN"/>
              </w:rPr>
              <w:t>、</w:t>
            </w:r>
            <w:r>
              <w:rPr>
                <w:rFonts w:ascii="Times New Roman" w:hAnsi="Times New Roman" w:cs="Times New Roman" w:hint="default"/>
                <w:color w:val="auto"/>
                <w:u w:val="none"/>
              </w:rPr>
              <w:t>水</w:t>
            </w:r>
            <w:r>
              <w:rPr>
                <w:rFonts w:ascii="Times New Roman" w:hAnsi="Times New Roman" w:cs="Times New Roman" w:hint="eastAsia"/>
                <w:color w:val="auto"/>
                <w:u w:val="none"/>
                <w:lang w:val="en-US" w:eastAsia="zh-CN"/>
              </w:rPr>
              <w:t>和噪声</w:t>
            </w:r>
            <w:r>
              <w:rPr>
                <w:rFonts w:ascii="Times New Roman" w:hAnsi="Times New Roman" w:cs="Times New Roman" w:hint="default"/>
                <w:color w:val="auto"/>
                <w:u w:val="none"/>
              </w:rPr>
              <w:t>环境质量底线管控要求。</w:t>
            </w:r>
          </w:p>
          <w:p>
            <w:pPr>
              <w:ind w:firstLine="420" w:firstLineChars="200"/>
              <w:rPr>
                <w:rFonts w:hint="default"/>
                <w:b/>
                <w:bCs/>
                <w:color w:val="auto"/>
              </w:rPr>
            </w:pPr>
            <w:r>
              <w:rPr>
                <w:rFonts w:ascii="Times New Roman" w:hAnsi="Times New Roman" w:cs="Times New Roman" w:hint="eastAsia"/>
                <w:b/>
                <w:bCs/>
                <w:color w:val="auto"/>
                <w:u w:val="none"/>
                <w:lang w:val="en-US" w:eastAsia="zh-CN"/>
              </w:rPr>
              <w:t>2.3、资源利用上线</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default"/>
                <w:color w:val="auto"/>
                <w:u w:val="none"/>
              </w:rPr>
            </w:pPr>
            <w:r>
              <w:rPr>
                <w:rFonts w:ascii="Times New Roman" w:hAnsi="Times New Roman" w:cs="Times New Roman" w:hint="default"/>
                <w:color w:val="auto"/>
                <w:u w:val="none"/>
              </w:rPr>
              <w:t>本项目是</w:t>
            </w:r>
            <w:r>
              <w:rPr>
                <w:rFonts w:ascii="Times New Roman" w:hAnsi="Times New Roman" w:cs="Times New Roman" w:hint="default"/>
                <w:color w:val="auto"/>
                <w:u w:val="none"/>
                <w:lang w:val="en-US" w:eastAsia="zh-CN"/>
              </w:rPr>
              <w:t>眼科医院</w:t>
            </w:r>
            <w:r>
              <w:rPr>
                <w:rFonts w:ascii="Times New Roman" w:hAnsi="Times New Roman" w:cs="Times New Roman" w:hint="default"/>
                <w:color w:val="auto"/>
                <w:u w:val="none"/>
                <w:lang w:eastAsia="zh-CN"/>
              </w:rPr>
              <w:t>项目</w:t>
            </w:r>
            <w:r>
              <w:rPr>
                <w:rFonts w:ascii="Times New Roman" w:hAnsi="Times New Roman" w:cs="Times New Roman" w:hint="default"/>
                <w:color w:val="auto"/>
                <w:u w:val="none"/>
              </w:rPr>
              <w:t>，</w:t>
            </w:r>
            <w:r>
              <w:rPr>
                <w:rFonts w:ascii="Times New Roman" w:hAnsi="Times New Roman" w:cs="Times New Roman" w:hint="default"/>
                <w:color w:val="auto"/>
                <w:u w:val="none"/>
                <w:lang w:eastAsia="zh-CN"/>
              </w:rPr>
              <w:t>建于城市建成区，</w:t>
            </w:r>
            <w:r>
              <w:rPr>
                <w:rFonts w:ascii="Times New Roman" w:hAnsi="Times New Roman" w:cs="Times New Roman" w:hint="default"/>
                <w:color w:val="auto"/>
                <w:u w:val="none"/>
              </w:rPr>
              <w:t>用水由市政供水管网供给，取水量较小，符合当地的水资源条件</w:t>
            </w:r>
            <w:r>
              <w:rPr>
                <w:rFonts w:ascii="Times New Roman" w:hAnsi="Times New Roman" w:cs="Times New Roman" w:hint="default"/>
                <w:color w:val="auto"/>
                <w:u w:val="none"/>
                <w:lang w:eastAsia="zh-CN"/>
              </w:rPr>
              <w:t>、</w:t>
            </w:r>
            <w:r>
              <w:rPr>
                <w:rFonts w:ascii="Times New Roman" w:hAnsi="Times New Roman" w:cs="Times New Roman" w:hint="default"/>
                <w:color w:val="auto"/>
                <w:u w:val="none"/>
              </w:rPr>
              <w:t>水功能区划以及水资源配置的要求；项目所需用电由市政电网提供，用电量较小，当地有富余的剩余电量为本项目提供保障；项目</w:t>
            </w:r>
            <w:r>
              <w:rPr>
                <w:rFonts w:ascii="Times New Roman" w:hAnsi="Times New Roman" w:cs="Times New Roman" w:hint="default"/>
                <w:color w:val="auto"/>
                <w:u w:val="none"/>
                <w:lang w:eastAsia="zh-CN"/>
              </w:rPr>
              <w:t>租赁已建楼房用于建设（租赁合同详见附件</w:t>
            </w:r>
            <w:r>
              <w:rPr>
                <w:rFonts w:ascii="Times New Roman" w:hAnsi="Times New Roman" w:cs="Times New Roman" w:hint="default"/>
                <w:color w:val="auto"/>
                <w:u w:val="none"/>
                <w:lang w:val="en-US" w:eastAsia="zh-CN"/>
              </w:rPr>
              <w:t>2</w:t>
            </w:r>
            <w:r>
              <w:rPr>
                <w:rFonts w:ascii="Times New Roman" w:hAnsi="Times New Roman" w:cs="Times New Roman" w:hint="default"/>
                <w:color w:val="auto"/>
                <w:u w:val="none"/>
                <w:lang w:eastAsia="zh-CN"/>
              </w:rPr>
              <w:t>），不新增占地面积</w:t>
            </w:r>
            <w:r>
              <w:rPr>
                <w:rFonts w:ascii="Times New Roman" w:hAnsi="Times New Roman" w:cs="Times New Roman" w:hint="default"/>
                <w:color w:val="auto"/>
                <w:u w:val="none"/>
              </w:rPr>
              <w:t>。项目建成运行后通过内部管理、设备的选用和管理、污染治理等多方面采取合理、可行、有效的防治措施，以“节能、降耗、减污”为目标，有效的控制污染及资源利用水平。项目的水、电等资源利用不会突破区域的资源利用上线。</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eastAsia"/>
                <w:b/>
                <w:bCs/>
                <w:color w:val="auto"/>
                <w:u w:val="none"/>
                <w:lang w:val="en-US" w:eastAsia="zh-CN"/>
              </w:rPr>
            </w:pPr>
            <w:r>
              <w:rPr>
                <w:rFonts w:ascii="Times New Roman" w:hAnsi="Times New Roman" w:cs="Times New Roman" w:hint="eastAsia"/>
                <w:b/>
                <w:bCs/>
                <w:color w:val="auto"/>
                <w:u w:val="none"/>
                <w:lang w:val="en-US" w:eastAsia="zh-CN"/>
              </w:rPr>
              <w:t>2.4、生态环境准入符合性</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default"/>
                <w:color w:val="auto"/>
                <w:u w:val="none"/>
                <w:lang w:val="en-US" w:eastAsia="zh-CN"/>
              </w:rPr>
            </w:pPr>
            <w:r>
              <w:rPr>
                <w:rFonts w:ascii="Times New Roman" w:hAnsi="Times New Roman" w:cs="Times New Roman" w:hint="eastAsia"/>
                <w:color w:val="auto"/>
                <w:u w:val="none"/>
                <w:lang w:val="en-US" w:eastAsia="zh-CN"/>
              </w:rPr>
              <w:t>（1）与</w:t>
            </w:r>
            <w:r>
              <w:rPr>
                <w:rFonts w:ascii="Times New Roman" w:hAnsi="Times New Roman" w:cs="Times New Roman" w:hint="default"/>
                <w:color w:val="auto"/>
                <w:u w:val="none"/>
                <w:lang w:val="en-US" w:eastAsia="zh-CN"/>
              </w:rPr>
              <w:t>《海南省生态环境准入清单</w:t>
            </w:r>
            <w:r>
              <w:rPr>
                <w:rFonts w:ascii="Times New Roman" w:hAnsi="Times New Roman" w:cs="Times New Roman" w:hint="eastAsia"/>
                <w:color w:val="auto"/>
                <w:u w:val="none"/>
                <w:lang w:val="en-US" w:eastAsia="zh-CN"/>
              </w:rPr>
              <w:t>（</w:t>
            </w:r>
            <w:r>
              <w:rPr>
                <w:rFonts w:ascii="Times New Roman" w:hAnsi="Times New Roman" w:cs="Times New Roman" w:hint="default"/>
                <w:color w:val="auto"/>
                <w:u w:val="none"/>
                <w:lang w:val="en-US" w:eastAsia="zh-CN"/>
              </w:rPr>
              <w:t>2021年版</w:t>
            </w:r>
            <w:r>
              <w:rPr>
                <w:rFonts w:ascii="Times New Roman" w:hAnsi="Times New Roman" w:cs="Times New Roman" w:hint="eastAsia"/>
                <w:color w:val="auto"/>
                <w:u w:val="none"/>
                <w:lang w:val="en-US" w:eastAsia="zh-CN"/>
              </w:rPr>
              <w:t>）</w:t>
            </w:r>
            <w:r>
              <w:rPr>
                <w:rFonts w:ascii="Times New Roman" w:hAnsi="Times New Roman" w:cs="Times New Roman" w:hint="default"/>
                <w:color w:val="auto"/>
                <w:u w:val="none"/>
                <w:lang w:val="en-US" w:eastAsia="zh-CN"/>
              </w:rPr>
              <w:t>》符合性</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default"/>
                <w:color w:val="auto"/>
                <w:u w:val="none"/>
                <w:lang w:val="en-US" w:eastAsia="zh-CN"/>
              </w:rPr>
            </w:pPr>
            <w:r>
              <w:rPr>
                <w:rFonts w:ascii="Times New Roman" w:hAnsi="Times New Roman" w:cs="Times New Roman" w:hint="eastAsia"/>
                <w:color w:val="auto"/>
                <w:u w:val="none"/>
                <w:lang w:val="en-US" w:eastAsia="zh-CN"/>
              </w:rPr>
              <w:t>根据《海南省生态环境准入清单（2021）》，本项目所在区域环境管控单元编码：</w:t>
            </w:r>
            <w:r>
              <w:rPr>
                <w:rFonts w:ascii="Times New Roman" w:hAnsi="Times New Roman" w:cs="Times New Roman" w:hint="default"/>
                <w:color w:val="auto"/>
                <w:u w:val="none"/>
                <w:lang w:val="en-US" w:eastAsia="zh-CN"/>
              </w:rPr>
              <w:t>ZH46020320001</w:t>
            </w:r>
            <w:r>
              <w:rPr>
                <w:rFonts w:ascii="Times New Roman" w:hAnsi="Times New Roman" w:cs="Times New Roman" w:hint="eastAsia"/>
                <w:color w:val="auto"/>
                <w:u w:val="none"/>
                <w:lang w:val="en-US" w:eastAsia="zh-CN"/>
              </w:rPr>
              <w:t>，单元类型：重点管控区</w:t>
            </w:r>
            <w:r>
              <w:rPr>
                <w:rFonts w:ascii="Times New Roman" w:hAnsi="Times New Roman" w:cs="Times New Roman" w:hint="default"/>
                <w:color w:val="auto"/>
                <w:u w:val="none"/>
                <w:lang w:val="en-US" w:eastAsia="zh-CN"/>
              </w:rPr>
              <w:t>，项目与《海南省生态环境准入清单（2021年版）》 的分析见表</w:t>
            </w:r>
            <w:r>
              <w:rPr>
                <w:rFonts w:ascii="Times New Roman" w:hAnsi="Times New Roman" w:cs="Times New Roman" w:hint="eastAsia"/>
                <w:color w:val="auto"/>
                <w:u w:val="none"/>
                <w:lang w:val="en-US" w:eastAsia="zh-CN"/>
              </w:rPr>
              <w:t>1-1</w:t>
            </w:r>
            <w:r>
              <w:rPr>
                <w:rFonts w:ascii="Times New Roman" w:hAnsi="Times New Roman" w:cs="Times New Roman" w:hint="default"/>
                <w:color w:val="auto"/>
                <w:u w:val="none"/>
                <w:lang w:val="en-US" w:eastAsia="zh-CN"/>
              </w:rPr>
              <w:t>。</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default"/>
                <w:color w:val="auto"/>
                <w:u w:val="none"/>
                <w:lang w:val="en-US" w:eastAsia="zh-CN"/>
              </w:rPr>
            </w:pPr>
            <w:r>
              <w:rPr>
                <w:rFonts w:ascii="Times New Roman" w:hAnsi="Times New Roman" w:cs="Times New Roman" w:hint="default"/>
                <w:color w:val="auto"/>
                <w:u w:val="none"/>
                <w:lang w:val="en-US" w:eastAsia="zh-CN"/>
              </w:rPr>
              <w:t>根据表</w:t>
            </w:r>
            <w:r>
              <w:rPr>
                <w:rFonts w:ascii="Times New Roman" w:hAnsi="Times New Roman" w:cs="Times New Roman" w:hint="eastAsia"/>
                <w:color w:val="auto"/>
                <w:u w:val="none"/>
                <w:lang w:val="en-US" w:eastAsia="zh-CN"/>
              </w:rPr>
              <w:t>1</w:t>
            </w:r>
            <w:r>
              <w:rPr>
                <w:rFonts w:ascii="Times New Roman" w:hAnsi="Times New Roman" w:cs="Times New Roman" w:hint="default"/>
                <w:color w:val="auto"/>
                <w:u w:val="none"/>
                <w:lang w:val="en-US" w:eastAsia="zh-CN"/>
              </w:rPr>
              <w:t xml:space="preserve">分析可知，项目的建设符合《海南省生态环境准入清单（2021年版）》管控要求。 </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eastAsia"/>
                <w:color w:val="auto"/>
                <w:u w:val="none"/>
                <w:lang w:val="en-US" w:eastAsia="zh-CN"/>
              </w:rPr>
            </w:pPr>
            <w:r>
              <w:rPr>
                <w:rFonts w:ascii="Times New Roman" w:hAnsi="Times New Roman" w:cs="Times New Roman" w:hint="eastAsia"/>
                <w:color w:val="auto"/>
                <w:u w:val="none"/>
                <w:lang w:val="en-US" w:eastAsia="zh-CN"/>
              </w:rPr>
              <w:t>（2）与三亚市生态环境准入清单符合性</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eastAsia"/>
                <w:color w:val="auto"/>
                <w:u w:val="none"/>
                <w:lang w:val="en-US" w:eastAsia="zh-CN"/>
              </w:rPr>
            </w:pPr>
            <w:r>
              <w:rPr>
                <w:rFonts w:ascii="Times New Roman" w:hAnsi="Times New Roman" w:cs="Times New Roman" w:hint="eastAsia"/>
                <w:color w:val="auto"/>
                <w:u w:val="none"/>
                <w:lang w:val="en-US" w:eastAsia="zh-CN"/>
              </w:rPr>
              <w:t xml:space="preserve"> 根据《三亚市区域空间生态环境暨“三线一单”生态环境准入清单》，项目位于重点管控区、高污染禁燃区、大气环境手提敏感重点管控区、建设用地污染风险重点管控区，项目与《三亚市区域空间生态环境暨“三线一单”生态环境准入清单》分析见表1-2。</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cs="Times New Roman" w:hint="eastAsia"/>
                <w:color w:val="auto"/>
                <w:u w:val="none"/>
                <w:lang w:val="en-US" w:eastAsia="zh-CN"/>
              </w:rPr>
            </w:pPr>
            <w:r>
              <w:rPr>
                <w:rFonts w:ascii="Times New Roman" w:hAnsi="Times New Roman" w:cs="Times New Roman" w:hint="eastAsia"/>
                <w:color w:val="auto"/>
                <w:u w:val="none"/>
                <w:lang w:val="en-US" w:eastAsia="zh-CN"/>
              </w:rPr>
              <w:t>根据表2分析可知，项目的建设符合《三亚市区域空间生态环境暨“三线一单”生态环境准入清单》管控要求。</w:t>
            </w:r>
          </w:p>
          <w:p>
            <w:pPr>
              <w:pStyle w:val="BodyText"/>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color w:val="auto"/>
                <w:u w:val="none"/>
                <w:lang w:val="en-US" w:eastAsia="zh-CN"/>
              </w:rPr>
            </w:pPr>
          </w:p>
          <w:p>
            <w:pPr>
              <w:spacing w:line="360" w:lineRule="auto"/>
              <w:rPr>
                <w:rFonts w:ascii="Times New Roman" w:hAnsi="Times New Roman" w:cs="Times New Roman" w:hint="default"/>
                <w:color w:val="auto"/>
                <w:szCs w:val="21"/>
                <w:highlight w:val="none"/>
              </w:rPr>
            </w:pP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rFonts w:ascii="黑体" w:eastAsia="黑体" w:hAnsi="宋体" w:cs="黑体"/>
          <w:color w:val="000000" w:themeColor="text1"/>
          <w:sz w:val="30"/>
          <w:szCs w:val="30"/>
          <w:highlight w:val="none"/>
          <w14:textFill>
            <w14:solidFill>
              <w14:schemeClr w14:val="tx1"/>
            </w14:solidFill>
          </w14:textFill>
        </w:rPr>
        <w:sectPr>
          <w:footerReference w:type="default" r:id="rId8"/>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3"/>
          <w:cols w:num="1" w:space="425"/>
          <w:titlePg w:val="0"/>
          <w:docGrid w:type="lines" w:linePitch="312" w:charSpace="0"/>
        </w:sectPr>
      </w:pPr>
    </w:p>
    <w:tbl>
      <w:tblPr>
        <w:tblStyle w:val="TableGrid0"/>
        <w:tblW w:w="14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
        <w:gridCol w:w="13704"/>
      </w:tblGrid>
      <w:tr>
        <w:tblPrEx>
          <w:tblW w:w="14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370"/>
          <w:jc w:val="center"/>
        </w:trPr>
        <w:tc>
          <w:tcPr>
            <w:tcW w:w="935" w:type="dxa"/>
          </w:tcPr>
          <w:p>
            <w:pPr>
              <w:pStyle w:val="NormalWeb"/>
              <w:keepNext w:val="0"/>
              <w:keepLines w:val="0"/>
              <w:widowControl/>
              <w:suppressLineNumbers w:val="0"/>
              <w:spacing w:before="0" w:beforeAutospacing="0" w:after="0" w:afterAutospacing="0"/>
              <w:ind w:right="0"/>
              <w:jc w:val="center"/>
              <w:rPr>
                <w:rFonts w:ascii="黑体" w:eastAsia="黑体" w:hAnsi="宋体" w:cs="黑体"/>
                <w:color w:val="000000" w:themeColor="text1"/>
                <w:sz w:val="30"/>
                <w:szCs w:val="30"/>
                <w:highlight w:val="none"/>
                <w:vertAlign w:val="baseline"/>
                <w14:textFill>
                  <w14:solidFill>
                    <w14:schemeClr w14:val="tx1"/>
                  </w14:solidFill>
                </w14:textFill>
              </w:rPr>
            </w:pPr>
          </w:p>
        </w:tc>
        <w:tc>
          <w:tcPr>
            <w:tcW w:w="13704" w:type="dxa"/>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表</w:t>
            </w:r>
            <w:r>
              <w:rPr>
                <w:rFonts w:ascii="Times New Roman" w:hAnsi="Times New Roman" w:cs="Times New Roman" w:hint="eastAsia"/>
                <w:b/>
                <w:bCs/>
                <w:color w:val="000000" w:themeColor="text1"/>
                <w:sz w:val="21"/>
                <w:szCs w:val="21"/>
                <w:lang w:val="en-US" w:eastAsia="zh-CN"/>
                <w14:textFill>
                  <w14:solidFill>
                    <w14:schemeClr w14:val="tx1"/>
                  </w14:solidFill>
                </w14:textFill>
              </w:rPr>
              <w:t>1-</w:t>
            </w:r>
            <w:r>
              <w:rPr>
                <w:rFonts w:ascii="Times New Roman" w:hAnsi="Times New Roman" w:cs="Times New Roman" w:hint="default"/>
                <w:b/>
                <w:bCs/>
                <w:color w:val="000000" w:themeColor="text1"/>
                <w:sz w:val="21"/>
                <w:szCs w:val="21"/>
                <w:lang w:val="en-US" w:eastAsia="zh-CN"/>
                <w14:textFill>
                  <w14:solidFill>
                    <w14:schemeClr w14:val="tx1"/>
                  </w14:solidFill>
                </w14:textFill>
              </w:rPr>
              <w:t>1 与</w:t>
            </w:r>
            <w:r>
              <w:rPr>
                <w:rFonts w:ascii="Times New Roman" w:hAnsi="Times New Roman" w:cs="Times New Roman" w:hint="default"/>
                <w:b/>
                <w:bCs/>
                <w:color w:val="000000" w:themeColor="text1"/>
                <w:sz w:val="21"/>
                <w:szCs w:val="21"/>
                <w14:textFill>
                  <w14:solidFill>
                    <w14:schemeClr w14:val="tx1"/>
                  </w14:solidFill>
                </w14:textFill>
              </w:rPr>
              <w:t>海南省生态环境准入清单</w:t>
            </w:r>
            <w:r>
              <w:rPr>
                <w:rFonts w:ascii="Times New Roman" w:hAnsi="Times New Roman" w:cs="Times New Roman" w:hint="default"/>
                <w:b/>
                <w:bCs/>
                <w:color w:val="000000" w:themeColor="text1"/>
                <w:sz w:val="21"/>
                <w:szCs w:val="21"/>
                <w:lang w:val="en-US" w:eastAsia="zh-CN"/>
                <w14:textFill>
                  <w14:solidFill>
                    <w14:schemeClr w14:val="tx1"/>
                  </w14:solidFill>
                </w14:textFill>
              </w:rPr>
              <w:t>分析一览表（摘录）</w:t>
            </w:r>
          </w:p>
          <w:tbl>
            <w:tblPr>
              <w:tblStyle w:val="TableGrid0"/>
              <w:tblW w:w="1341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76"/>
              <w:gridCol w:w="650"/>
              <w:gridCol w:w="897"/>
              <w:gridCol w:w="723"/>
              <w:gridCol w:w="2552"/>
              <w:gridCol w:w="3964"/>
              <w:gridCol w:w="2760"/>
              <w:gridCol w:w="795"/>
            </w:tblGrid>
            <w:tr>
              <w:tblPrEx>
                <w:tblW w:w="1341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61"/>
              </w:trPr>
              <w:tc>
                <w:tcPr>
                  <w:tcW w:w="1076" w:type="dxa"/>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环境管控单元编码</w:t>
                  </w:r>
                </w:p>
              </w:tc>
              <w:tc>
                <w:tcPr>
                  <w:tcW w:w="650" w:type="dxa"/>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单元类型</w:t>
                  </w:r>
                </w:p>
              </w:tc>
              <w:tc>
                <w:tcPr>
                  <w:tcW w:w="897" w:type="dxa"/>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生态环境分区类型</w:t>
                  </w:r>
                </w:p>
              </w:tc>
              <w:tc>
                <w:tcPr>
                  <w:tcW w:w="723" w:type="dxa"/>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管控维度</w:t>
                  </w:r>
                </w:p>
              </w:tc>
              <w:tc>
                <w:tcPr>
                  <w:tcW w:w="6516" w:type="dxa"/>
                  <w:gridSpan w:val="2"/>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管控要求</w:t>
                  </w:r>
                </w:p>
              </w:tc>
              <w:tc>
                <w:tcPr>
                  <w:tcW w:w="2760" w:type="dxa"/>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本项目</w:t>
                  </w:r>
                </w:p>
              </w:tc>
              <w:tc>
                <w:tcPr>
                  <w:tcW w:w="795" w:type="dxa"/>
                  <w:noWrap w:val="0"/>
                  <w:vAlign w:val="center"/>
                </w:tcPr>
                <w:p>
                  <w:pPr>
                    <w:bidi w:val="0"/>
                    <w:jc w:val="center"/>
                    <w:rPr>
                      <w:rFonts w:ascii="Times New Roman" w:hAnsi="Times New Roman" w:cs="Times New Roman" w:hint="default"/>
                      <w:b/>
                      <w:bCs/>
                      <w:color w:val="000000" w:themeColor="text1"/>
                      <w14:textFill>
                        <w14:solidFill>
                          <w14:schemeClr w14:val="tx1"/>
                        </w14:solidFill>
                      </w14:textFill>
                    </w:rPr>
                  </w:pPr>
                  <w:r>
                    <w:rPr>
                      <w:rFonts w:ascii="Times New Roman" w:hAnsi="Times New Roman" w:cs="Times New Roman" w:hint="default"/>
                      <w:b/>
                      <w:bCs/>
                      <w:color w:val="000000" w:themeColor="text1"/>
                      <w:lang w:val="en-US" w:eastAsia="zh-CN"/>
                      <w14:textFill>
                        <w14:solidFill>
                          <w14:schemeClr w14:val="tx1"/>
                        </w14:solidFill>
                      </w14:textFill>
                    </w:rPr>
                    <w:t>是否符合</w:t>
                  </w:r>
                </w:p>
              </w:tc>
            </w:tr>
            <w:tr>
              <w:tblPrEx>
                <w:tblW w:w="13417" w:type="dxa"/>
                <w:tblInd w:w="0" w:type="dxa"/>
                <w:tblLayout w:type="fixed"/>
                <w:tblCellMar>
                  <w:top w:w="0" w:type="dxa"/>
                  <w:left w:w="108" w:type="dxa"/>
                  <w:bottom w:w="0" w:type="dxa"/>
                  <w:right w:w="108" w:type="dxa"/>
                </w:tblCellMar>
              </w:tblPrEx>
              <w:trPr>
                <w:trHeight w:val="895"/>
              </w:trPr>
              <w:tc>
                <w:tcPr>
                  <w:tcW w:w="1076" w:type="dxa"/>
                  <w:vMerge w:val="restart"/>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ZH46020320001</w:t>
                  </w:r>
                </w:p>
              </w:tc>
              <w:tc>
                <w:tcPr>
                  <w:tcW w:w="650" w:type="dxa"/>
                  <w:vMerge w:val="restart"/>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重点管控单元</w:t>
                  </w:r>
                </w:p>
              </w:tc>
              <w:tc>
                <w:tcPr>
                  <w:tcW w:w="897" w:type="dxa"/>
                  <w:vMerge w:val="restart"/>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大气环境受体敏感重点管控区、建设</w:t>
                  </w:r>
                </w:p>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用地污染风险重点管控区、高污染燃料禁燃区</w:t>
                  </w:r>
                </w:p>
              </w:tc>
              <w:tc>
                <w:tcPr>
                  <w:tcW w:w="723"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空间布局约束</w:t>
                  </w:r>
                </w:p>
              </w:tc>
              <w:tc>
                <w:tcPr>
                  <w:tcW w:w="2552"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执行大气环境（受体敏感重点管控区）普适性管控要求。</w:t>
                  </w:r>
                </w:p>
              </w:tc>
              <w:tc>
                <w:tcPr>
                  <w:tcW w:w="3964"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严格控制环境敏感地区建设“两高”行业项目。不新增高污染、高耗能类建设项目，严格控制新增项目准入。</w:t>
                  </w:r>
                </w:p>
              </w:tc>
              <w:tc>
                <w:tcPr>
                  <w:tcW w:w="2760"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本项目为专科医院建设项目，不属于“两高”行业。</w:t>
                  </w:r>
                </w:p>
              </w:tc>
              <w:tc>
                <w:tcPr>
                  <w:tcW w:w="795"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符合</w:t>
                  </w:r>
                </w:p>
              </w:tc>
            </w:tr>
            <w:tr>
              <w:tblPrEx>
                <w:tblW w:w="13417" w:type="dxa"/>
                <w:tblInd w:w="0" w:type="dxa"/>
                <w:tblLayout w:type="fixed"/>
                <w:tblCellMar>
                  <w:top w:w="0" w:type="dxa"/>
                  <w:left w:w="108" w:type="dxa"/>
                  <w:bottom w:w="0" w:type="dxa"/>
                  <w:right w:w="108" w:type="dxa"/>
                </w:tblCellMar>
              </w:tblPrEx>
              <w:trPr>
                <w:trHeight w:val="1486"/>
              </w:trPr>
              <w:tc>
                <w:tcPr>
                  <w:tcW w:w="1076"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650"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897"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723" w:type="dxa"/>
                  <w:vMerge w:val="restart"/>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污染物排放管控</w:t>
                  </w:r>
                </w:p>
              </w:tc>
              <w:tc>
                <w:tcPr>
                  <w:tcW w:w="2552"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1.执行大气环境（受体敏感重点管控区）普适性管控要求。</w:t>
                  </w:r>
                </w:p>
              </w:tc>
              <w:tc>
                <w:tcPr>
                  <w:tcW w:w="3964"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加强环境管理水平，减少污染物排放，确保区域环境质量不下降。区域内新增建设项目主要污染物实行区域等量削减。</w:t>
                  </w:r>
                </w:p>
              </w:tc>
              <w:tc>
                <w:tcPr>
                  <w:tcW w:w="2760"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本项目加强对污水处理设施的恶臭管理，产生的恶臭采用活性炭吸附之后引至楼顶排放，降低对大气环境的影响。</w:t>
                  </w:r>
                </w:p>
              </w:tc>
              <w:tc>
                <w:tcPr>
                  <w:tcW w:w="795"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符合</w:t>
                  </w:r>
                </w:p>
              </w:tc>
            </w:tr>
            <w:tr>
              <w:tblPrEx>
                <w:tblW w:w="13417" w:type="dxa"/>
                <w:tblInd w:w="0" w:type="dxa"/>
                <w:tblLayout w:type="fixed"/>
                <w:tblCellMar>
                  <w:top w:w="0" w:type="dxa"/>
                  <w:left w:w="108" w:type="dxa"/>
                  <w:bottom w:w="0" w:type="dxa"/>
                  <w:right w:w="108" w:type="dxa"/>
                </w:tblCellMar>
              </w:tblPrEx>
              <w:trPr>
                <w:trHeight w:val="895"/>
              </w:trPr>
              <w:tc>
                <w:tcPr>
                  <w:tcW w:w="1076"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650"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897"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723"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2552"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2.执行自然资源（高污染燃料禁燃区）普适性管控要求。</w:t>
                  </w:r>
                </w:p>
              </w:tc>
              <w:tc>
                <w:tcPr>
                  <w:tcW w:w="3964"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使用管道天然气、液化石油气、电、生物质成型燃料等清洁能源，确保排放的污染物达到国家规定的排放标准</w:t>
                  </w:r>
                </w:p>
              </w:tc>
              <w:tc>
                <w:tcPr>
                  <w:tcW w:w="2760"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本项目使用的能源的电能。</w:t>
                  </w:r>
                </w:p>
              </w:tc>
              <w:tc>
                <w:tcPr>
                  <w:tcW w:w="795"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符合</w:t>
                  </w:r>
                </w:p>
              </w:tc>
            </w:tr>
            <w:tr>
              <w:tblPrEx>
                <w:tblW w:w="13417" w:type="dxa"/>
                <w:tblInd w:w="0" w:type="dxa"/>
                <w:tblLayout w:type="fixed"/>
                <w:tblCellMar>
                  <w:top w:w="0" w:type="dxa"/>
                  <w:left w:w="108" w:type="dxa"/>
                  <w:bottom w:w="0" w:type="dxa"/>
                  <w:right w:w="108" w:type="dxa"/>
                </w:tblCellMar>
              </w:tblPrEx>
              <w:trPr>
                <w:trHeight w:val="2676"/>
              </w:trPr>
              <w:tc>
                <w:tcPr>
                  <w:tcW w:w="1076"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650"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897"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723"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14:textFill>
                        <w14:solidFill>
                          <w14:schemeClr w14:val="tx1"/>
                        </w14:solidFill>
                      </w14:textFill>
                    </w:rPr>
                    <w:t>环境风险防控</w:t>
                  </w:r>
                </w:p>
              </w:tc>
              <w:tc>
                <w:tcPr>
                  <w:tcW w:w="2552"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执行土壤环境（建设用地污染风险重点管控区）普适性管控要求。</w:t>
                  </w:r>
                </w:p>
              </w:tc>
              <w:tc>
                <w:tcPr>
                  <w:tcW w:w="3964"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default"/>
                      <w:color w:val="000000" w:themeColor="text1"/>
                      <w:lang w:val="en-US" w:eastAsia="zh-CN"/>
                      <w14:textFill>
                        <w14:solidFill>
                          <w14:schemeClr w14:val="tx1"/>
                        </w14:solidFill>
                      </w14:textFill>
                    </w:rPr>
                    <w:t>产生工业固体废物的单位应当根据经济、技术条件对工业固体废物加以利用；对暂时不利用或者不能利用的，应当按照国务院生态环境等主管部门的规定建设贮存设施、场所，安全分类存放，或者采取无害化处置措施。贮存工业固体废物应当采取符合国家环境保护标准的防护措施。建设工业固体废物贮存、处置的设施、场所，应当符合国家环境保护标准。</w:t>
                  </w:r>
                </w:p>
              </w:tc>
              <w:tc>
                <w:tcPr>
                  <w:tcW w:w="2760"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项目产生的固废分类收集处置，生活垃圾由袋盖垃圾收集桶收集后交由环卫部门清运处理；医疗垃圾分类收集后暂存于医疗垃圾暂存间，委托有资质单位处置；污泥委托有资质单位处置。</w:t>
                  </w:r>
                </w:p>
              </w:tc>
              <w:tc>
                <w:tcPr>
                  <w:tcW w:w="795" w:type="dxa"/>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符合</w:t>
                  </w:r>
                </w:p>
              </w:tc>
            </w:tr>
          </w:tbl>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表</w:t>
            </w:r>
            <w:r>
              <w:rPr>
                <w:rFonts w:ascii="Times New Roman" w:hAnsi="Times New Roman" w:cs="Times New Roman" w:hint="eastAsia"/>
                <w:b/>
                <w:bCs/>
                <w:color w:val="000000" w:themeColor="text1"/>
                <w:sz w:val="21"/>
                <w:szCs w:val="21"/>
                <w:lang w:val="en-US" w:eastAsia="zh-CN"/>
                <w14:textFill>
                  <w14:solidFill>
                    <w14:schemeClr w14:val="tx1"/>
                  </w14:solidFill>
                </w14:textFill>
              </w:rPr>
              <w:t>1-</w:t>
            </w:r>
            <w:r>
              <w:rPr>
                <w:rFonts w:ascii="Times New Roman" w:hAnsi="Times New Roman" w:cs="Times New Roman" w:hint="default"/>
                <w:b/>
                <w:bCs/>
                <w:color w:val="000000" w:themeColor="text1"/>
                <w:sz w:val="21"/>
                <w:szCs w:val="21"/>
                <w:lang w:val="en-US" w:eastAsia="zh-CN"/>
                <w14:textFill>
                  <w14:solidFill>
                    <w14:schemeClr w14:val="tx1"/>
                  </w14:solidFill>
                </w14:textFill>
              </w:rPr>
              <w:t>2 三亚市区域空间生态环境暨“三线一单”生态环境准入清单（摘录）</w:t>
            </w:r>
          </w:p>
          <w:tbl>
            <w:tblPr>
              <w:tblStyle w:val="TableGrid0"/>
              <w:tblW w:w="134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38"/>
              <w:gridCol w:w="887"/>
              <w:gridCol w:w="652"/>
              <w:gridCol w:w="936"/>
              <w:gridCol w:w="6484"/>
              <w:gridCol w:w="3041"/>
              <w:gridCol w:w="798"/>
            </w:tblGrid>
            <w:tr>
              <w:tblPrEx>
                <w:tblW w:w="134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28"/>
              </w:trPr>
              <w:tc>
                <w:tcPr>
                  <w:tcW w:w="638"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类型</w:t>
                  </w:r>
                </w:p>
              </w:tc>
              <w:tc>
                <w:tcPr>
                  <w:tcW w:w="887"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分类</w:t>
                  </w:r>
                </w:p>
              </w:tc>
              <w:tc>
                <w:tcPr>
                  <w:tcW w:w="652"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维度</w:t>
                  </w:r>
                </w:p>
              </w:tc>
              <w:tc>
                <w:tcPr>
                  <w:tcW w:w="936"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清单编</w:t>
                  </w:r>
                </w:p>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制要求</w:t>
                  </w:r>
                </w:p>
              </w:tc>
              <w:tc>
                <w:tcPr>
                  <w:tcW w:w="6484"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管控要求</w:t>
                  </w:r>
                </w:p>
              </w:tc>
              <w:tc>
                <w:tcPr>
                  <w:tcW w:w="3041"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本项目路</w:t>
                  </w:r>
                </w:p>
              </w:tc>
              <w:tc>
                <w:tcPr>
                  <w:tcW w:w="798" w:type="dxa"/>
                  <w:noWrap w:val="0"/>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是否符合</w:t>
                  </w:r>
                </w:p>
              </w:tc>
            </w:tr>
          </w:tbl>
          <w:p/>
        </w:tc>
      </w:tr>
    </w:tbl>
    <w:p>
      <w:pPr>
        <w:sectPr>
          <w:footerReference w:type="default" r:id="rId9"/>
          <w:pgSz w:w="16838" w:h="11906" w:orient="landscape"/>
          <w:pgMar w:top="1080" w:right="1440" w:bottom="1080" w:left="1440" w:header="851" w:footer="992" w:gutter="0"/>
          <w:pgBorders>
            <w:top w:val="none" w:sz="0" w:space="0" w:color="auto"/>
            <w:left w:val="none" w:sz="0" w:space="0" w:color="auto"/>
            <w:bottom w:val="none" w:sz="0" w:space="0" w:color="auto"/>
            <w:right w:val="none" w:sz="0" w:space="0" w:color="auto"/>
          </w:pgBorders>
          <w:pgNumType w:fmt="numberInDash" w:start="4"/>
          <w:cols w:num="1" w:space="425"/>
          <w:docGrid w:type="lines" w:linePitch="312" w:charSpace="0"/>
        </w:sectPr>
      </w:pPr>
    </w:p>
    <w:tbl>
      <w:tblPr>
        <w:tblStyle w:val="TableGrid1"/>
        <w:tblW w:w="14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
        <w:gridCol w:w="13704"/>
      </w:tblGrid>
      <w:tr>
        <w:tblPrEx>
          <w:tblW w:w="14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370"/>
          <w:jc w:val="center"/>
        </w:trPr>
        <w:tc>
          <w:tcPr>
            <w:tcW w:w="935" w:type="dxa"/>
          </w:tcPr>
          <w:p/>
        </w:tc>
        <w:tc>
          <w:tcPr>
            <w:tcW w:w="13704" w:type="dxa"/>
          </w:tcPr>
          <w:tbl>
            <w:tblPr>
              <w:tblStyle w:val="TableGrid1"/>
              <w:tblW w:w="134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38"/>
              <w:gridCol w:w="887"/>
              <w:gridCol w:w="652"/>
              <w:gridCol w:w="936"/>
              <w:gridCol w:w="6484"/>
              <w:gridCol w:w="3041"/>
              <w:gridCol w:w="798"/>
            </w:tblGrid>
            <w:tr>
              <w:tblPrEx>
                <w:tblW w:w="134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35"/>
              </w:trPr>
              <w:tc>
                <w:tcPr>
                  <w:tcW w:w="638" w:type="dxa"/>
                  <w:vMerge w:val="restart"/>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重点管控区</w:t>
                  </w:r>
                </w:p>
              </w:tc>
              <w:tc>
                <w:tcPr>
                  <w:tcW w:w="887"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u w:val="none"/>
                      <w:lang w:val="en-US" w:eastAsia="zh-CN"/>
                      <w14:textFill>
                        <w14:solidFill>
                          <w14:schemeClr w14:val="tx1"/>
                        </w14:solidFill>
                      </w14:textFill>
                    </w:rPr>
                    <w:t>高污染禁燃区</w:t>
                  </w:r>
                </w:p>
              </w:tc>
              <w:tc>
                <w:tcPr>
                  <w:tcW w:w="652"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高污染燃料管</w:t>
                  </w:r>
                </w:p>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控</w:t>
                  </w:r>
                </w:p>
              </w:tc>
              <w:tc>
                <w:tcPr>
                  <w:tcW w:w="936"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c>
                <w:tcPr>
                  <w:tcW w:w="6484"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城市高污染燃料禁燃区内，执行《高污染燃料目录》中的 III 类（严格）要求，禁止燃用高污染燃料；禁止新建、扩建燃用高污染燃料的设施，已建成的应当在 2020 年前改用清洁能源。</w:t>
                  </w:r>
                </w:p>
              </w:tc>
              <w:tc>
                <w:tcPr>
                  <w:tcW w:w="3041"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本项目能源选用电源，不涉及使用高污染燃料。</w:t>
                  </w:r>
                </w:p>
              </w:tc>
              <w:tc>
                <w:tcPr>
                  <w:tcW w:w="798"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符合</w:t>
                  </w:r>
                </w:p>
              </w:tc>
            </w:tr>
            <w:tr>
              <w:tblPrEx>
                <w:tblW w:w="13436" w:type="dxa"/>
                <w:tblInd w:w="0" w:type="dxa"/>
                <w:tblLayout w:type="fixed"/>
                <w:tblCellMar>
                  <w:top w:w="0" w:type="dxa"/>
                  <w:left w:w="108" w:type="dxa"/>
                  <w:bottom w:w="0" w:type="dxa"/>
                  <w:right w:w="108" w:type="dxa"/>
                </w:tblCellMar>
              </w:tblPrEx>
              <w:trPr>
                <w:trHeight w:val="398"/>
              </w:trPr>
              <w:tc>
                <w:tcPr>
                  <w:tcW w:w="638" w:type="dxa"/>
                  <w:vMerge/>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p>
              </w:tc>
              <w:tc>
                <w:tcPr>
                  <w:tcW w:w="887" w:type="dxa"/>
                  <w:vMerge w:val="restart"/>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u w:val="none"/>
                      <w:lang w:val="en-US" w:eastAsia="zh-CN"/>
                      <w14:textFill>
                        <w14:solidFill>
                          <w14:schemeClr w14:val="tx1"/>
                        </w14:solidFill>
                      </w14:textFill>
                    </w:rPr>
                    <w:t>大气环境手提敏感重点管控区</w:t>
                  </w:r>
                </w:p>
              </w:tc>
              <w:tc>
                <w:tcPr>
                  <w:tcW w:w="652" w:type="dxa"/>
                  <w:vMerge w:val="restart"/>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污染排放管控</w:t>
                  </w:r>
                </w:p>
              </w:tc>
              <w:tc>
                <w:tcPr>
                  <w:tcW w:w="936" w:type="dxa"/>
                  <w:vMerge w:val="restart"/>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c>
                <w:tcPr>
                  <w:tcW w:w="6484"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 区域内各类企业应严格实行大气污染物达标排放。</w:t>
                  </w:r>
                </w:p>
              </w:tc>
              <w:tc>
                <w:tcPr>
                  <w:tcW w:w="3041"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项目废气标准严格执行。</w:t>
                  </w:r>
                </w:p>
              </w:tc>
              <w:tc>
                <w:tcPr>
                  <w:tcW w:w="798"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符合</w:t>
                  </w:r>
                </w:p>
              </w:tc>
            </w:tr>
            <w:tr>
              <w:tblPrEx>
                <w:tblW w:w="13436" w:type="dxa"/>
                <w:tblInd w:w="0" w:type="dxa"/>
                <w:tblLayout w:type="fixed"/>
                <w:tblCellMar>
                  <w:top w:w="0" w:type="dxa"/>
                  <w:left w:w="108" w:type="dxa"/>
                  <w:bottom w:w="0" w:type="dxa"/>
                  <w:right w:w="108" w:type="dxa"/>
                </w:tblCellMar>
              </w:tblPrEx>
              <w:trPr>
                <w:trHeight w:val="398"/>
              </w:trPr>
              <w:tc>
                <w:tcPr>
                  <w:tcW w:w="638"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887"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652"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936" w:type="dxa"/>
                  <w:vMerge/>
                  <w:noWrap w:val="0"/>
                  <w:vAlign w:val="center"/>
                </w:tcPr>
                <w:p>
                  <w:pPr>
                    <w:bidi w:val="0"/>
                    <w:jc w:val="center"/>
                    <w:rPr>
                      <w:rFonts w:ascii="Times New Roman" w:hAnsi="Times New Roman" w:cs="Times New Roman" w:hint="default"/>
                      <w:color w:val="000000" w:themeColor="text1"/>
                      <w14:textFill>
                        <w14:solidFill>
                          <w14:schemeClr w14:val="tx1"/>
                        </w14:solidFill>
                      </w14:textFill>
                    </w:rPr>
                  </w:pPr>
                </w:p>
              </w:tc>
              <w:tc>
                <w:tcPr>
                  <w:tcW w:w="6484"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2.控制机动车尾气污染，加速淘汰“黄标车”和老旧车辆，严禁尾气排放达不到国Ⅴ标准的车辆转入三亚</w:t>
                  </w:r>
                  <w:r>
                    <w:rPr>
                      <w:rFonts w:ascii="Times New Roman" w:hAnsi="Times New Roman" w:cs="Times New Roman" w:hint="eastAsia"/>
                      <w:color w:val="000000" w:themeColor="text1"/>
                      <w:sz w:val="21"/>
                      <w:szCs w:val="21"/>
                      <w:lang w:val="en-US" w:eastAsia="zh-CN"/>
                      <w14:textFill>
                        <w14:solidFill>
                          <w14:schemeClr w14:val="tx1"/>
                        </w14:solidFill>
                      </w14:textFill>
                    </w:rPr>
                    <w:t>。</w:t>
                  </w:r>
                </w:p>
              </w:tc>
              <w:tc>
                <w:tcPr>
                  <w:tcW w:w="3041"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项目所使用的的车辆均达到国V以下，禁止使用尾气排放达不到国V的车辆。</w:t>
                  </w:r>
                </w:p>
              </w:tc>
              <w:tc>
                <w:tcPr>
                  <w:tcW w:w="798"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符合</w:t>
                  </w:r>
                </w:p>
              </w:tc>
            </w:tr>
            <w:tr>
              <w:tblPrEx>
                <w:tblW w:w="13436" w:type="dxa"/>
                <w:tblInd w:w="0" w:type="dxa"/>
                <w:tblLayout w:type="fixed"/>
                <w:tblCellMar>
                  <w:top w:w="0" w:type="dxa"/>
                  <w:left w:w="108" w:type="dxa"/>
                  <w:bottom w:w="0" w:type="dxa"/>
                  <w:right w:w="108" w:type="dxa"/>
                </w:tblCellMar>
              </w:tblPrEx>
              <w:trPr>
                <w:trHeight w:val="1140"/>
              </w:trPr>
              <w:tc>
                <w:tcPr>
                  <w:tcW w:w="638" w:type="dxa"/>
                  <w:vMerge/>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p>
              </w:tc>
              <w:tc>
                <w:tcPr>
                  <w:tcW w:w="887"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u w:val="none"/>
                      <w:lang w:val="en-US" w:eastAsia="zh-CN"/>
                      <w14:textFill>
                        <w14:solidFill>
                          <w14:schemeClr w14:val="tx1"/>
                        </w14:solidFill>
                      </w14:textFill>
                    </w:rPr>
                    <w:t>建设用地污染风险重点管控区</w:t>
                  </w:r>
                </w:p>
              </w:tc>
              <w:tc>
                <w:tcPr>
                  <w:tcW w:w="652"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空间布局约束</w:t>
                  </w:r>
                </w:p>
              </w:tc>
              <w:tc>
                <w:tcPr>
                  <w:tcW w:w="936"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限制开发建设活动的要求</w:t>
                  </w:r>
                </w:p>
              </w:tc>
              <w:tc>
                <w:tcPr>
                  <w:tcW w:w="6484"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严格审批涉重金属新增项目，禁止新建落后产能或产能严重过剩行业的建设项目。</w:t>
                  </w:r>
                </w:p>
              </w:tc>
              <w:tc>
                <w:tcPr>
                  <w:tcW w:w="3041" w:type="dxa"/>
                  <w:noWrap w:val="0"/>
                  <w:vAlign w:val="center"/>
                </w:tcPr>
                <w:p>
                  <w:pPr>
                    <w:bidi w:val="0"/>
                    <w:jc w:val="both"/>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项目不涉及重金属的排放。</w:t>
                  </w:r>
                </w:p>
              </w:tc>
              <w:tc>
                <w:tcPr>
                  <w:tcW w:w="798" w:type="dxa"/>
                  <w:noWrap w:val="0"/>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符合</w:t>
                  </w:r>
                </w:p>
              </w:tc>
            </w:tr>
          </w:tbl>
          <w:p>
            <w:pPr>
              <w:pStyle w:val="NormalWeb"/>
              <w:keepNext w:val="0"/>
              <w:keepLines w:val="0"/>
              <w:widowControl/>
              <w:suppressLineNumbers w:val="0"/>
              <w:spacing w:before="0" w:beforeAutospacing="0" w:after="0" w:afterAutospacing="0"/>
              <w:ind w:right="0"/>
              <w:jc w:val="center"/>
              <w:rPr>
                <w:rFonts w:ascii="黑体" w:eastAsia="黑体" w:hAnsi="宋体" w:cs="黑体"/>
                <w:color w:val="000000" w:themeColor="text1"/>
                <w:sz w:val="30"/>
                <w:szCs w:val="30"/>
                <w:highlight w:val="none"/>
                <w:vertAlign w:val="baseline"/>
                <w14:textFill>
                  <w14:solidFill>
                    <w14:schemeClr w14:val="tx1"/>
                  </w14:solidFill>
                </w14:textFill>
              </w:rPr>
            </w:pP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rFonts w:ascii="黑体" w:eastAsia="黑体" w:hAnsi="宋体" w:cs="黑体"/>
          <w:color w:val="000000" w:themeColor="text1"/>
          <w:sz w:val="30"/>
          <w:szCs w:val="30"/>
          <w:highlight w:val="none"/>
          <w14:textFill>
            <w14:solidFill>
              <w14:schemeClr w14:val="tx1"/>
            </w14:solidFill>
          </w14:textFill>
        </w:rPr>
        <w:sectPr>
          <w:footerReference w:type="default" r:id="rId10"/>
          <w:type w:val="nextPage"/>
          <w:pgSz w:w="16838" w:h="11906" w:orient="landscape"/>
          <w:pgMar w:top="1080" w:right="1440" w:bottom="1080" w:left="1440" w:header="851" w:footer="992" w:gutter="0"/>
          <w:pgBorders>
            <w:top w:val="none" w:sz="0" w:space="0" w:color="auto"/>
            <w:left w:val="none" w:sz="0" w:space="0" w:color="auto"/>
            <w:bottom w:val="none" w:sz="0" w:space="0" w:color="auto"/>
            <w:right w:val="none" w:sz="0" w:space="0" w:color="auto"/>
          </w:pgBorders>
          <w:pgNumType w:fmt="numberInDash" w:start="5"/>
          <w:cols w:num="1" w:space="425"/>
          <w:titlePg w:val="0"/>
          <w:docGrid w:type="lines" w:linePitch="312" w:charSpace="0"/>
        </w:sectPr>
      </w:pP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8"/>
        <w:gridCol w:w="92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3501"/>
        </w:trPr>
        <w:tc>
          <w:tcPr>
            <w:tcW w:w="728" w:type="dxa"/>
          </w:tcPr>
          <w:p>
            <w:pPr>
              <w:pStyle w:val="NormalWeb"/>
              <w:keepNext w:val="0"/>
              <w:keepLines w:val="0"/>
              <w:widowControl/>
              <w:suppressLineNumbers w:val="0"/>
              <w:spacing w:before="0" w:beforeAutospacing="0" w:after="0" w:afterAutospacing="0"/>
              <w:ind w:right="0"/>
              <w:jc w:val="center"/>
              <w:rPr>
                <w:rFonts w:ascii="黑体" w:eastAsia="黑体" w:hAnsi="宋体" w:cs="黑体"/>
                <w:color w:val="000000" w:themeColor="text1"/>
                <w:sz w:val="30"/>
                <w:szCs w:val="30"/>
                <w:highlight w:val="none"/>
                <w:vertAlign w:val="baseline"/>
                <w14:textFill>
                  <w14:solidFill>
                    <w14:schemeClr w14:val="tx1"/>
                  </w14:solidFill>
                </w14:textFill>
              </w:rPr>
            </w:pPr>
          </w:p>
        </w:tc>
        <w:tc>
          <w:tcPr>
            <w:tcW w:w="9234" w:type="dxa"/>
          </w:tcPr>
          <w:p>
            <w:pPr>
              <w:keepNext w:val="0"/>
              <w:keepLines w:val="0"/>
              <w:pageBreakBefore w:val="0"/>
              <w:widowControl w:val="0"/>
              <w:kinsoku/>
              <w:wordWrap/>
              <w:overflowPunct/>
              <w:topLinePunct w:val="0"/>
              <w:autoSpaceDE w:val="0"/>
              <w:autoSpaceDN w:val="0"/>
              <w:bidi w:val="0"/>
              <w:adjustRightInd w:val="0"/>
              <w:snapToGrid/>
              <w:spacing w:line="360" w:lineRule="auto"/>
              <w:ind w:right="1470" w:firstLine="420" w:rightChars="0" w:firstLineChars="200"/>
              <w:jc w:val="left"/>
              <w:textAlignment w:val="baseline"/>
              <w:outlineLvl w:val="9"/>
              <w:rPr>
                <w:rFonts w:ascii="Times New Roman" w:eastAsia="宋体" w:hAnsi="Times New Roman" w:cs="Times New Roman" w:hint="default"/>
                <w:b/>
                <w:color w:val="000000" w:themeColor="text1"/>
                <w:kern w:val="24"/>
                <w:szCs w:val="21"/>
                <w:highlight w:val="none"/>
                <w14:textFill>
                  <w14:solidFill>
                    <w14:schemeClr w14:val="tx1"/>
                  </w14:solidFill>
                </w14:textFill>
              </w:rPr>
            </w:pPr>
            <w:r>
              <w:rPr>
                <w:rFonts w:ascii="Times New Roman" w:eastAsia="宋体" w:hAnsi="Times New Roman" w:cs="Times New Roman" w:hint="default"/>
                <w:b/>
                <w:color w:val="000000" w:themeColor="text1"/>
                <w:kern w:val="24"/>
                <w:sz w:val="21"/>
                <w:szCs w:val="21"/>
                <w:highlight w:val="none"/>
                <w:lang w:val="en-US" w:eastAsia="zh-CN" w:bidi="ar-SA"/>
                <w14:textFill>
                  <w14:solidFill>
                    <w14:schemeClr w14:val="tx1"/>
                  </w14:solidFill>
                </w14:textFill>
              </w:rPr>
              <w:t>3、产业政策符合性</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20" w:leftChars="0" w:rightChars="0" w:firstLineChars="200"/>
              <w:jc w:val="left"/>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项目属于医疗服务设施建设项</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目</w:t>
            </w:r>
            <w:r>
              <w:rPr>
                <w:rFonts w:ascii="Times New Roman" w:eastAsia="宋体" w:hAnsi="Times New Roman" w:cs="Times New Roman" w:hint="default"/>
                <w:color w:val="000000" w:themeColor="text1"/>
                <w:sz w:val="21"/>
                <w:szCs w:val="21"/>
                <w:highlight w:val="none"/>
                <w14:textFill>
                  <w14:solidFill>
                    <w14:schemeClr w14:val="tx1"/>
                  </w14:solidFill>
                </w14:textFill>
              </w:rPr>
              <w:t>。按照国家发改委《产业结构调整指导目录</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2019文本</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，本项目属于鼓励类中第三十</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七卫生健康</w:t>
            </w:r>
            <w:r>
              <w:rPr>
                <w:rFonts w:ascii="Times New Roman" w:eastAsia="宋体" w:hAnsi="Times New Roman" w:cs="Times New Roman" w:hint="default"/>
                <w:color w:val="000000" w:themeColor="text1"/>
                <w:sz w:val="21"/>
                <w:szCs w:val="21"/>
                <w:highlight w:val="none"/>
                <w14:textFill>
                  <w14:solidFill>
                    <w14:schemeClr w14:val="tx1"/>
                  </w14:solidFill>
                </w14:textFill>
              </w:rPr>
              <w:t>中第</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5</w:t>
            </w:r>
            <w:r>
              <w:rPr>
                <w:rFonts w:ascii="Times New Roman" w:eastAsia="宋体" w:hAnsi="Times New Roman" w:cs="Times New Roman" w:hint="default"/>
                <w:color w:val="000000" w:themeColor="text1"/>
                <w:sz w:val="21"/>
                <w:szCs w:val="21"/>
                <w:highlight w:val="none"/>
                <w14:textFill>
                  <w14:solidFill>
                    <w14:schemeClr w14:val="tx1"/>
                  </w14:solidFill>
                </w14:textFill>
              </w:rPr>
              <w:t>条规定的“医疗卫生服务设施建设”项目。因此，本项目建设符合国家现行产业政策。</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根据</w:t>
            </w:r>
            <w:r>
              <w:rPr>
                <w:rFonts w:ascii="Times New Roman" w:eastAsia="宋体" w:hAnsi="Times New Roman" w:cs="Times New Roman" w:hint="default"/>
                <w:color w:val="000000" w:themeColor="text1"/>
                <w:sz w:val="21"/>
                <w:szCs w:val="21"/>
                <w:highlight w:val="none"/>
                <w14:textFill>
                  <w14:solidFill>
                    <w14:schemeClr w14:val="tx1"/>
                  </w14:solidFill>
                </w14:textFill>
              </w:rPr>
              <w:t>《海南省产业准入禁止限制目录（2019年版）》</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琼发改产业〔2019〕1043号</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），项目不属于禁止类、限制类产业，项目建设符合产业政策。</w:t>
            </w:r>
          </w:p>
          <w:p>
            <w:pPr>
              <w:shd w:val="clear" w:color="auto" w:fill="auto"/>
              <w:spacing w:line="360" w:lineRule="auto"/>
              <w:ind w:firstLine="420" w:firstLineChars="200"/>
              <w:jc w:val="left"/>
              <w:rPr>
                <w:rFonts w:ascii="Times New Roman"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eastAsia"/>
                <w:b/>
                <w:bCs w:val="0"/>
                <w:color w:val="000000" w:themeColor="text1"/>
                <w:sz w:val="21"/>
                <w:szCs w:val="21"/>
                <w:highlight w:val="none"/>
                <w:lang w:val="en-US" w:eastAsia="zh-CN"/>
                <w14:textFill>
                  <w14:solidFill>
                    <w14:schemeClr w14:val="tx1"/>
                  </w14:solidFill>
                </w14:textFill>
              </w:rPr>
              <w:t>4</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、项目与</w:t>
            </w:r>
            <w:r>
              <w:rPr>
                <w:rFonts w:ascii="Times New Roman" w:eastAsia="宋体" w:hAnsi="Times New Roman" w:cs="Times New Roman" w:hint="eastAsia"/>
                <w:b/>
                <w:bCs w:val="0"/>
                <w:color w:val="000000" w:themeColor="text1"/>
                <w:sz w:val="21"/>
                <w:szCs w:val="21"/>
                <w:highlight w:val="none"/>
                <w:lang w:val="en-US" w:eastAsia="zh-CN"/>
                <w14:textFill>
                  <w14:solidFill>
                    <w14:schemeClr w14:val="tx1"/>
                  </w14:solidFill>
                </w14:textFill>
              </w:rPr>
              <w:t>《关于做好基层医疗卫生机构建设项目环境影响评价工作的通知》（</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琼环评字〔2018〕34号</w:t>
            </w:r>
            <w:r>
              <w:rPr>
                <w:rFonts w:ascii="Times New Roman" w:eastAsia="宋体" w:hAnsi="Times New Roman" w:cs="Times New Roman" w:hint="eastAsia"/>
                <w:b/>
                <w:bCs w:val="0"/>
                <w:color w:val="000000" w:themeColor="text1"/>
                <w:sz w:val="21"/>
                <w:szCs w:val="21"/>
                <w:highlight w:val="none"/>
                <w:lang w:val="en-US" w:eastAsia="zh-CN"/>
                <w14:textFill>
                  <w14:solidFill>
                    <w14:schemeClr w14:val="tx1"/>
                  </w14:solidFill>
                </w14:textFill>
              </w:rPr>
              <w:t>）</w:t>
            </w:r>
            <w:r>
              <w:rPr>
                <w:rFonts w:ascii="Times New Roman" w:hAnsi="Times New Roman" w:cs="Times New Roman" w:hint="default"/>
                <w:b/>
                <w:bCs w:val="0"/>
                <w:color w:val="000000" w:themeColor="text1"/>
                <w:sz w:val="21"/>
                <w:szCs w:val="21"/>
                <w:highlight w:val="none"/>
                <w:lang w:val="en-US" w:eastAsia="zh-CN"/>
                <w14:textFill>
                  <w14:solidFill>
                    <w14:schemeClr w14:val="tx1"/>
                  </w14:solidFill>
                </w14:textFill>
              </w:rPr>
              <w:t>相符性分析</w:t>
            </w:r>
          </w:p>
          <w:p>
            <w:pPr>
              <w:keepNext/>
              <w:pageBreakBefore w:val="0"/>
              <w:widowControl w:val="0"/>
              <w:shd w:val="clear" w:color="auto" w:fill="auto"/>
              <w:kinsoku/>
              <w:wordWrap/>
              <w:overflowPunct/>
              <w:topLinePunct w:val="0"/>
              <w:autoSpaceDE/>
              <w:autoSpaceDN/>
              <w:bidi w:val="0"/>
              <w:adjustRightInd/>
              <w:snapToGrid/>
              <w:spacing w:line="360" w:lineRule="auto"/>
              <w:ind w:left="105" w:right="105" w:firstLine="420" w:leftChars="50" w:rightChars="50" w:firstLineChars="200"/>
              <w:jc w:val="left"/>
              <w:textAlignment w:val="auto"/>
              <w:outlineLvl w:val="2"/>
              <w:rPr>
                <w:rFonts w:ascii="Times New Roman" w:hAnsi="Times New Roman" w:cs="Times New Roman" w:hint="default"/>
                <w:b w:val="0"/>
                <w:bCs w:val="0"/>
                <w:color w:val="000000" w:themeColor="text1"/>
                <w:kern w:val="0"/>
                <w:szCs w:val="21"/>
                <w:highlight w:val="none"/>
                <w14:textFill>
                  <w14:solidFill>
                    <w14:schemeClr w14:val="tx1"/>
                  </w14:solidFill>
                </w14:textFill>
              </w:rPr>
            </w:pPr>
            <w:r>
              <w:rPr>
                <w:rFonts w:ascii="Times New Roman" w:hAnsi="Times New Roman" w:eastAsiaTheme="minorEastAsia" w:cs="Times New Roman" w:hint="default"/>
                <w:b w:val="0"/>
                <w:bCs w:val="0"/>
                <w:color w:val="000000" w:themeColor="text1"/>
                <w:kern w:val="0"/>
                <w:sz w:val="21"/>
                <w:szCs w:val="21"/>
                <w:highlight w:val="none"/>
                <w:lang w:val="en-US" w:eastAsia="zh-CN" w:bidi="ar-SA"/>
                <w14:textFill>
                  <w14:solidFill>
                    <w14:schemeClr w14:val="tx1"/>
                  </w14:solidFill>
                </w14:textFill>
              </w:rPr>
              <w:t>为贯彻落实《海南省基层医疗卫生机构标准化建设行动计划》，加强我省基层卫生医疗机构</w:t>
            </w:r>
            <w:r>
              <w:rPr>
                <w:rFonts w:ascii="Times New Roman" w:hAnsi="Times New Roman" w:cs="Times New Roman" w:hint="eastAsia"/>
                <w:b w:val="0"/>
                <w:bCs w:val="0"/>
                <w:color w:val="000000" w:themeColor="text1"/>
                <w:kern w:val="0"/>
                <w:sz w:val="21"/>
                <w:szCs w:val="21"/>
                <w:highlight w:val="none"/>
                <w:lang w:val="en-US" w:eastAsia="zh-CN" w:bidi="ar-SA"/>
                <w14:textFill>
                  <w14:solidFill>
                    <w14:schemeClr w14:val="tx1"/>
                  </w14:solidFill>
                </w14:textFill>
              </w:rPr>
              <w:t>（</w:t>
            </w:r>
            <w:r>
              <w:rPr>
                <w:rFonts w:ascii="Times New Roman" w:hAnsi="Times New Roman" w:eastAsiaTheme="minorEastAsia" w:cs="Times New Roman" w:hint="default"/>
                <w:b w:val="0"/>
                <w:bCs w:val="0"/>
                <w:color w:val="000000" w:themeColor="text1"/>
                <w:kern w:val="0"/>
                <w:sz w:val="21"/>
                <w:szCs w:val="21"/>
                <w:highlight w:val="none"/>
                <w:lang w:val="en-US" w:eastAsia="zh-CN" w:bidi="ar-SA"/>
                <w14:textFill>
                  <w14:solidFill>
                    <w14:schemeClr w14:val="tx1"/>
                  </w14:solidFill>
                </w14:textFill>
              </w:rPr>
              <w:t>乡镇卫生院、社区卫生服务机构和村卫生室</w:t>
            </w:r>
            <w:r>
              <w:rPr>
                <w:rFonts w:ascii="Times New Roman" w:hAnsi="Times New Roman" w:cs="Times New Roman" w:hint="eastAsia"/>
                <w:b w:val="0"/>
                <w:bCs w:val="0"/>
                <w:color w:val="000000" w:themeColor="text1"/>
                <w:kern w:val="0"/>
                <w:sz w:val="21"/>
                <w:szCs w:val="21"/>
                <w:highlight w:val="none"/>
                <w:lang w:val="en-US" w:eastAsia="zh-CN" w:bidi="ar-SA"/>
                <w14:textFill>
                  <w14:solidFill>
                    <w14:schemeClr w14:val="tx1"/>
                  </w14:solidFill>
                </w14:textFill>
              </w:rPr>
              <w:t>）</w:t>
            </w:r>
            <w:r>
              <w:rPr>
                <w:rFonts w:ascii="Times New Roman" w:hAnsi="Times New Roman" w:eastAsiaTheme="minorEastAsia" w:cs="Times New Roman" w:hint="default"/>
                <w:b w:val="0"/>
                <w:bCs w:val="0"/>
                <w:color w:val="000000" w:themeColor="text1"/>
                <w:kern w:val="0"/>
                <w:sz w:val="21"/>
                <w:szCs w:val="21"/>
                <w:highlight w:val="none"/>
                <w:lang w:val="en-US" w:eastAsia="zh-CN" w:bidi="ar-SA"/>
                <w14:textFill>
                  <w14:solidFill>
                    <w14:schemeClr w14:val="tx1"/>
                  </w14:solidFill>
                </w14:textFill>
              </w:rPr>
              <w:t xml:space="preserve">建设项目环境管理，做好基层卫生医疗机构建设项目环评服务，现就基层卫生医疗机构建设项目环境影响评价管理有关事项通知如下： </w:t>
            </w:r>
          </w:p>
          <w:p>
            <w:pPr>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b w:val="0"/>
                <w:bCs/>
                <w:color w:val="000000" w:themeColor="text1"/>
                <w:szCs w:val="21"/>
                <w:highlight w:val="none"/>
                <w:vertAlign w:val="baseline"/>
                <w14:textFill>
                  <w14:solidFill>
                    <w14:schemeClr w14:val="tx1"/>
                  </w14:solidFill>
                </w14:textFill>
              </w:rPr>
            </w:pP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本项目建设内容：</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项目</w:t>
            </w: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设置</w:t>
            </w:r>
            <w:r>
              <w:rPr>
                <w:rFonts w:ascii="Times New Roman" w:eastAsia="宋体" w:hAnsi="Times New Roman" w:cs="Times New Roman" w:hint="eastAsia"/>
                <w:b w:val="0"/>
                <w:bCs w:val="0"/>
                <w:color w:val="000000" w:themeColor="text1"/>
                <w:sz w:val="21"/>
                <w:szCs w:val="21"/>
                <w:highlight w:val="none"/>
                <w:lang w:val="en-US" w:eastAsia="zh-CN"/>
                <w14:textFill>
                  <w14:solidFill>
                    <w14:schemeClr w14:val="tx1"/>
                  </w14:solidFill>
                </w14:textFill>
              </w:rPr>
              <w:t>20张床位</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，门诊量为30人/天</w:t>
            </w: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项目</w:t>
            </w: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医院内生活污水经三级化粪池处理后与医疗废水排入项目自建污水处理站进行处理，</w:t>
            </w:r>
            <w:r>
              <w:rPr>
                <w:rFonts w:ascii="Times New Roman" w:hAnsi="Times New Roman" w:cs="Times New Roman" w:hint="default"/>
                <w:color w:val="000000" w:themeColor="text1"/>
                <w:sz w:val="21"/>
                <w:szCs w:val="21"/>
                <w:highlight w:val="none"/>
                <w14:textFill>
                  <w14:solidFill>
                    <w14:schemeClr w14:val="tx1"/>
                  </w14:solidFill>
                </w14:textFill>
              </w:rPr>
              <w:t>经自建的污水处理站处理后</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出水水质可</w:t>
            </w:r>
            <w:r>
              <w:rPr>
                <w:rFonts w:ascii="Times New Roman" w:hAnsi="Times New Roman" w:eastAsiaTheme="minorEastAsia" w:cs="Times New Roman" w:hint="default"/>
                <w:color w:val="000000" w:themeColor="text1"/>
                <w:sz w:val="21"/>
                <w:szCs w:val="21"/>
                <w:highlight w:val="none"/>
                <w:lang w:eastAsia="zh-CN"/>
                <w14:textFill>
                  <w14:solidFill>
                    <w14:schemeClr w14:val="tx1"/>
                  </w14:solidFill>
                </w14:textFill>
              </w:rPr>
              <w:t>满足</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kern w:val="2"/>
                <w:sz w:val="21"/>
                <w:szCs w:val="16"/>
                <w:u w:val="none"/>
                <w:lang w:val="en-US" w:eastAsia="zh-CN" w:bidi="ar-SA"/>
                <w14:textFill>
                  <w14:solidFill>
                    <w14:schemeClr w14:val="tx1"/>
                  </w14:solidFill>
                </w14:textFill>
              </w:rPr>
              <w:t>医疗机构水污染物排放标准》（GB18466-2005）表2中的预处理标准</w:t>
            </w:r>
            <w:r>
              <w:rPr>
                <w:rFonts w:ascii="Times New Roman" w:eastAsia="宋体" w:hAnsi="Times New Roman" w:cs="Times New Roman" w:hint="eastAsia"/>
                <w:color w:val="000000" w:themeColor="text1"/>
                <w:kern w:val="2"/>
                <w:sz w:val="21"/>
                <w:szCs w:val="16"/>
                <w:u w:val="none"/>
                <w:lang w:val="en-US" w:eastAsia="zh-CN" w:bidi="ar-SA"/>
                <w14:textFill>
                  <w14:solidFill>
                    <w14:schemeClr w14:val="tx1"/>
                  </w14:solidFill>
                </w14:textFill>
              </w:rPr>
              <w:t>和</w:t>
            </w:r>
            <w:r>
              <w:rPr>
                <w:rFonts w:ascii="Times New Roman" w:eastAsia="宋体" w:hAnsi="Times New Roman" w:cs="Times New Roman" w:hint="default"/>
                <w:color w:val="000000" w:themeColor="text1"/>
                <w:kern w:val="2"/>
                <w:sz w:val="21"/>
                <w:szCs w:val="16"/>
                <w:u w:val="none"/>
                <w:lang w:val="en-US" w:eastAsia="zh-CN" w:bidi="ar-SA"/>
                <w14:textFill>
                  <w14:solidFill>
                    <w14:schemeClr w14:val="tx1"/>
                  </w14:solidFill>
                </w14:textFill>
              </w:rPr>
              <w:t>《污水排入城镇下水道水质标准》（GB/T 31962-2015）表1</w:t>
            </w:r>
            <w:r>
              <w:rPr>
                <w:rFonts w:ascii="Times New Roman" w:eastAsia="宋体" w:hAnsi="Times New Roman" w:cs="Times New Roman" w:hint="eastAsia"/>
                <w:color w:val="000000" w:themeColor="text1"/>
                <w:kern w:val="2"/>
                <w:sz w:val="21"/>
                <w:szCs w:val="16"/>
                <w:u w:val="none"/>
                <w:lang w:val="en-US" w:eastAsia="zh-CN" w:bidi="ar-SA"/>
                <w14:textFill>
                  <w14:solidFill>
                    <w14:schemeClr w14:val="tx1"/>
                  </w14:solidFill>
                </w14:textFill>
              </w:rPr>
              <w:t>中</w:t>
            </w:r>
            <w:r>
              <w:rPr>
                <w:rFonts w:ascii="Times New Roman" w:eastAsia="宋体" w:hAnsi="Times New Roman" w:cs="Times New Roman" w:hint="default"/>
                <w:color w:val="000000" w:themeColor="text1"/>
                <w:kern w:val="2"/>
                <w:sz w:val="21"/>
                <w:szCs w:val="16"/>
                <w:u w:val="none"/>
                <w:lang w:val="en-US" w:eastAsia="zh-CN" w:bidi="ar-SA"/>
                <w14:textFill>
                  <w14:solidFill>
                    <w14:schemeClr w14:val="tx1"/>
                  </w14:solidFill>
                </w14:textFill>
              </w:rPr>
              <w:t>B级标准</w:t>
            </w:r>
            <w:r>
              <w:rPr>
                <w:rFonts w:ascii="Times New Roman" w:eastAsia="宋体" w:hAnsi="Times New Roman" w:cs="Times New Roman" w:hint="eastAsia"/>
                <w:color w:val="000000" w:themeColor="text1"/>
                <w:kern w:val="2"/>
                <w:sz w:val="21"/>
                <w:szCs w:val="16"/>
                <w:u w:val="none"/>
                <w:lang w:val="en-US" w:eastAsia="zh-CN" w:bidi="ar-SA"/>
                <w14:textFill>
                  <w14:solidFill>
                    <w14:schemeClr w14:val="tx1"/>
                  </w14:solidFill>
                </w14:textFill>
              </w:rPr>
              <w:t>两者较严标准</w:t>
            </w:r>
            <w:r>
              <w:rPr>
                <w:rFonts w:ascii="Times New Roman" w:hAnsi="Times New Roman" w:eastAsiaTheme="minorEastAsia" w:cs="Times New Roman" w:hint="default"/>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生活垃圾经集中收集后定期由环卫部门统一处理；医疗固废按照《医疗废物管理条例》将医疗废弃物集中分类、收集后，放入医疗废物暂存间，由</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有资质单位</w:t>
            </w:r>
            <w:r>
              <w:rPr>
                <w:rFonts w:ascii="Times New Roman" w:eastAsia="宋体" w:hAnsi="Times New Roman" w:cs="Times New Roman" w:hint="default"/>
                <w:color w:val="000000" w:themeColor="text1"/>
                <w:sz w:val="21"/>
                <w:szCs w:val="21"/>
                <w:highlight w:val="none"/>
                <w14:textFill>
                  <w14:solidFill>
                    <w14:schemeClr w14:val="tx1"/>
                  </w14:solidFill>
                </w14:textFill>
              </w:rPr>
              <w:t>定期收集、处置；检验废液由专用收集桶收集后存放于暂存间，交由有资质收运处理；污水处理站污泥</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及</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栅渣</w:t>
            </w:r>
            <w:r>
              <w:rPr>
                <w:rFonts w:ascii="Times New Roman" w:eastAsia="宋体" w:hAnsi="Times New Roman" w:cs="Times New Roman" w:hint="default"/>
                <w:color w:val="000000" w:themeColor="text1"/>
                <w:sz w:val="21"/>
                <w:szCs w:val="21"/>
                <w:highlight w:val="none"/>
                <w14:textFill>
                  <w14:solidFill>
                    <w14:schemeClr w14:val="tx1"/>
                  </w14:solidFill>
                </w14:textFill>
              </w:rPr>
              <w:t>及时与有资质单位签订处理协议</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并定期上门收集处理</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符合固体废物环境管理要求。</w:t>
            </w:r>
          </w:p>
          <w:p>
            <w:pPr>
              <w:pageBreakBefore w:val="0"/>
              <w:widowControl w:val="0"/>
              <w:shd w:val="clear" w:color="auto" w:fill="auto"/>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b w:val="0"/>
                <w:bCs/>
                <w:color w:val="000000" w:themeColor="text1"/>
                <w:szCs w:val="21"/>
                <w:highlight w:val="none"/>
                <w14:textFill>
                  <w14:solidFill>
                    <w14:schemeClr w14:val="tx1"/>
                  </w14:solidFill>
                </w14:textFill>
              </w:rPr>
            </w:pPr>
            <w:r>
              <w:rPr>
                <w:rFonts w:ascii="Times New Roman" w:hAnsi="Times New Roman" w:cs="Times New Roman" w:hint="default"/>
                <w:b w:val="0"/>
                <w:bCs/>
                <w:color w:val="000000" w:themeColor="text1"/>
                <w:sz w:val="21"/>
                <w:szCs w:val="21"/>
                <w:highlight w:val="none"/>
                <w:vertAlign w:val="baseline"/>
                <w:lang w:val="en-US" w:eastAsia="zh-CN"/>
                <w14:textFill>
                  <w14:solidFill>
                    <w14:schemeClr w14:val="tx1"/>
                  </w14:solidFill>
                </w14:textFill>
              </w:rPr>
              <w:t>因此，本项目</w:t>
            </w:r>
            <w:r>
              <w:rPr>
                <w:rFonts w:ascii="Times New Roman" w:eastAsia="宋体" w:hAnsi="Times New Roman" w:cs="Times New Roman" w:hint="default"/>
                <w:b w:val="0"/>
                <w:bCs/>
                <w:color w:val="000000" w:themeColor="text1"/>
                <w:sz w:val="21"/>
                <w:szCs w:val="21"/>
                <w:highlight w:val="none"/>
                <w:lang w:val="en-US" w:eastAsia="zh-CN"/>
                <w14:textFill>
                  <w14:solidFill>
                    <w14:schemeClr w14:val="tx1"/>
                  </w14:solidFill>
                </w14:textFill>
              </w:rPr>
              <w:t>与</w:t>
            </w:r>
            <w:r>
              <w:rPr>
                <w:rFonts w:ascii="Times New Roman" w:eastAsia="宋体" w:hAnsi="Times New Roman" w:cs="Times New Roman" w:hint="eastAsia"/>
                <w:b w:val="0"/>
                <w:bCs/>
                <w:color w:val="000000" w:themeColor="text1"/>
                <w:sz w:val="21"/>
                <w:szCs w:val="21"/>
                <w:highlight w:val="none"/>
                <w:lang w:val="en-US" w:eastAsia="zh-CN"/>
                <w14:textFill>
                  <w14:solidFill>
                    <w14:schemeClr w14:val="tx1"/>
                  </w14:solidFill>
                </w14:textFill>
              </w:rPr>
              <w:t>《关于做好基层医疗卫生机构建设项目环境影响评价工作的通知》（</w:t>
            </w:r>
            <w:r>
              <w:rPr>
                <w:rFonts w:ascii="Times New Roman" w:eastAsia="宋体" w:hAnsi="Times New Roman" w:cs="Times New Roman" w:hint="default"/>
                <w:b w:val="0"/>
                <w:bCs/>
                <w:color w:val="000000" w:themeColor="text1"/>
                <w:sz w:val="21"/>
                <w:szCs w:val="21"/>
                <w:highlight w:val="none"/>
                <w:lang w:val="en-US" w:eastAsia="zh-CN"/>
                <w14:textFill>
                  <w14:solidFill>
                    <w14:schemeClr w14:val="tx1"/>
                  </w14:solidFill>
                </w14:textFill>
              </w:rPr>
              <w:t>琼环评字〔2018〕34号</w:t>
            </w:r>
            <w:r>
              <w:rPr>
                <w:rFonts w:ascii="Times New Roman" w:eastAsia="宋体" w:hAnsi="Times New Roman" w:cs="Times New Roman" w:hint="eastAsia"/>
                <w:b w:val="0"/>
                <w:bCs/>
                <w:color w:val="000000" w:themeColor="text1"/>
                <w:sz w:val="21"/>
                <w:szCs w:val="21"/>
                <w:highlight w:val="none"/>
                <w:lang w:val="en-US" w:eastAsia="zh-CN"/>
                <w14:textFill>
                  <w14:solidFill>
                    <w14:schemeClr w14:val="tx1"/>
                  </w14:solidFill>
                </w14:textFill>
              </w:rPr>
              <w:t>）</w:t>
            </w:r>
            <w:r>
              <w:rPr>
                <w:rFonts w:ascii="Times New Roman" w:hAnsi="Times New Roman" w:cs="Times New Roman" w:hint="default"/>
                <w:b w:val="0"/>
                <w:bCs/>
                <w:color w:val="000000" w:themeColor="text1"/>
                <w:sz w:val="21"/>
                <w:szCs w:val="21"/>
                <w:highlight w:val="none"/>
                <w:lang w:val="en-US" w:eastAsia="zh-CN"/>
                <w14:textFill>
                  <w14:solidFill>
                    <w14:schemeClr w14:val="tx1"/>
                  </w14:solidFill>
                </w14:textFill>
              </w:rPr>
              <w:t>是相符的。</w:t>
            </w:r>
          </w:p>
          <w:p>
            <w:pPr>
              <w:spacing w:after="0" w:line="360" w:lineRule="auto"/>
              <w:ind w:firstLine="420" w:firstLineChars="200"/>
              <w:jc w:val="left"/>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5、项目与《眼科医院的基本标准和管理规范（试行）》（国卫医〔2018〕11号）相符性分析</w:t>
            </w:r>
          </w:p>
          <w:p>
            <w:pPr>
              <w:spacing w:after="0" w:line="360" w:lineRule="auto"/>
              <w:ind w:firstLine="420" w:firstLineChars="200"/>
              <w:jc w:val="left"/>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为加快推进医疗领域“放管服”改革，鼓励社会力量提供多层次多样化的医疗服务，国家卫生健康委员会发布了关于印发</w:t>
            </w:r>
            <w:r>
              <w:rPr>
                <w:rFonts w:ascii="Times New Roman" w:eastAsia="宋体" w:hAnsi="Times New Roman" w:cs="Times New Roman" w:hint="eastAsia"/>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眼科医院的基本标准和管理规范（试行）</w:t>
            </w:r>
            <w:r>
              <w:rPr>
                <w:rFonts w:ascii="Times New Roman" w:eastAsia="宋体" w:hAnsi="Times New Roman" w:cs="Times New Roman" w:hint="eastAsia"/>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（国卫医〔2018〕11号）</w:t>
            </w:r>
            <w:r>
              <w:rPr>
                <w:rFonts w:ascii="Times New Roman" w:eastAsia="宋体" w:hAnsi="Times New Roman" w:cs="Times New Roman" w:hint="default"/>
                <w:color w:val="000000" w:themeColor="text1"/>
                <w:sz w:val="21"/>
                <w:szCs w:val="21"/>
                <w:highlight w:val="none"/>
                <w14:textFill>
                  <w14:solidFill>
                    <w14:schemeClr w14:val="tx1"/>
                  </w14:solidFill>
                </w14:textFill>
              </w:rPr>
              <w:t>的通知。</w:t>
            </w:r>
          </w:p>
          <w:p>
            <w:pPr>
              <w:spacing w:after="0" w:line="360" w:lineRule="auto"/>
              <w:ind w:firstLine="420" w:firstLineChars="200"/>
              <w:jc w:val="left"/>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本项目</w:t>
            </w: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设置</w:t>
            </w:r>
            <w:r>
              <w:rPr>
                <w:rFonts w:ascii="Times New Roman" w:eastAsia="宋体" w:hAnsi="Times New Roman" w:cs="Times New Roman" w:hint="eastAsia"/>
                <w:b w:val="0"/>
                <w:bCs w:val="0"/>
                <w:color w:val="000000" w:themeColor="text1"/>
                <w:sz w:val="21"/>
                <w:szCs w:val="21"/>
                <w:highlight w:val="none"/>
                <w:lang w:val="en-US" w:eastAsia="zh-CN"/>
                <w14:textFill>
                  <w14:solidFill>
                    <w14:schemeClr w14:val="tx1"/>
                  </w14:solidFill>
                </w14:textFill>
              </w:rPr>
              <w:t>20张床位</w:t>
            </w: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，符合规范的床位标准；</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设有</w:t>
            </w:r>
            <w:r>
              <w:rPr>
                <w:rFonts w:ascii="Times New Roman" w:eastAsia="宋体" w:hAnsi="Times New Roman" w:cs="Times New Roman" w:hint="default"/>
                <w:color w:val="000000" w:themeColor="text1"/>
                <w:sz w:val="21"/>
                <w:szCs w:val="21"/>
                <w:highlight w:val="none"/>
                <w:vertAlign w:val="baseline"/>
                <w:lang w:val="en-US" w:eastAsia="zh-CN"/>
                <w14:textFill>
                  <w14:solidFill>
                    <w14:schemeClr w14:val="tx1"/>
                  </w14:solidFill>
                </w14:textFill>
              </w:rPr>
              <w:t>化验室、验光视野室、手术室、麻醉科等科室，符合规范的科室设置要求；</w:t>
            </w:r>
            <w:r>
              <w:rPr>
                <w:rFonts w:ascii="Times New Roman" w:eastAsia="宋体" w:hAnsi="Times New Roman" w:cs="Times New Roman" w:hint="default"/>
                <w:color w:val="000000" w:themeColor="text1"/>
                <w:sz w:val="21"/>
                <w:szCs w:val="21"/>
                <w:highlight w:val="none"/>
                <w14:textFill>
                  <w14:solidFill>
                    <w14:schemeClr w14:val="tx1"/>
                  </w14:solidFill>
                </w14:textFill>
              </w:rPr>
              <w:t>本</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项目</w:t>
            </w:r>
            <w:r>
              <w:rPr>
                <w:rFonts w:ascii="Times New Roman" w:eastAsia="宋体" w:hAnsi="Times New Roman" w:cs="Times New Roman" w:hint="default"/>
                <w:color w:val="000000" w:themeColor="text1"/>
                <w:sz w:val="21"/>
                <w:szCs w:val="21"/>
                <w:highlight w:val="none"/>
                <w14:textFill>
                  <w14:solidFill>
                    <w14:schemeClr w14:val="tx1"/>
                  </w14:solidFill>
                </w14:textFill>
              </w:rPr>
              <w:t>员工</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总数约为</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30</w:t>
            </w:r>
            <w:r>
              <w:rPr>
                <w:rFonts w:ascii="Times New Roman" w:eastAsia="宋体" w:hAnsi="Times New Roman" w:cs="Times New Roman" w:hint="default"/>
                <w:color w:val="000000" w:themeColor="text1"/>
                <w:sz w:val="21"/>
                <w:szCs w:val="21"/>
                <w:highlight w:val="none"/>
                <w14:textFill>
                  <w14:solidFill>
                    <w14:schemeClr w14:val="tx1"/>
                  </w14:solidFill>
                </w14:textFill>
              </w:rPr>
              <w:t>人</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符合规划的人员设置要求；</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项目占地面积为1044m</w:t>
            </w:r>
            <w:r>
              <w:rPr>
                <w:rFonts w:ascii="Times New Roman" w:eastAsia="宋体" w:hAnsi="Times New Roman" w:cs="Times New Roman" w:hint="default"/>
                <w:b w:val="0"/>
                <w:bCs w:val="0"/>
                <w:color w:val="000000" w:themeColor="text1"/>
                <w:sz w:val="21"/>
                <w:szCs w:val="21"/>
                <w:highlight w:val="none"/>
                <w:vertAlign w:val="superscript"/>
                <w:lang w:val="en-US" w:eastAsia="zh-CN"/>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，建筑面积为</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6005m</w:t>
            </w:r>
            <w:r>
              <w:rPr>
                <w:rFonts w:ascii="Times New Roman" w:eastAsia="宋体" w:hAnsi="Times New Roman" w:cs="Times New Roman" w:hint="default"/>
                <w:b w:val="0"/>
                <w:bCs w:val="0"/>
                <w:color w:val="000000" w:themeColor="text1"/>
                <w:sz w:val="21"/>
                <w:szCs w:val="21"/>
                <w:highlight w:val="none"/>
                <w:vertAlign w:val="superscript"/>
                <w:lang w:val="en-US" w:eastAsia="zh-CN"/>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设置床位为20张，符合规划的房屋设置要求；项目设备有眼压计、显微镜、视力表、验光仪等，符合规划的设备设置要求。</w:t>
            </w:r>
          </w:p>
          <w:p>
            <w:pPr>
              <w:pStyle w:val="Default"/>
              <w:spacing w:after="0" w:line="360" w:lineRule="auto"/>
              <w:ind w:firstLine="420" w:firstLineChars="200"/>
              <w:jc w:val="left"/>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项目采用雨污分流制，</w:t>
            </w:r>
          </w:p>
        </w:tc>
      </w:tr>
    </w:tbl>
    <w:p>
      <w:pPr>
        <w:sectPr>
          <w:footerReference w:type="default" r:id="rId11"/>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6"/>
          <w:cols w:num="1" w:space="425"/>
          <w:docGrid w:type="lines" w:linePitch="312" w:charSpace="0"/>
        </w:sectPr>
      </w:pP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28"/>
        <w:gridCol w:w="92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3501"/>
        </w:trPr>
        <w:tc>
          <w:tcPr>
            <w:tcW w:w="728" w:type="dxa"/>
          </w:tcPr>
          <w:p/>
        </w:tc>
        <w:tc>
          <w:tcPr>
            <w:tcW w:w="9234" w:type="dxa"/>
          </w:tcPr>
          <w:p>
            <w:pPr>
              <w:pStyle w:val="Default"/>
              <w:spacing w:before="0" w:line="360" w:lineRule="auto"/>
              <w:ind w:firstLine="420" w:firstLineChars="200"/>
              <w:jc w:val="left"/>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雨水排入商品街十巷市政雨水管网；生活污水及医疗废水经三级化粪池处理后排入项目自建污水处理站处理，</w:t>
            </w: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污水出水水质</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需同时满足</w:t>
            </w: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《医疗机构水污染物排放标准》（GB18466-2005）表2中的预处理标准和《污水排入城镇下水道水质标准》（GB/T 31962-2015）表1中B级标准两者中较严标准</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后排入商品街十巷市政污水管网；污水处理站废气经过活性炭吸附处理后排放</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经专用排气筒引至楼顶排放</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其厂界废气可满足</w:t>
            </w: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《医疗机构水污染物排放标准》（GB18466-2</w:t>
            </w:r>
          </w:p>
          <w:p>
            <w:pPr>
              <w:pStyle w:val="Default"/>
              <w:spacing w:line="360" w:lineRule="auto"/>
              <w:jc w:val="left"/>
              <w:rPr>
                <w:rFonts w:ascii="Times New Roman" w:hAnsi="Times New Roman" w:cs="Times New Roman" w:hint="eastAsia"/>
                <w:color w:themeColor="text1"/>
                <w:kern w:val="2"/>
                <w:sz w:val="2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005）</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表3污水处理站周边大气污染物最高允许排放浓度要求，排气筒排放废气可满足《恶臭污染物排放标准》（GB14554-93）表2恶臭污染物排放标准限值</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；医院在相应的功能区、主要通道设立</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带盖垃圾桶分类收集</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，生活垃圾收集后统一交由环卫部门</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清运，做到日产日清</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，对周边环境影响较小；医疗废物</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分类收集后暂存于医疗废物暂存间，</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委托有资质单位处置，均可得到妥善处置</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w:t>
            </w:r>
          </w:p>
          <w:p>
            <w:pPr>
              <w:pStyle w:val="Default"/>
              <w:spacing w:line="360" w:lineRule="auto"/>
              <w:ind w:firstLine="420" w:firstLineChars="200"/>
              <w:jc w:val="left"/>
              <w:rPr>
                <w:rFonts w:ascii="Times New Roman" w:hAnsi="Times New Roman" w:cs="Times New Roman" w:hint="default"/>
                <w:b w:val="0"/>
                <w:bCs w:val="0"/>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项目</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在采取以上治理措施后</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各项污染物均得到有效控制，</w:t>
            </w:r>
            <w:r>
              <w:rPr>
                <w:rFonts w:ascii="Times New Roman" w:eastAsia="宋体" w:hAnsi="Times New Roman" w:cs="Times New Roman" w:hint="default"/>
                <w:color w:val="000000" w:themeColor="text1"/>
                <w:kern w:val="2"/>
                <w:sz w:val="21"/>
                <w:szCs w:val="21"/>
                <w:highlight w:val="none"/>
                <w:lang w:val="en-US" w:eastAsia="zh-CN" w:bidi="ar-SA"/>
                <w14:textFill>
                  <w14:solidFill>
                    <w14:schemeClr w14:val="tx1"/>
                  </w14:solidFill>
                </w14:textFill>
              </w:rPr>
              <w:t>对周边居民的影响较小。</w:t>
            </w:r>
            <w:r>
              <w:rPr>
                <w:rFonts w:ascii="Times New Roman" w:hAnsi="Times New Roman" w:cs="Times New Roman" w:hint="default"/>
                <w:b w:val="0"/>
                <w:bCs/>
                <w:color w:val="000000" w:themeColor="text1"/>
                <w:sz w:val="21"/>
                <w:szCs w:val="21"/>
                <w:highlight w:val="none"/>
                <w:vertAlign w:val="baseline"/>
                <w:lang w:val="en-US" w:eastAsia="zh-CN"/>
                <w14:textFill>
                  <w14:solidFill>
                    <w14:schemeClr w14:val="tx1"/>
                  </w14:solidFill>
                </w14:textFill>
              </w:rPr>
              <w:t>因此，本项目</w:t>
            </w:r>
            <w:r>
              <w:rPr>
                <w:rFonts w:ascii="Times New Roman" w:eastAsia="宋体" w:hAnsi="Times New Roman" w:cs="Times New Roman" w:hint="default"/>
                <w:b w:val="0"/>
                <w:bCs/>
                <w:color w:val="000000" w:themeColor="text1"/>
                <w:sz w:val="21"/>
                <w:szCs w:val="21"/>
                <w:highlight w:val="none"/>
                <w:lang w:val="en-US" w:eastAsia="zh-CN"/>
                <w14:textFill>
                  <w14:solidFill>
                    <w14:schemeClr w14:val="tx1"/>
                  </w14:solidFill>
                </w14:textFill>
              </w:rPr>
              <w:t>与</w:t>
            </w:r>
            <w:r>
              <w:rPr>
                <w:rFonts w:ascii="Times New Roman" w:eastAsia="宋体" w:hAnsi="Times New Roman" w:cs="Times New Roman" w:hint="eastAsia"/>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眼科医院的基本标准和管理规范（试行）</w:t>
            </w:r>
            <w:r>
              <w:rPr>
                <w:rFonts w:ascii="Times New Roman" w:eastAsia="宋体" w:hAnsi="Times New Roman" w:cs="Times New Roman" w:hint="eastAsia"/>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（国卫医〔2018〕11号）</w:t>
            </w:r>
            <w:r>
              <w:rPr>
                <w:rFonts w:ascii="Times New Roman" w:hAnsi="Times New Roman" w:cs="Times New Roman" w:hint="default"/>
                <w:b w:val="0"/>
                <w:bCs/>
                <w:color w:val="000000" w:themeColor="text1"/>
                <w:sz w:val="21"/>
                <w:szCs w:val="21"/>
                <w:highlight w:val="none"/>
                <w:lang w:val="en-US" w:eastAsia="zh-CN"/>
                <w14:textFill>
                  <w14:solidFill>
                    <w14:schemeClr w14:val="tx1"/>
                  </w14:solidFill>
                </w14:textFill>
              </w:rPr>
              <w:t>是相符的。</w:t>
            </w:r>
          </w:p>
          <w:p>
            <w:pPr>
              <w:pStyle w:val="Default"/>
              <w:rPr>
                <w:rFonts w:ascii="Times New Roman" w:hAnsi="Times New Roman" w:cs="Times New Roman" w:hint="default"/>
                <w:color w:themeColor="text1"/>
                <w:sz w:val="21"/>
                <w:szCs w:val="21"/>
                <w:highlight w:val="none"/>
                <w14:textFill>
                  <w14:solidFill>
                    <w14:schemeClr w14:val="tx1"/>
                  </w14:solidFill>
                </w14:textFill>
              </w:rPr>
            </w:pPr>
          </w:p>
          <w:p>
            <w:pPr>
              <w:pStyle w:val="11"/>
              <w:rPr>
                <w:rFonts w:ascii="Times New Roman" w:hAnsi="Times New Roman" w:cs="Times New Roman" w:hint="default"/>
                <w:color w:val="000000" w:themeColor="text1"/>
                <w14:textFill>
                  <w14:solidFill>
                    <w14:schemeClr w14:val="tx1"/>
                  </w14:solidFill>
                </w14:textFill>
              </w:rPr>
            </w:pPr>
          </w:p>
          <w:p>
            <w:pPr>
              <w:pStyle w:val="BlockText"/>
              <w:rPr>
                <w:rFonts w:ascii="Times New Roman" w:eastAsia="宋体" w:hAnsi="Times New Roman" w:cs="Times New Roman" w:hint="default"/>
                <w:color w:val="000000" w:themeColor="text1"/>
                <w:sz w:val="21"/>
                <w:szCs w:val="21"/>
                <w:highlight w:val="none"/>
                <w14:textFill>
                  <w14:solidFill>
                    <w14:schemeClr w14:val="tx1"/>
                  </w14:solidFill>
                </w14:textFill>
              </w:rPr>
            </w:pPr>
          </w:p>
          <w:p>
            <w:pPr>
              <w:pStyle w:val="BlockText"/>
              <w:rPr>
                <w:rFonts w:ascii="Times New Roman" w:eastAsia="宋体" w:hAnsi="Times New Roman" w:cs="Times New Roman" w:hint="default"/>
                <w:color w:val="000000" w:themeColor="text1"/>
                <w:sz w:val="21"/>
                <w:szCs w:val="21"/>
                <w:highlight w:val="none"/>
                <w14:textFill>
                  <w14:solidFill>
                    <w14:schemeClr w14:val="tx1"/>
                  </w14:solidFill>
                </w14:textFill>
              </w:rPr>
            </w:pPr>
          </w:p>
          <w:p>
            <w:pPr>
              <w:pStyle w:val="BlockText"/>
              <w:rPr>
                <w:rFonts w:ascii="Times New Roman" w:eastAsia="宋体" w:hAnsi="Times New Roman" w:cs="Times New Roman" w:hint="default"/>
                <w:color w:val="000000" w:themeColor="text1"/>
                <w:sz w:val="21"/>
                <w:szCs w:val="21"/>
                <w:highlight w:val="none"/>
                <w14:textFill>
                  <w14:solidFill>
                    <w14:schemeClr w14:val="tx1"/>
                  </w14:solidFill>
                </w14:textFill>
              </w:rPr>
            </w:pPr>
          </w:p>
          <w:p>
            <w:pPr>
              <w:pStyle w:val="BlockText"/>
              <w:rPr>
                <w:rFonts w:ascii="Times New Roman" w:eastAsia="宋体" w:hAnsi="Times New Roman" w:cs="Times New Roman" w:hint="default"/>
                <w:color w:val="000000" w:themeColor="text1"/>
                <w:sz w:val="21"/>
                <w:szCs w:val="21"/>
                <w:highlight w:val="none"/>
                <w14:textFill>
                  <w14:solidFill>
                    <w14:schemeClr w14:val="tx1"/>
                  </w14:solidFill>
                </w14:textFill>
              </w:rPr>
            </w:pPr>
          </w:p>
          <w:p>
            <w:pPr>
              <w:pStyle w:val="BlockText"/>
              <w:rPr>
                <w:rFonts w:ascii="Times New Roman" w:eastAsia="宋体" w:hAnsi="Times New Roman" w:cs="Times New Roman" w:hint="default"/>
                <w:color w:val="000000" w:themeColor="text1"/>
                <w:sz w:val="21"/>
                <w:szCs w:val="21"/>
                <w:highlight w:val="none"/>
                <w14:textFill>
                  <w14:solidFill>
                    <w14:schemeClr w14:val="tx1"/>
                  </w14:solidFill>
                </w14:textFill>
              </w:rPr>
            </w:pPr>
          </w:p>
          <w:p>
            <w:pPr>
              <w:pStyle w:val="Default"/>
              <w:rPr>
                <w:rFonts w:ascii="Times New Roman" w:hAnsi="Times New Roman" w:cs="Times New Roman" w:hint="default"/>
                <w:color w:themeColor="text1"/>
                <w:sz w:val="21"/>
                <w:szCs w:val="21"/>
                <w:highlight w:val="none"/>
                <w14:textFill>
                  <w14:solidFill>
                    <w14:schemeClr w14:val="tx1"/>
                  </w14:solidFill>
                </w14:textFill>
              </w:rPr>
            </w:pPr>
          </w:p>
          <w:p>
            <w:pPr>
              <w:pStyle w:val="11"/>
              <w:rPr>
                <w:rFonts w:ascii="Times New Roman" w:hAnsi="Times New Roman" w:cs="Times New Roman" w:hint="default"/>
                <w:color w:val="000000" w:themeColor="text1"/>
                <w:szCs w:val="21"/>
                <w:highlight w:val="none"/>
                <w14:textFill>
                  <w14:solidFill>
                    <w14:schemeClr w14:val="tx1"/>
                  </w14:solidFill>
                </w14:textFill>
              </w:rPr>
            </w:pPr>
          </w:p>
          <w:p>
            <w:pPr>
              <w:pStyle w:val="BlockText"/>
              <w:rPr>
                <w:rFonts w:ascii="Times New Roman" w:eastAsia="宋体"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spacing w:before="0" w:beforeAutospacing="0" w:after="0" w:afterAutospacing="0"/>
              <w:ind w:right="0"/>
              <w:jc w:val="center"/>
              <w:rPr>
                <w:rFonts w:ascii="黑体" w:eastAsia="黑体" w:hAnsi="宋体" w:cs="黑体"/>
                <w:color w:val="000000" w:themeColor="text1"/>
                <w:sz w:val="30"/>
                <w:szCs w:val="30"/>
                <w:highlight w:val="none"/>
                <w:vertAlign w:val="baseline"/>
                <w14:textFill>
                  <w14:solidFill>
                    <w14:schemeClr w14:val="tx1"/>
                  </w14:solidFill>
                </w14:textFill>
              </w:rPr>
            </w:pP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rFonts w:ascii="黑体" w:eastAsia="黑体" w:hAnsi="宋体" w:cs="黑体"/>
          <w:color w:val="000000" w:themeColor="text1"/>
          <w:sz w:val="30"/>
          <w:szCs w:val="30"/>
          <w:highlight w:val="none"/>
          <w14:textFill>
            <w14:solidFill>
              <w14:schemeClr w14:val="tx1"/>
            </w14:solidFill>
          </w14:textFill>
        </w:rPr>
        <w:sectPr>
          <w:footerReference w:type="default" r:id="rId12"/>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7"/>
          <w:cols w:num="1" w:space="425"/>
          <w:titlePg w:val="0"/>
          <w:docGrid w:type="lines" w:linePitch="312" w:charSpace="0"/>
        </w:sectPr>
      </w:pPr>
    </w:p>
    <w:p>
      <w:pPr>
        <w:pStyle w:val="Heading1"/>
        <w:bidi w:val="0"/>
        <w:rPr>
          <w:color w:val="000000" w:themeColor="text1"/>
          <w:sz w:val="32"/>
          <w:szCs w:val="32"/>
          <w:highlight w:val="none"/>
          <w14:textFill>
            <w14:solidFill>
              <w14:schemeClr w14:val="tx1"/>
            </w14:solidFill>
          </w14:textFill>
        </w:rPr>
      </w:pPr>
      <w:r>
        <w:rPr>
          <w:color w:val="000000" w:themeColor="text1"/>
          <w:sz w:val="32"/>
          <w:szCs w:val="32"/>
          <w:highlight w:val="none"/>
          <w14:textFill>
            <w14:solidFill>
              <w14:schemeClr w14:val="tx1"/>
            </w14:solidFill>
          </w14:textFill>
        </w:rPr>
        <w:t>二、建设项目工程分析</w:t>
      </w: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建设内容</w:t>
            </w: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p>
            <w:pPr>
              <w:keepNext w:val="0"/>
              <w:keepLines w:val="0"/>
              <w:pageBreakBefore w:val="0"/>
              <w:widowControl w:val="0"/>
              <w:kinsoku/>
              <w:wordWrap/>
              <w:overflowPunct/>
              <w:topLinePunct w:val="0"/>
              <w:autoSpaceDE/>
              <w:autoSpaceDN/>
              <w:bidi w:val="0"/>
              <w:adjustRightInd/>
              <w:snapToGrid/>
              <w:spacing w:line="360" w:lineRule="auto"/>
              <w:ind w:right="105" w:firstLine="420" w:rightChars="50" w:firstLineChars="200"/>
              <w:textAlignment w:val="auto"/>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1</w:t>
            </w:r>
            <w:r>
              <w:rPr>
                <w:rFonts w:ascii="Times New Roman" w:hAnsi="Times New Roman" w:cs="Times New Roman" w:hint="default"/>
                <w:b/>
                <w:bCs/>
                <w:color w:val="000000" w:themeColor="text1"/>
                <w:sz w:val="21"/>
                <w:szCs w:val="21"/>
                <w:highlight w:val="none"/>
                <w14:textFill>
                  <w14:solidFill>
                    <w14:schemeClr w14:val="tx1"/>
                  </w14:solidFill>
                </w14:textFill>
              </w:rPr>
              <w:t>、</w:t>
            </w:r>
            <w:r>
              <w:rPr>
                <w:rFonts w:ascii="Times New Roman" w:hAnsi="Times New Roman" w:cs="Times New Roman" w:hint="default"/>
                <w:b/>
                <w:bCs/>
                <w:color w:val="000000" w:themeColor="text1"/>
                <w:sz w:val="21"/>
                <w:szCs w:val="21"/>
                <w:highlight w:val="none"/>
                <w:lang w:eastAsia="zh-CN"/>
                <w14:textFill>
                  <w14:solidFill>
                    <w14:schemeClr w14:val="tx1"/>
                  </w14:solidFill>
                </w14:textFill>
              </w:rPr>
              <w:t>建设内容</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及规模</w:t>
            </w:r>
          </w:p>
          <w:p>
            <w:pPr>
              <w:keepNext w:val="0"/>
              <w:keepLines w:val="0"/>
              <w:pageBreakBefore w:val="0"/>
              <w:widowControl w:val="0"/>
              <w:kinsoku/>
              <w:wordWrap/>
              <w:overflowPunct/>
              <w:topLinePunct w:val="0"/>
              <w:bidi w:val="0"/>
              <w:snapToGrid/>
              <w:spacing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本项目为医院建设项目，建设地点位于海南省三亚市吉阳区商品街十巷A01号</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项目租用海南省三亚市吉阳区商品街十巷A01号现有建筑物用作医院大楼建设，项目占地面积为1044m</w:t>
            </w:r>
            <w:r>
              <w:rPr>
                <w:rFonts w:ascii="Times New Roman" w:hAnsi="Times New Roman" w:cs="Times New Roman" w:hint="default"/>
                <w:color w:val="000000" w:themeColor="text1"/>
                <w:sz w:val="21"/>
                <w:szCs w:val="21"/>
                <w:highlight w:val="none"/>
                <w:vertAlign w:val="superscript"/>
                <w:lang w:val="en-US" w:eastAsia="zh-CN"/>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，建筑面积为6005m</w:t>
            </w:r>
            <w:r>
              <w:rPr>
                <w:rFonts w:ascii="Times New Roman" w:hAnsi="Times New Roman" w:cs="Times New Roman" w:hint="default"/>
                <w:color w:val="000000" w:themeColor="text1"/>
                <w:sz w:val="21"/>
                <w:szCs w:val="21"/>
                <w:highlight w:val="none"/>
                <w:vertAlign w:val="superscript"/>
                <w:lang w:val="en-US" w:eastAsia="zh-CN"/>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。项目设置床位为20张，门诊量为30人/天。本项目总投资为230万元，其中环保投资为25万元，占总投资的10.87%。</w:t>
            </w:r>
          </w:p>
          <w:p>
            <w:pPr>
              <w:adjustRightInd w:val="0"/>
              <w:snapToGrid w:val="0"/>
              <w:spacing w:line="360" w:lineRule="auto"/>
              <w:ind w:firstLine="420" w:firstLineChars="200"/>
              <w:rPr>
                <w:rFonts w:ascii="Times New Roman" w:eastAsia="宋体" w:hAnsi="Times New Roman" w:cs="Times New Roman" w:hint="default"/>
                <w:b/>
                <w:bCs w:val="0"/>
                <w:color w:val="000000" w:themeColor="text1"/>
                <w:szCs w:val="21"/>
                <w14:textFill>
                  <w14:solidFill>
                    <w14:schemeClr w14:val="tx1"/>
                  </w14:solidFill>
                </w14:textFill>
              </w:rPr>
            </w:pPr>
            <w:r>
              <w:rPr>
                <w:rFonts w:ascii="Times New Roman" w:hAnsi="Times New Roman" w:cs="Times New Roman" w:hint="default"/>
                <w:b/>
                <w:bCs w:val="0"/>
                <w:color w:val="000000" w:themeColor="text1"/>
                <w:sz w:val="21"/>
                <w:szCs w:val="21"/>
                <w:lang w:val="en-US" w:eastAsia="zh-CN"/>
                <w14:textFill>
                  <w14:solidFill>
                    <w14:schemeClr w14:val="tx1"/>
                  </w14:solidFill>
                </w14:textFill>
              </w:rPr>
              <w:t>项目涉及辐射部分需单独做环评，本次项目不予评价。</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项目组成见下表。</w:t>
            </w:r>
          </w:p>
          <w:p>
            <w:pPr>
              <w:keepNext w:val="0"/>
              <w:keepLines w:val="0"/>
              <w:pageBreakBefore w:val="0"/>
              <w:widowControl w:val="0"/>
              <w:kinsoku/>
              <w:wordWrap/>
              <w:overflowPunct/>
              <w:topLinePunct w:val="0"/>
              <w:autoSpaceDE/>
              <w:autoSpaceDN/>
              <w:bidi w:val="0"/>
              <w:adjustRightInd/>
              <w:snapToGrid/>
              <w:spacing w:line="240" w:lineRule="auto"/>
              <w:ind w:left="0" w:right="0" w:firstLine="0" w:leftChars="0" w:rightChars="0" w:firstLineChars="0"/>
              <w:jc w:val="center"/>
              <w:textAlignment w:val="auto"/>
              <w:outlineLvl w:val="9"/>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表2-</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1</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 xml:space="preserve"> 项目工程建设功能一览表</w:t>
            </w:r>
          </w:p>
          <w:tbl>
            <w:tblPr>
              <w:tblStyle w:val="TableGrid4"/>
              <w:tblW w:w="9317"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720"/>
              <w:gridCol w:w="931"/>
              <w:gridCol w:w="276"/>
              <w:gridCol w:w="1187"/>
              <w:gridCol w:w="1012"/>
              <w:gridCol w:w="5191"/>
            </w:tblGrid>
            <w:tr>
              <w:tblPrEx>
                <w:tblW w:w="9317"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Ex>
              <w:trPr>
                <w:trHeight w:val="90"/>
                <w:tblHeader/>
                <w:jc w:val="center"/>
              </w:trPr>
              <w:tc>
                <w:tcPr>
                  <w:tcW w:w="720" w:type="dxa"/>
                  <w:tcBorders>
                    <w:tl2br w:val="nil"/>
                    <w:tr2bl w:val="nil"/>
                  </w:tcBorders>
                  <w:noWrap w:val="0"/>
                  <w:vAlign w:val="center"/>
                </w:tcPr>
                <w:p>
                  <w:pPr>
                    <w:spacing w:after="0"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工程名称</w:t>
                  </w:r>
                </w:p>
              </w:tc>
              <w:tc>
                <w:tcPr>
                  <w:tcW w:w="1207" w:type="dxa"/>
                  <w:gridSpan w:val="2"/>
                  <w:tcBorders>
                    <w:tl2br w:val="nil"/>
                    <w:tr2bl w:val="nil"/>
                  </w:tcBorders>
                  <w:noWrap w:val="0"/>
                  <w:vAlign w:val="center"/>
                </w:tcPr>
                <w:p>
                  <w:pPr>
                    <w:spacing w:after="0"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建筑物、设施名称</w:t>
                  </w:r>
                </w:p>
              </w:tc>
              <w:tc>
                <w:tcPr>
                  <w:tcW w:w="1187" w:type="dxa"/>
                  <w:tcBorders>
                    <w:tl2br w:val="nil"/>
                    <w:tr2bl w:val="nil"/>
                  </w:tcBorders>
                  <w:noWrap w:val="0"/>
                  <w:vAlign w:val="center"/>
                </w:tcPr>
                <w:p>
                  <w:pPr>
                    <w:spacing w:after="0"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规模</w:t>
                  </w:r>
                </w:p>
              </w:tc>
              <w:tc>
                <w:tcPr>
                  <w:tcW w:w="1012" w:type="dxa"/>
                  <w:tcBorders>
                    <w:tl2br w:val="nil"/>
                    <w:tr2bl w:val="nil"/>
                  </w:tcBorders>
                  <w:noWrap w:val="0"/>
                  <w:vAlign w:val="center"/>
                </w:tcPr>
                <w:p>
                  <w:pPr>
                    <w:spacing w:after="0"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内容</w:t>
                  </w:r>
                </w:p>
              </w:tc>
              <w:tc>
                <w:tcPr>
                  <w:tcW w:w="5191" w:type="dxa"/>
                  <w:tcBorders>
                    <w:tl2br w:val="nil"/>
                    <w:tr2bl w:val="nil"/>
                  </w:tcBorders>
                  <w:noWrap w:val="0"/>
                  <w:vAlign w:val="center"/>
                </w:tcPr>
                <w:p>
                  <w:pPr>
                    <w:spacing w:after="0" w:line="240" w:lineRule="auto"/>
                    <w:jc w:val="center"/>
                    <w:rPr>
                      <w:rFonts w:ascii="Times New Roman" w:hAnsi="Times New Roman" w:cs="Times New Roman" w:hint="eastAsia"/>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内容</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val="restart"/>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主体</w: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工程</w:t>
                  </w:r>
                </w:p>
              </w:tc>
              <w:tc>
                <w:tcPr>
                  <w:tcW w:w="1207" w:type="dxa"/>
                  <w:gridSpan w:val="2"/>
                  <w:vMerge w:val="restart"/>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三亚新琼南眼科医院</w:t>
                  </w:r>
                </w:p>
              </w:tc>
              <w:tc>
                <w:tcPr>
                  <w:tcW w:w="1187" w:type="dxa"/>
                  <w:vMerge w:val="restart"/>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-1F/3F，占地面积1044m</w:t>
                  </w:r>
                  <w:r>
                    <w:rPr>
                      <w:rFonts w:ascii="Times New Roman" w:hAnsi="Times New Roman" w:cs="Times New Roman" w:hint="eastAsia"/>
                      <w:color w:val="000000" w:themeColor="text1"/>
                      <w:sz w:val="21"/>
                      <w:szCs w:val="21"/>
                      <w:highlight w:val="none"/>
                      <w:vertAlign w:val="superscript"/>
                      <w:lang w:val="en-US" w:eastAsia="zh-CN"/>
                      <w14:textFill>
                        <w14:solidFill>
                          <w14:schemeClr w14:val="tx1"/>
                        </w14:solidFill>
                      </w14:textFill>
                    </w:rPr>
                    <w:t>2</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，建筑面积6005m</w:t>
                  </w:r>
                  <w:r>
                    <w:rPr>
                      <w:rFonts w:ascii="Times New Roman" w:hAnsi="Times New Roman" w:cs="Times New Roman" w:hint="eastAsia"/>
                      <w:color w:val="000000" w:themeColor="text1"/>
                      <w:sz w:val="21"/>
                      <w:szCs w:val="21"/>
                      <w:highlight w:val="none"/>
                      <w:vertAlign w:val="superscript"/>
                      <w:lang w:val="en-US" w:eastAsia="zh-CN"/>
                      <w14:textFill>
                        <w14:solidFill>
                          <w14:schemeClr w14:val="tx1"/>
                        </w14:solidFill>
                      </w14:textFill>
                    </w:rPr>
                    <w:t>2</w:t>
                  </w:r>
                  <w:r>
                    <w:rPr>
                      <w:rFonts w:ascii="Times New Roman" w:hAnsi="Times New Roman" w:cs="Times New Roman" w:hint="eastAsia"/>
                      <w:color w:val="000000" w:themeColor="text1"/>
                      <w:sz w:val="21"/>
                      <w:szCs w:val="21"/>
                      <w:highlight w:val="none"/>
                      <w:vertAlign w:val="baseline"/>
                      <w:lang w:val="en-US" w:eastAsia="zh-CN"/>
                      <w14:textFill>
                        <w14:solidFill>
                          <w14:schemeClr w14:val="tx1"/>
                        </w14:solidFill>
                      </w14:textFill>
                    </w:rPr>
                    <w:t>。</w:t>
                  </w:r>
                </w:p>
              </w:tc>
              <w:tc>
                <w:tcPr>
                  <w:tcW w:w="1012"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一层</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大堂、药房、诊室、污水处理间等</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207" w:type="dxa"/>
                  <w:gridSpan w:val="2"/>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187"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012"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二层</w:t>
                  </w:r>
                </w:p>
              </w:tc>
              <w:tc>
                <w:tcPr>
                  <w:tcW w:w="5191" w:type="dxa"/>
                  <w:tcBorders>
                    <w:tl2br w:val="nil"/>
                    <w:tr2bl w:val="nil"/>
                  </w:tcBorders>
                  <w:noWrap w:val="0"/>
                  <w:vAlign w:val="center"/>
                </w:tcPr>
                <w:p>
                  <w:pPr>
                    <w:spacing w:after="0" w:line="240" w:lineRule="auto"/>
                    <w:jc w:val="center"/>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功能检查区、视光中心、化验室、雾化室、医疗设备仓库、手术室等</w:t>
                  </w:r>
                  <w:r>
                    <w:rPr>
                      <w:rFonts w:ascii="Times New Roman" w:hAnsi="Times New Roman" w:cs="Times New Roman" w:hint="eastAsia"/>
                      <w:color w:val="000000" w:themeColor="text1"/>
                      <w:sz w:val="21"/>
                      <w:szCs w:val="21"/>
                      <w:highlight w:val="none"/>
                      <w:lang w:eastAsia="zh-CN"/>
                      <w14:textFill>
                        <w14:solidFill>
                          <w14:schemeClr w14:val="tx1"/>
                        </w14:solidFill>
                      </w14:textFill>
                    </w:rPr>
                    <w:t>。</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207" w:type="dxa"/>
                  <w:gridSpan w:val="2"/>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187"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012"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三层</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三层为病房、值班室、办公室、留观房、换药室、库房、治疗室等</w:t>
                  </w:r>
                  <w:r>
                    <w:rPr>
                      <w:rFonts w:ascii="Times New Roman" w:hAnsi="Times New Roman" w:cs="Times New Roman" w:hint="eastAsia"/>
                      <w:color w:val="000000" w:themeColor="text1"/>
                      <w:sz w:val="21"/>
                      <w:szCs w:val="21"/>
                      <w:highlight w:val="none"/>
                      <w:lang w:eastAsia="zh-CN"/>
                      <w14:textFill>
                        <w14:solidFill>
                          <w14:schemeClr w14:val="tx1"/>
                        </w14:solidFill>
                      </w14:textFill>
                    </w:rPr>
                    <w:t>。</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207" w:type="dxa"/>
                  <w:gridSpan w:val="2"/>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187"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012"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地下室一层</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备用柴油发电机房</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val="restart"/>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公用工程</w:t>
                  </w:r>
                </w:p>
              </w:tc>
              <w:tc>
                <w:tcPr>
                  <w:tcW w:w="3406" w:type="dxa"/>
                  <w:gridSpan w:val="4"/>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供电</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市政供电</w:t>
                  </w:r>
                  <w:r>
                    <w:rPr>
                      <w:rFonts w:ascii="Times New Roman" w:hAnsi="Times New Roman" w:cs="Times New Roman" w:hint="default"/>
                      <w:color w:val="000000" w:themeColor="text1"/>
                      <w:sz w:val="21"/>
                      <w:szCs w:val="21"/>
                      <w:highlight w:val="none"/>
                      <w14:textFill>
                        <w14:solidFill>
                          <w14:schemeClr w14:val="tx1"/>
                        </w14:solidFill>
                      </w14:textFill>
                    </w:rPr>
                    <w:t>、</w:t>
                  </w:r>
                  <w:r>
                    <w:rPr>
                      <w:rFonts w:ascii="Times New Roman" w:hAnsi="Times New Roman" w:cs="Times New Roman" w:hint="default"/>
                      <w:color w:val="000000" w:themeColor="text1"/>
                      <w:sz w:val="21"/>
                      <w:szCs w:val="21"/>
                      <w:highlight w:val="none"/>
                      <w:lang w:eastAsia="zh-CN"/>
                      <w14:textFill>
                        <w14:solidFill>
                          <w14:schemeClr w14:val="tx1"/>
                        </w14:solidFill>
                      </w14:textFill>
                    </w:rPr>
                    <w:t>项目</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设置一台100kw的发电机</w: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位于项目</w:t>
                  </w:r>
                  <w:r>
                    <w:rPr>
                      <w:rFonts w:ascii="Times New Roman" w:hAnsi="Times New Roman" w:cs="Times New Roman" w:hint="eastAsia"/>
                      <w:color w:val="000000" w:themeColor="text1"/>
                      <w:sz w:val="21"/>
                      <w:szCs w:val="21"/>
                      <w:highlight w:val="none"/>
                      <w:lang w:eastAsia="zh-CN"/>
                      <w14:textFill>
                        <w14:solidFill>
                          <w14:schemeClr w14:val="tx1"/>
                        </w14:solidFill>
                      </w14:textFill>
                    </w:rPr>
                    <w:t>地下室</w:t>
                  </w:r>
                  <w:r>
                    <w:rPr>
                      <w:rFonts w:ascii="Times New Roman" w:hAnsi="Times New Roman" w:cs="Times New Roman" w:hint="default"/>
                      <w:color w:val="000000" w:themeColor="text1"/>
                      <w:sz w:val="21"/>
                      <w:szCs w:val="21"/>
                      <w:highlight w:val="none"/>
                      <w:lang w:eastAsia="zh-CN"/>
                      <w14:textFill>
                        <w14:solidFill>
                          <w14:schemeClr w14:val="tx1"/>
                        </w14:solidFill>
                      </w14:textFill>
                    </w:rPr>
                    <w:t>一层</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406" w:type="dxa"/>
                  <w:gridSpan w:val="4"/>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给水</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市政自来水</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406" w:type="dxa"/>
                  <w:gridSpan w:val="4"/>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空调系统</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不设</w:t>
                  </w:r>
                  <w:r>
                    <w:rPr>
                      <w:rFonts w:ascii="Times New Roman" w:hAnsi="Times New Roman" w:cs="Times New Roman" w:hint="default"/>
                      <w:color w:val="000000" w:themeColor="text1"/>
                      <w:sz w:val="21"/>
                      <w:szCs w:val="21"/>
                      <w:highlight w:val="none"/>
                      <w:lang w:eastAsia="zh-CN"/>
                      <w14:textFill>
                        <w14:solidFill>
                          <w14:schemeClr w14:val="tx1"/>
                        </w14:solidFill>
                      </w14:textFill>
                    </w:rPr>
                    <w:t>中央空调，采用分体式空调</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406" w:type="dxa"/>
                  <w:gridSpan w:val="4"/>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风冷机组</w:t>
                  </w:r>
                </w:p>
              </w:tc>
              <w:tc>
                <w:tcPr>
                  <w:tcW w:w="5191"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室外屋面</w:t>
                  </w:r>
                </w:p>
              </w:tc>
            </w:tr>
            <w:tr>
              <w:tblPrEx>
                <w:tblW w:w="9317" w:type="dxa"/>
                <w:jc w:val="center"/>
                <w:tblLayout w:type="fixed"/>
                <w:tblCellMar>
                  <w:top w:w="0" w:type="dxa"/>
                  <w:left w:w="108" w:type="dxa"/>
                  <w:bottom w:w="0" w:type="dxa"/>
                  <w:right w:w="108" w:type="dxa"/>
                </w:tblCellMar>
              </w:tblPrEx>
              <w:trPr>
                <w:trHeight w:val="90"/>
                <w:jc w:val="center"/>
              </w:trPr>
              <w:tc>
                <w:tcPr>
                  <w:tcW w:w="720" w:type="dxa"/>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辅助</w: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工程</w:t>
                  </w:r>
                </w:p>
              </w:tc>
              <w:tc>
                <w:tcPr>
                  <w:tcW w:w="3406" w:type="dxa"/>
                  <w:gridSpan w:val="4"/>
                  <w:tcBorders>
                    <w:tl2br w:val="nil"/>
                    <w:tr2bl w:val="nil"/>
                  </w:tcBorders>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工具房</w:t>
                  </w:r>
                </w:p>
              </w:tc>
              <w:tc>
                <w:tcPr>
                  <w:tcW w:w="5191" w:type="dxa"/>
                  <w:tcBorders>
                    <w:tl2br w:val="nil"/>
                    <w:tr2bl w:val="nil"/>
                  </w:tcBorders>
                  <w:noWrap w:val="0"/>
                  <w:vAlign w:val="center"/>
                </w:tcPr>
                <w:p>
                  <w:pPr>
                    <w:widowControl w:val="0"/>
                    <w:adjustRightInd/>
                    <w:snapToGrid/>
                    <w:spacing w:after="0" w:line="240" w:lineRule="auto"/>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泵房、配电房、医疗设备</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val="restart"/>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环保</w: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设施</w:t>
                  </w:r>
                </w:p>
              </w:tc>
              <w:tc>
                <w:tcPr>
                  <w:tcW w:w="931" w:type="dxa"/>
                  <w:noWrap w:val="0"/>
                  <w:vAlign w:val="center"/>
                </w:tcPr>
                <w:p>
                  <w:pPr>
                    <w:spacing w:after="0" w:line="240" w:lineRule="auto"/>
                    <w:jc w:val="center"/>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废水</w: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7666" w:type="dxa"/>
                  <w:gridSpan w:val="4"/>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医院</w:t>
                  </w:r>
                  <w:r>
                    <w:rPr>
                      <w:rFonts w:ascii="Times New Roman" w:hAnsi="Times New Roman" w:cs="Times New Roman" w:hint="default"/>
                      <w:color w:val="000000" w:themeColor="text1"/>
                      <w:sz w:val="21"/>
                      <w:szCs w:val="21"/>
                      <w:highlight w:val="none"/>
                      <w:lang w:eastAsia="zh-CN"/>
                      <w14:textFill>
                        <w14:solidFill>
                          <w14:schemeClr w14:val="tx1"/>
                        </w14:solidFill>
                      </w14:textFill>
                    </w:rPr>
                    <w:t>产生</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的生活</w:t>
                  </w:r>
                  <w:r>
                    <w:rPr>
                      <w:rFonts w:ascii="Times New Roman" w:hAnsi="Times New Roman" w:cs="Times New Roman" w:hint="default"/>
                      <w:color w:val="000000" w:themeColor="text1"/>
                      <w:sz w:val="21"/>
                      <w:szCs w:val="21"/>
                      <w:highlight w:val="none"/>
                      <w14:textFill>
                        <w14:solidFill>
                          <w14:schemeClr w14:val="tx1"/>
                        </w14:solidFill>
                      </w14:textFill>
                    </w:rPr>
                    <w:t>污水</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和医疗废水</w:t>
                  </w:r>
                  <w:r>
                    <w:rPr>
                      <w:rFonts w:ascii="Times New Roman" w:hAnsi="Times New Roman" w:cs="Times New Roman" w:hint="default"/>
                      <w:color w:val="000000" w:themeColor="text1"/>
                      <w:sz w:val="21"/>
                      <w:szCs w:val="21"/>
                      <w:highlight w:val="none"/>
                      <w:lang w:eastAsia="zh-CN"/>
                      <w14:textFill>
                        <w14:solidFill>
                          <w14:schemeClr w14:val="tx1"/>
                        </w14:solidFill>
                      </w14:textFill>
                    </w:rPr>
                    <w:t>经化粪池处理后</w:t>
                  </w:r>
                  <w:r>
                    <w:rPr>
                      <w:rFonts w:ascii="Times New Roman" w:hAnsi="Times New Roman" w:cs="Times New Roman" w:hint="default"/>
                      <w:color w:val="000000" w:themeColor="text1"/>
                      <w:sz w:val="21"/>
                      <w:szCs w:val="21"/>
                      <w:highlight w:val="none"/>
                      <w14:textFill>
                        <w14:solidFill>
                          <w14:schemeClr w14:val="tx1"/>
                        </w14:solidFill>
                      </w14:textFill>
                    </w:rPr>
                    <w:t>排入医院自建污水处理站，污水处理站采用</w:t>
                  </w:r>
                  <w:r>
                    <w:rPr>
                      <w:rFonts w:ascii="Times New Roman" w:hAnsi="Times New Roman" w:cs="Times New Roman" w:hint="default"/>
                      <w:color w:val="000000" w:themeColor="text1"/>
                      <w:sz w:val="21"/>
                      <w:szCs w:val="21"/>
                      <w:highlight w:val="none"/>
                      <w:lang w:eastAsia="zh-CN"/>
                      <w14:textFill>
                        <w14:solidFill>
                          <w14:schemeClr w14:val="tx1"/>
                        </w14:solidFill>
                      </w14:textFill>
                    </w:rPr>
                    <w:t>地上式</w:t>
                  </w:r>
                  <w:r>
                    <w:rPr>
                      <w:rFonts w:ascii="Times New Roman" w:hAnsi="Times New Roman" w:cs="Times New Roman" w:hint="default"/>
                      <w:color w:val="000000" w:themeColor="text1"/>
                      <w:sz w:val="21"/>
                      <w:szCs w:val="21"/>
                      <w:highlight w:val="none"/>
                      <w14:textFill>
                        <w14:solidFill>
                          <w14:schemeClr w14:val="tx1"/>
                        </w14:solidFill>
                      </w14:textFill>
                    </w:rPr>
                    <w:t>，处理量为</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20m</w:t>
                  </w:r>
                  <w:r>
                    <w:rPr>
                      <w:rFonts w:ascii="Times New Roman" w:hAnsi="Times New Roman" w:cs="Times New Roman" w:hint="eastAsia"/>
                      <w:color w:val="000000" w:themeColor="text1"/>
                      <w:sz w:val="21"/>
                      <w:szCs w:val="21"/>
                      <w:highlight w:val="none"/>
                      <w:vertAlign w:val="superscript"/>
                      <w:lang w:val="en-US" w:eastAsia="zh-CN"/>
                      <w14:textFill>
                        <w14:solidFill>
                          <w14:schemeClr w14:val="tx1"/>
                        </w14:solidFill>
                      </w14:textFill>
                    </w:rPr>
                    <w:t>3</w:t>
                  </w:r>
                  <w:r>
                    <w:rPr>
                      <w:rFonts w:ascii="Times New Roman" w:hAnsi="Times New Roman" w:cs="Times New Roman" w:hint="default"/>
                      <w:color w:val="000000" w:themeColor="text1"/>
                      <w:sz w:val="21"/>
                      <w:szCs w:val="21"/>
                      <w:highlight w:val="none"/>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d；</w:t>
                  </w:r>
                  <w:r>
                    <w:rPr>
                      <w:rFonts w:ascii="Times New Roman" w:hAnsi="Times New Roman" w:cs="Times New Roman" w:hint="default"/>
                      <w:color w:val="000000" w:themeColor="text1"/>
                      <w:sz w:val="21"/>
                      <w:szCs w:val="21"/>
                      <w:highlight w:val="none"/>
                      <w14:textFill>
                        <w14:solidFill>
                          <w14:schemeClr w14:val="tx1"/>
                        </w14:solidFill>
                      </w14:textFill>
                    </w:rPr>
                    <w:t>对</w:t>
                  </w:r>
                  <w:r>
                    <w:rPr>
                      <w:rFonts w:ascii="Times New Roman" w:hAnsi="Times New Roman" w:cs="Times New Roman" w:hint="default"/>
                      <w:color w:val="000000" w:themeColor="text1"/>
                      <w:sz w:val="21"/>
                      <w:szCs w:val="21"/>
                      <w:highlight w:val="none"/>
                      <w:lang w:eastAsia="zh-CN"/>
                      <w14:textFill>
                        <w14:solidFill>
                          <w14:schemeClr w14:val="tx1"/>
                        </w14:solidFill>
                      </w14:textFill>
                    </w:rPr>
                    <w:t>检验</w:t>
                  </w:r>
                  <w:r>
                    <w:rPr>
                      <w:rFonts w:ascii="Times New Roman" w:hAnsi="Times New Roman" w:cs="Times New Roman" w:hint="default"/>
                      <w:color w:val="000000" w:themeColor="text1"/>
                      <w:sz w:val="21"/>
                      <w:szCs w:val="21"/>
                      <w:highlight w:val="none"/>
                      <w14:textFill>
                        <w14:solidFill>
                          <w14:schemeClr w14:val="tx1"/>
                        </w14:solidFill>
                      </w14:textFill>
                    </w:rPr>
                    <w:t>废水</w:t>
                  </w:r>
                  <w:r>
                    <w:rPr>
                      <w:rFonts w:ascii="Times New Roman" w:hAnsi="Times New Roman" w:cs="Times New Roman" w:hint="default"/>
                      <w:color w:val="000000" w:themeColor="text1"/>
                      <w:sz w:val="21"/>
                      <w:szCs w:val="21"/>
                      <w:highlight w:val="none"/>
                      <w:lang w:eastAsia="zh-CN"/>
                      <w14:textFill>
                        <w14:solidFill>
                          <w14:schemeClr w14:val="tx1"/>
                        </w14:solidFill>
                      </w14:textFill>
                    </w:rPr>
                    <w:t>单独收集后交由有资质单位处理</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noWrap w:val="0"/>
                  <w:vAlign w:val="center"/>
                </w:tcPr>
                <w:p>
                  <w:pPr>
                    <w:widowControl/>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931" w:type="dxa"/>
                  <w:noWrap w:val="0"/>
                  <w:vAlign w:val="center"/>
                </w:tcPr>
                <w:p>
                  <w:pPr>
                    <w:spacing w:after="0" w:line="240" w:lineRule="auto"/>
                    <w:jc w:val="center"/>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废气</w: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7666" w:type="dxa"/>
                  <w:gridSpan w:val="4"/>
                  <w:noWrap w:val="0"/>
                  <w:vAlign w:val="center"/>
                </w:tcPr>
                <w:p>
                  <w:pPr>
                    <w:widowControl w:val="0"/>
                    <w:adjustRightInd/>
                    <w:snapToGrid/>
                    <w:spacing w:after="0" w:line="240" w:lineRule="auto"/>
                    <w:ind w:firstLine="0" w:firstLineChars="0"/>
                    <w:jc w:val="both"/>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①污水处理站恶臭：经活性炭吸附后引至楼顶排放；</w:t>
                  </w:r>
                </w:p>
                <w:p>
                  <w:pPr>
                    <w:widowControl w:val="0"/>
                    <w:adjustRightInd/>
                    <w:snapToGrid/>
                    <w:spacing w:after="0" w:line="240" w:lineRule="auto"/>
                    <w:ind w:firstLine="0" w:firstLineChars="0"/>
                    <w:jc w:val="both"/>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②发电机废气：</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通过</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专用烟道</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排放，通过排风装置</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，引至楼顶排放；</w:t>
                  </w:r>
                </w:p>
                <w:p>
                  <w:pPr>
                    <w:widowControl w:val="0"/>
                    <w:adjustRightInd/>
                    <w:snapToGrid/>
                    <w:spacing w:after="0" w:line="240" w:lineRule="auto"/>
                    <w:ind w:firstLine="0" w:firstLineChars="0"/>
                    <w:jc w:val="both"/>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③检验室废气：检验是在室内进行的，同时医院设有</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空调进行净化，并定期喷洒消毒水杀菌消毒</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p>
                  <w:pPr>
                    <w:widowControl w:val="0"/>
                    <w:adjustRightInd/>
                    <w:snapToGrid/>
                    <w:spacing w:after="0" w:line="240" w:lineRule="auto"/>
                    <w:ind w:firstLine="0" w:firstLineChars="0"/>
                    <w:jc w:val="both"/>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④</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含病原体废气及消毒异味</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医院内部空气中含病原体的气溶胶废气通过医院建筑空调进行净化，并定期喷洒消毒水杀菌消毒；手术室等按照洁净度级别分设净化空调系统，检验科所有涉及病原微生物的操作均需在生物安全柜中进行。</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noWrap w:val="0"/>
                  <w:vAlign w:val="center"/>
                </w:tcPr>
                <w:p>
                  <w:pPr>
                    <w:widowControl/>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931" w:type="dxa"/>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噪声</w:t>
                  </w:r>
                </w:p>
              </w:tc>
              <w:tc>
                <w:tcPr>
                  <w:tcW w:w="7666" w:type="dxa"/>
                  <w:gridSpan w:val="4"/>
                  <w:noWrap w:val="0"/>
                  <w:vAlign w:val="center"/>
                </w:tcPr>
                <w:p>
                  <w:pPr>
                    <w:widowControl w:val="0"/>
                    <w:adjustRightInd/>
                    <w:snapToGrid/>
                    <w:spacing w:after="0" w:line="240" w:lineRule="auto"/>
                    <w:ind w:firstLine="0" w:firstLineChars="0"/>
                    <w:jc w:val="center"/>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color w:val="000000" w:themeColor="text1"/>
                      <w:sz w:val="21"/>
                      <w:szCs w:val="21"/>
                      <w:highlight w:val="none"/>
                      <w14:textFill>
                        <w14:solidFill>
                          <w14:schemeClr w14:val="tx1"/>
                        </w14:solidFill>
                      </w14:textFill>
                    </w:rPr>
                    <w:t>采用隔声、消音、减震等措施处理</w:t>
                  </w:r>
                  <w:r>
                    <w:rPr>
                      <w:rFonts w:ascii="Times New Roman" w:hint="eastAsia"/>
                      <w:color w:val="000000" w:themeColor="text1"/>
                      <w:sz w:val="21"/>
                      <w:szCs w:val="21"/>
                      <w:highlight w:val="none"/>
                      <w:lang w:eastAsia="zh-CN"/>
                      <w14:textFill>
                        <w14:solidFill>
                          <w14:schemeClr w14:val="tx1"/>
                        </w14:solidFill>
                      </w14:textFill>
                    </w:rPr>
                    <w:t>。</w:t>
                  </w:r>
                </w:p>
              </w:tc>
            </w:tr>
            <w:tr>
              <w:tblPrEx>
                <w:tblW w:w="9317" w:type="dxa"/>
                <w:jc w:val="center"/>
                <w:tblLayout w:type="fixed"/>
                <w:tblCellMar>
                  <w:top w:w="0" w:type="dxa"/>
                  <w:left w:w="108" w:type="dxa"/>
                  <w:bottom w:w="0" w:type="dxa"/>
                  <w:right w:w="108" w:type="dxa"/>
                </w:tblCellMar>
              </w:tblPrEx>
              <w:trPr>
                <w:trHeight w:val="90"/>
                <w:jc w:val="center"/>
              </w:trPr>
              <w:tc>
                <w:tcPr>
                  <w:tcW w:w="720" w:type="dxa"/>
                  <w:vMerge/>
                  <w:noWrap w:val="0"/>
                  <w:vAlign w:val="center"/>
                </w:tcPr>
                <w:p>
                  <w:pPr>
                    <w:widowControl/>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931" w:type="dxa"/>
                  <w:noWrap w:val="0"/>
                  <w:vAlign w:val="center"/>
                </w:tcPr>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固废</w:t>
                  </w:r>
                </w:p>
              </w:tc>
              <w:tc>
                <w:tcPr>
                  <w:tcW w:w="7666" w:type="dxa"/>
                  <w:gridSpan w:val="4"/>
                  <w:noWrap w:val="0"/>
                  <w:vAlign w:val="center"/>
                </w:tcPr>
                <w:p>
                  <w:pP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①生活垃圾经</w:t>
                  </w:r>
                  <w:r>
                    <w:rPr>
                      <w:rFonts w:ascii="Times New Roman" w:hAnsi="Times New Roman" w:cs="Times New Roman" w:hint="default"/>
                      <w:color w:val="000000" w:themeColor="text1"/>
                      <w:sz w:val="21"/>
                      <w:szCs w:val="21"/>
                      <w:lang w:val="en-US" w:eastAsia="zh-CN"/>
                      <w14:textFill>
                        <w14:solidFill>
                          <w14:schemeClr w14:val="tx1"/>
                        </w14:solidFill>
                      </w14:textFill>
                    </w:rPr>
                    <w:t>带盖</w:t>
                  </w:r>
                  <w:r>
                    <w:rPr>
                      <w:rFonts w:ascii="Times New Roman" w:hAnsi="Times New Roman" w:cs="Times New Roman" w:hint="default"/>
                      <w:color w:val="000000" w:themeColor="text1"/>
                      <w:sz w:val="21"/>
                      <w:szCs w:val="21"/>
                      <w14:textFill>
                        <w14:solidFill>
                          <w14:schemeClr w14:val="tx1"/>
                        </w14:solidFill>
                      </w14:textFill>
                    </w:rPr>
                    <w:t>垃圾收集桶收集后交由环卫部门清运处理；</w:t>
                  </w:r>
                </w:p>
                <w:p>
                  <w:pPr>
                    <w:adjustRightInd w:val="0"/>
                    <w:snapToGrid w:val="0"/>
                    <w:jc w:val="both"/>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②污泥、栅渣在清掏需进行监测，达到</w:t>
                  </w:r>
                  <w:r>
                    <w:rPr>
                      <w:rFonts w:ascii="Times New Roman" w:eastAsia="宋体" w:hAnsi="Times New Roman" w:cs="Times New Roman" w:hint="default"/>
                      <w:color w:val="000000" w:themeColor="text1"/>
                      <w:sz w:val="21"/>
                      <w:szCs w:val="21"/>
                      <w:lang w:val="en-US" w:eastAsia="zh-CN"/>
                      <w14:textFill>
                        <w14:solidFill>
                          <w14:schemeClr w14:val="tx1"/>
                        </w14:solidFill>
                      </w14:textFill>
                    </w:rPr>
                    <w:t>《医疗机构水污染物排放标准》（GB18466-2005）表4要求后再清掏，委托有资质单位处置；</w:t>
                  </w:r>
                  <w:r>
                    <w:rPr>
                      <w:rFonts w:ascii="Times New Roman" w:hAnsi="Times New Roman" w:cs="Times New Roman" w:hint="default"/>
                      <w:color w:val="000000" w:themeColor="text1"/>
                      <w:sz w:val="21"/>
                      <w:szCs w:val="21"/>
                      <w:lang w:val="en-US" w:eastAsia="zh-CN"/>
                      <w14:textFill>
                        <w14:solidFill>
                          <w14:schemeClr w14:val="tx1"/>
                        </w14:solidFill>
                      </w14:textFill>
                    </w:rPr>
                    <w:t xml:space="preserve"> </w:t>
                  </w:r>
                </w:p>
              </w:tc>
            </w:tr>
          </w:tbl>
          <w:p/>
        </w:tc>
      </w:tr>
    </w:tbl>
    <w:p>
      <w:pPr>
        <w:sectPr>
          <w:footerReference w:type="default" r:id="rId13"/>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8"/>
          <w:cols w:num="1" w:space="425"/>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tbl>
            <w:tblPr>
              <w:tblStyle w:val="TableGrid5"/>
              <w:tblW w:w="9317"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
            <w:tblGrid>
              <w:gridCol w:w="720"/>
              <w:gridCol w:w="931"/>
              <w:gridCol w:w="7666"/>
            </w:tblGrid>
            <w:tr>
              <w:tblPrEx>
                <w:tblW w:w="9317"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top w:w="0" w:type="dxa"/>
                  <w:left w:w="108" w:type="dxa"/>
                  <w:bottom w:w="0" w:type="dxa"/>
                  <w:right w:w="108" w:type="dxa"/>
                </w:tblCellMar>
              </w:tblPrEx>
              <w:trPr>
                <w:trHeight w:val="90"/>
                <w:jc w:val="center"/>
              </w:trPr>
              <w:tc>
                <w:tcPr>
                  <w:tcW w:w="720" w:type="dxa"/>
                  <w:noWrap w:val="0"/>
                  <w:vAlign w:val="center"/>
                </w:tcPr>
                <w:p/>
              </w:tc>
              <w:tc>
                <w:tcPr>
                  <w:tcW w:w="931" w:type="dxa"/>
                  <w:noWrap w:val="0"/>
                  <w:vAlign w:val="center"/>
                </w:tcPr>
                <w:p/>
              </w:tc>
              <w:tc>
                <w:tcPr>
                  <w:tcW w:w="7666" w:type="dxa"/>
                  <w:noWrap w:val="0"/>
                  <w:vAlign w:val="center"/>
                </w:tcPr>
                <w:p>
                  <w:pPr>
                    <w:widowControl w:val="0"/>
                    <w:adjustRightInd/>
                    <w:snapToGrid/>
                    <w:spacing w:after="0" w:line="240" w:lineRule="auto"/>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③</w:t>
                  </w:r>
                  <w:r>
                    <w:rPr>
                      <w:rFonts w:ascii="Times New Roman" w:hAnsi="Times New Roman" w:cs="Times New Roman" w:hint="default"/>
                      <w:color w:val="000000" w:themeColor="text1"/>
                      <w:sz w:val="21"/>
                      <w:szCs w:val="21"/>
                      <w14:textFill>
                        <w14:solidFill>
                          <w14:schemeClr w14:val="tx1"/>
                        </w14:solidFill>
                      </w14:textFill>
                    </w:rPr>
                    <w:t>医疗垃圾</w:t>
                  </w:r>
                  <w:r>
                    <w:rPr>
                      <w:rFonts w:ascii="Times New Roman" w:hAnsi="Times New Roman" w:cs="Times New Roman" w:hint="default"/>
                      <w:color w:val="000000" w:themeColor="text1"/>
                      <w:sz w:val="21"/>
                      <w:szCs w:val="21"/>
                      <w:lang w:val="en-US" w:eastAsia="zh-CN"/>
                      <w14:textFill>
                        <w14:solidFill>
                          <w14:schemeClr w14:val="tx1"/>
                        </w14:solidFill>
                      </w14:textFill>
                    </w:rPr>
                    <w:t>和废活性炭暂存于危废间，委托有资质单位处置</w:t>
                  </w:r>
                  <w:r>
                    <w:rPr>
                      <w:rFonts w:ascii="Times New Roman" w:hAnsi="Times New Roman" w:cs="Times New Roman" w:hint="default"/>
                      <w:color w:val="000000" w:themeColor="text1"/>
                      <w:sz w:val="21"/>
                      <w:szCs w:val="21"/>
                      <w14:textFill>
                        <w14:solidFill>
                          <w14:schemeClr w14:val="tx1"/>
                        </w14:solidFill>
                      </w14:textFill>
                    </w:rPr>
                    <w:t>。</w:t>
                  </w:r>
                </w:p>
              </w:tc>
            </w:tr>
          </w:tbl>
          <w:p>
            <w:pPr>
              <w:ind w:firstLine="420" w:firstLineChars="200"/>
              <w:jc w:val="both"/>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2、主要技术经济指标</w:t>
            </w:r>
          </w:p>
          <w:p>
            <w:pPr>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表2-</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2</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 xml:space="preserve"> 主要技术指标</w:t>
            </w:r>
          </w:p>
          <w:tbl>
            <w:tblPr>
              <w:tblStyle w:val="TableNormal"/>
              <w:tblW w:w="9649" w:type="dxa"/>
              <w:jc w:val="center"/>
              <w:tblBorders>
                <w:top w:val="single" w:sz="2" w:space="0" w:color="auto"/>
                <w:left w:val="single" w:sz="2" w:space="0" w:color="auto"/>
                <w:bottom w:val="single" w:sz="2" w:space="0" w:color="auto"/>
                <w:right w:val="single" w:sz="2" w:space="0" w:color="auto"/>
                <w:insideH w:val="single" w:sz="8" w:space="0" w:color="auto"/>
                <w:insideV w:val="single" w:sz="8" w:space="0" w:color="auto"/>
              </w:tblBorders>
              <w:tblLayout w:type="fixed"/>
              <w:tblCellMar>
                <w:top w:w="0" w:type="dxa"/>
                <w:left w:w="108" w:type="dxa"/>
                <w:bottom w:w="0" w:type="dxa"/>
                <w:right w:w="108" w:type="dxa"/>
              </w:tblCellMar>
            </w:tblPr>
            <w:tblGrid>
              <w:gridCol w:w="1019"/>
              <w:gridCol w:w="641"/>
              <w:gridCol w:w="3092"/>
              <w:gridCol w:w="1276"/>
              <w:gridCol w:w="3621"/>
            </w:tblGrid>
            <w:tr>
              <w:tblPrEx>
                <w:tblW w:w="9649" w:type="dxa"/>
                <w:jc w:val="center"/>
                <w:tblBorders>
                  <w:top w:val="single" w:sz="2" w:space="0" w:color="auto"/>
                  <w:left w:val="single" w:sz="2" w:space="0" w:color="auto"/>
                  <w:bottom w:val="single" w:sz="2" w:space="0" w:color="auto"/>
                  <w:right w:val="single" w:sz="2" w:space="0" w:color="auto"/>
                  <w:insideH w:val="single" w:sz="8" w:space="0" w:color="auto"/>
                  <w:insideV w:val="single" w:sz="8" w:space="0" w:color="auto"/>
                </w:tblBorders>
                <w:tblLayout w:type="fixed"/>
                <w:tblCellMar>
                  <w:top w:w="0" w:type="dxa"/>
                  <w:left w:w="108" w:type="dxa"/>
                  <w:bottom w:w="0" w:type="dxa"/>
                  <w:right w:w="108" w:type="dxa"/>
                </w:tblCellMar>
              </w:tblPrEx>
              <w:trPr>
                <w:trHeight w:hRule="exact" w:val="370"/>
                <w:tblHeader/>
                <w:jc w:val="center"/>
              </w:trPr>
              <w:tc>
                <w:tcPr>
                  <w:tcW w:w="1019" w:type="dxa"/>
                  <w:tcBorders>
                    <w:tl2br w:val="nil"/>
                    <w:tr2bl w:val="nil"/>
                  </w:tcBorders>
                  <w:noWrap w:val="0"/>
                  <w:vAlign w:val="center"/>
                </w:tcPr>
                <w:p>
                  <w:pPr>
                    <w:widowControl/>
                    <w:spacing w:line="300" w:lineRule="exact"/>
                    <w:ind w:left="0" w:right="0" w:firstLine="0" w:leftChars="0" w:rightChars="0" w:firstLineChars="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序号</w:t>
                  </w:r>
                </w:p>
              </w:tc>
              <w:tc>
                <w:tcPr>
                  <w:tcW w:w="3733" w:type="dxa"/>
                  <w:gridSpan w:val="2"/>
                  <w:tcBorders>
                    <w:tl2br w:val="nil"/>
                    <w:tr2bl w:val="nil"/>
                  </w:tcBorders>
                  <w:noWrap w:val="0"/>
                  <w:vAlign w:val="center"/>
                </w:tcPr>
                <w:p>
                  <w:pPr>
                    <w:widowControl/>
                    <w:spacing w:line="300" w:lineRule="exact"/>
                    <w:ind w:firstLine="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名   称</w:t>
                  </w:r>
                </w:p>
              </w:tc>
              <w:tc>
                <w:tcPr>
                  <w:tcW w:w="1276" w:type="dxa"/>
                  <w:tcBorders>
                    <w:tl2br w:val="nil"/>
                    <w:tr2bl w:val="nil"/>
                  </w:tcBorders>
                  <w:noWrap w:val="0"/>
                  <w:vAlign w:val="center"/>
                </w:tcPr>
                <w:p>
                  <w:pPr>
                    <w:widowControl/>
                    <w:spacing w:line="300" w:lineRule="exact"/>
                    <w:ind w:firstLine="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单位</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数 量</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vMerge w:val="restart"/>
                  <w:tcBorders>
                    <w:tl2br w:val="nil"/>
                    <w:tr2bl w:val="nil"/>
                  </w:tcBorders>
                  <w:noWrap w:val="0"/>
                  <w:vAlign w:val="center"/>
                </w:tcPr>
                <w:p>
                  <w:pPr>
                    <w:widowControl/>
                    <w:spacing w:line="300" w:lineRule="exact"/>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w:t>
                  </w:r>
                </w:p>
              </w:tc>
              <w:tc>
                <w:tcPr>
                  <w:tcW w:w="3733" w:type="dxa"/>
                  <w:gridSpan w:val="2"/>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日门诊量</w:t>
                  </w:r>
                </w:p>
              </w:tc>
              <w:tc>
                <w:tcPr>
                  <w:tcW w:w="1276"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人次</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30</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vMerge/>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733" w:type="dxa"/>
                  <w:gridSpan w:val="2"/>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总床位数</w:t>
                  </w:r>
                </w:p>
              </w:tc>
              <w:tc>
                <w:tcPr>
                  <w:tcW w:w="1276"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张</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20</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vMerge/>
                  <w:tcBorders>
                    <w:tl2br w:val="nil"/>
                    <w:tr2bl w:val="nil"/>
                  </w:tcBorders>
                  <w:noWrap w:val="0"/>
                  <w:vAlign w:val="center"/>
                </w:tcPr>
                <w:p>
                  <w:pPr>
                    <w:widowControl/>
                    <w:spacing w:line="300" w:lineRule="exact"/>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733" w:type="dxa"/>
                  <w:gridSpan w:val="2"/>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总员工数</w:t>
                  </w:r>
                </w:p>
              </w:tc>
              <w:tc>
                <w:tcPr>
                  <w:tcW w:w="1276"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人</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30</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vMerge/>
                  <w:tcBorders>
                    <w:tl2br w:val="nil"/>
                    <w:tr2bl w:val="nil"/>
                  </w:tcBorders>
                  <w:noWrap w:val="0"/>
                  <w:vAlign w:val="center"/>
                </w:tcPr>
                <w:p>
                  <w:pPr>
                    <w:widowControl/>
                    <w:spacing w:line="300" w:lineRule="exact"/>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641" w:type="dxa"/>
                  <w:vMerge w:val="restart"/>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其中</w:t>
                  </w:r>
                </w:p>
              </w:tc>
              <w:tc>
                <w:tcPr>
                  <w:tcW w:w="3092"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医护人员</w:t>
                  </w:r>
                </w:p>
              </w:tc>
              <w:tc>
                <w:tcPr>
                  <w:tcW w:w="1276" w:type="dxa"/>
                  <w:tcBorders>
                    <w:tl2br w:val="nil"/>
                    <w:tr2bl w:val="nil"/>
                  </w:tcBorders>
                  <w:noWrap w:val="0"/>
                  <w:vAlign w:val="center"/>
                </w:tcPr>
                <w:p>
                  <w:pPr>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人</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20</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vMerge/>
                  <w:tcBorders>
                    <w:tl2br w:val="nil"/>
                    <w:tr2bl w:val="nil"/>
                  </w:tcBorders>
                  <w:noWrap w:val="0"/>
                  <w:vAlign w:val="center"/>
                </w:tcPr>
                <w:p>
                  <w:pPr>
                    <w:widowControl/>
                    <w:spacing w:line="300" w:lineRule="exact"/>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641" w:type="dxa"/>
                  <w:vMerge/>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092"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行政人员</w:t>
                  </w:r>
                </w:p>
              </w:tc>
              <w:tc>
                <w:tcPr>
                  <w:tcW w:w="1276" w:type="dxa"/>
                  <w:tcBorders>
                    <w:tl2br w:val="nil"/>
                    <w:tr2bl w:val="nil"/>
                  </w:tcBorders>
                  <w:noWrap w:val="0"/>
                  <w:vAlign w:val="center"/>
                </w:tcPr>
                <w:p>
                  <w:pPr>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人</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tcBorders>
                    <w:tl2br w:val="nil"/>
                    <w:tr2bl w:val="nil"/>
                  </w:tcBorders>
                  <w:noWrap w:val="0"/>
                  <w:vAlign w:val="center"/>
                </w:tcPr>
                <w:p>
                  <w:pPr>
                    <w:widowControl/>
                    <w:spacing w:line="300" w:lineRule="exact"/>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w:t>
                  </w:r>
                </w:p>
              </w:tc>
              <w:tc>
                <w:tcPr>
                  <w:tcW w:w="3733" w:type="dxa"/>
                  <w:gridSpan w:val="2"/>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总建筑面积</w:t>
                  </w:r>
                </w:p>
              </w:tc>
              <w:tc>
                <w:tcPr>
                  <w:tcW w:w="1276"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m</w:t>
                  </w:r>
                  <w:r>
                    <w:rPr>
                      <w:rFonts w:ascii="Times New Roman" w:hAnsi="Times New Roman" w:cs="Times New Roman" w:hint="default"/>
                      <w:color w:val="000000" w:themeColor="text1"/>
                      <w:sz w:val="21"/>
                      <w:szCs w:val="21"/>
                      <w:highlight w:val="none"/>
                      <w:vertAlign w:val="superscript"/>
                      <w:lang w:val="en-US" w:eastAsia="zh-CN"/>
                      <w14:textFill>
                        <w14:solidFill>
                          <w14:schemeClr w14:val="tx1"/>
                        </w14:solidFill>
                      </w14:textFill>
                    </w:rPr>
                    <w:t>2</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6005</w:t>
                  </w:r>
                </w:p>
              </w:tc>
            </w:tr>
            <w:tr>
              <w:tblPrEx>
                <w:tblW w:w="9649" w:type="dxa"/>
                <w:jc w:val="center"/>
                <w:tblLayout w:type="fixed"/>
                <w:tblCellMar>
                  <w:top w:w="0" w:type="dxa"/>
                  <w:left w:w="108" w:type="dxa"/>
                  <w:bottom w:w="0" w:type="dxa"/>
                  <w:right w:w="108" w:type="dxa"/>
                </w:tblCellMar>
              </w:tblPrEx>
              <w:trPr>
                <w:trHeight w:hRule="exact" w:val="370"/>
                <w:jc w:val="center"/>
              </w:trPr>
              <w:tc>
                <w:tcPr>
                  <w:tcW w:w="1019" w:type="dxa"/>
                  <w:tcBorders>
                    <w:tl2br w:val="nil"/>
                    <w:tr2bl w:val="nil"/>
                  </w:tcBorders>
                  <w:noWrap w:val="0"/>
                  <w:vAlign w:val="center"/>
                </w:tcPr>
                <w:p>
                  <w:pPr>
                    <w:widowControl/>
                    <w:spacing w:line="300" w:lineRule="exact"/>
                    <w:ind w:firstLine="0" w:firstLine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w:t>
                  </w:r>
                </w:p>
              </w:tc>
              <w:tc>
                <w:tcPr>
                  <w:tcW w:w="3733" w:type="dxa"/>
                  <w:gridSpan w:val="2"/>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建筑占地面积</w:t>
                  </w:r>
                </w:p>
              </w:tc>
              <w:tc>
                <w:tcPr>
                  <w:tcW w:w="1276"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m</w:t>
                  </w:r>
                  <w:r>
                    <w:rPr>
                      <w:rFonts w:ascii="Times New Roman" w:hAnsi="Times New Roman" w:cs="Times New Roman" w:hint="default"/>
                      <w:color w:val="000000" w:themeColor="text1"/>
                      <w:sz w:val="21"/>
                      <w:szCs w:val="21"/>
                      <w:highlight w:val="none"/>
                      <w:vertAlign w:val="superscript"/>
                      <w:lang w:val="en-US" w:eastAsia="zh-CN"/>
                      <w14:textFill>
                        <w14:solidFill>
                          <w14:schemeClr w14:val="tx1"/>
                        </w14:solidFill>
                      </w14:textFill>
                    </w:rPr>
                    <w:t>2</w:t>
                  </w:r>
                </w:p>
              </w:tc>
              <w:tc>
                <w:tcPr>
                  <w:tcW w:w="3621" w:type="dxa"/>
                  <w:tcBorders>
                    <w:tl2br w:val="nil"/>
                    <w:tr2bl w:val="nil"/>
                  </w:tcBorders>
                  <w:noWrap w:val="0"/>
                  <w:vAlign w:val="center"/>
                </w:tcPr>
                <w:p>
                  <w:pPr>
                    <w:widowControl/>
                    <w:spacing w:line="300" w:lineRule="exact"/>
                    <w:ind w:firstLine="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1044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20" w:rightChars="0" w:firstLineChars="200"/>
              <w:jc w:val="both"/>
              <w:textAlignment w:val="auto"/>
              <w:outlineLvl w:val="9"/>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3、医疗科目</w:t>
            </w:r>
          </w:p>
          <w:p>
            <w:pPr>
              <w:keepNext w:val="0"/>
              <w:keepLines w:val="0"/>
              <w:pageBreakBefore w:val="0"/>
              <w:widowControl w:val="0"/>
              <w:kinsoku/>
              <w:wordWrap/>
              <w:overflowPunct/>
              <w:topLinePunct w:val="0"/>
              <w:autoSpaceDE w:val="0"/>
              <w:autoSpaceDN w:val="0"/>
              <w:bidi w:val="0"/>
              <w:adjustRightInd w:val="0"/>
              <w:snapToGrid/>
              <w:spacing w:line="360" w:lineRule="auto"/>
              <w:ind w:left="0" w:right="0" w:firstLine="420" w:leftChars="0" w:rightChars="0" w:firstLineChars="200"/>
              <w:jc w:val="left"/>
              <w:textAlignment w:val="auto"/>
              <w:outlineLvl w:val="9"/>
              <w:rPr>
                <w:rFonts w:hint="eastAsia"/>
                <w:color w:val="000000" w:themeColor="text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项目开展学科8个，包含青白科、大视光科、屈光科、眼底病科、角膜病及眼表科、泪道及整形科、综合眼病科、小儿眼科及干眼科。本项目为专科医院，</w:t>
            </w:r>
            <w:r>
              <w:rPr>
                <w:rFonts w:hint="default"/>
                <w:color w:val="000000" w:themeColor="text1"/>
                <w:sz w:val="21"/>
                <w:szCs w:val="21"/>
                <w:highlight w:val="none"/>
                <w:lang w:eastAsia="zh-CN"/>
                <w14:textFill>
                  <w14:solidFill>
                    <w14:schemeClr w14:val="tx1"/>
                  </w14:solidFill>
                </w14:textFill>
              </w:rPr>
              <w:t>设有</w:t>
            </w:r>
            <w:r>
              <w:rPr>
                <w:rFonts w:hint="eastAsia"/>
                <w:color w:val="000000" w:themeColor="text1"/>
                <w:sz w:val="21"/>
                <w:szCs w:val="21"/>
                <w:highlight w:val="none"/>
                <w:lang w:val="en-US" w:eastAsia="zh-CN"/>
                <w14:textFill>
                  <w14:solidFill>
                    <w14:schemeClr w14:val="tx1"/>
                  </w14:solidFill>
                </w14:textFill>
              </w:rPr>
              <w:t>化验室、验光视野室、手术室、麻醉科等科室</w:t>
            </w:r>
            <w:r>
              <w:rPr>
                <w:rFonts w:hint="default"/>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项目主要的手术类型有：白内障手术、青光眼手术、</w:t>
            </w:r>
            <w:r>
              <w:rPr>
                <w:rFonts w:hint="eastAsia"/>
                <w:color w:val="000000" w:themeColor="text1"/>
                <w:sz w:val="21"/>
                <w:szCs w:val="21"/>
                <w:highlight w:val="none"/>
                <w:lang w:val="en-US" w:eastAsia="zh-CN"/>
                <w14:textFill>
                  <w14:solidFill>
                    <w14:schemeClr w14:val="tx1"/>
                  </w14:solidFill>
                </w14:textFill>
              </w:rPr>
              <w:t>泪道手术、</w:t>
            </w:r>
            <w:r>
              <w:rPr>
                <w:rFonts w:hint="eastAsia"/>
                <w:color w:val="000000" w:themeColor="text1"/>
                <w:sz w:val="21"/>
                <w:szCs w:val="21"/>
                <w:highlight w:val="none"/>
                <w:lang w:eastAsia="zh-CN"/>
                <w14:textFill>
                  <w14:solidFill>
                    <w14:schemeClr w14:val="tx1"/>
                  </w14:solidFill>
                </w14:textFill>
              </w:rPr>
              <w:t>眼底病手术、激光手术、眼整形手术等。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20" w:rightChars="0" w:firstLineChars="200"/>
              <w:jc w:val="both"/>
              <w:textAlignment w:val="auto"/>
              <w:outlineLvl w:val="9"/>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 xml:space="preserve"> </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4</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 xml:space="preserve">、主要设备  </w:t>
            </w:r>
          </w:p>
          <w:p>
            <w:pPr>
              <w:spacing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eastAsia="zh-CN"/>
                <w14:textFill>
                  <w14:solidFill>
                    <w14:schemeClr w14:val="tx1"/>
                  </w14:solidFill>
                </w14:textFill>
              </w:rPr>
              <w:t>表</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2-</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3</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 xml:space="preserve"> 主要医疗设备一览表</w:t>
            </w:r>
          </w:p>
          <w:tbl>
            <w:tblPr>
              <w:tblStyle w:val="TableNormal"/>
              <w:tblpPr w:leftFromText="180" w:rightFromText="180" w:vertAnchor="text" w:horzAnchor="page" w:tblpXSpec="center" w:tblpY="25"/>
              <w:tblOverlap w:val="never"/>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
            <w:tblGrid>
              <w:gridCol w:w="555"/>
              <w:gridCol w:w="4104"/>
              <w:gridCol w:w="684"/>
              <w:gridCol w:w="887"/>
              <w:gridCol w:w="2205"/>
              <w:gridCol w:w="1195"/>
            </w:tblGrid>
            <w:tr>
              <w:tblPrEx>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序号</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设备名称</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数量</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单位</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型号规格</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双目显微镜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WF10X</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检验科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裂隙灯显微镜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苏州六六YZ5J</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病房</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OCT断层形象系统</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RTVUEI100-2</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压力蒸汽灭菌器</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SLM-J（重庆康华）</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697"/>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(YZ5X)裂隙灯显微镜 （YZ20P5）手术显微镜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眼底造影系统</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Canon CF-1</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半自动凝血仪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检验科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氦氖激光治疗机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HN-771</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全自动血液细胞分析仪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XFA6100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检验科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0</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苏州六六同视机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YZ23B</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索维角膜内皮计、眼压计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索维SW-7000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生化仪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检验科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医用空气消毒器</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老肯牌KDSJ-Y100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眼底激光光凝仪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NIDEK GYC-1000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60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超声诊断仪、迈达21SAB系统、迈达6800系统</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迈达21SAB系统、6800系统</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高压水汽两用枪、空压机各一个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SLB30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17</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免散瞳眼底相机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DRS</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18</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门卧式矩形电加热灭菌器</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2540EK</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19</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角膜曲率计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YE38</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bl>
          <w:p/>
        </w:tc>
      </w:tr>
    </w:tbl>
    <w:p>
      <w:pPr>
        <w:sectPr>
          <w:footerReference w:type="default" r:id="rId14"/>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9"/>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tbl>
            <w:tblPr>
              <w:tblStyle w:val="TableNormal"/>
              <w:tblpPr w:leftFromText="180" w:rightFromText="180" w:vertAnchor="text" w:horzAnchor="page" w:tblpXSpec="center" w:tblpY="25"/>
              <w:tblOverlap w:val="never"/>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
            <w:tblGrid>
              <w:gridCol w:w="555"/>
              <w:gridCol w:w="4104"/>
              <w:gridCol w:w="684"/>
              <w:gridCol w:w="887"/>
              <w:gridCol w:w="2205"/>
              <w:gridCol w:w="1195"/>
            </w:tblGrid>
            <w:tr>
              <w:tblPrEx>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0</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不锈钢灭菌车</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病房</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激光泪道治疗仪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JLER-Y11B</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验光设备一套</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新世纪NCE-6800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进口显微镜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LEICA</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显微镜（含脚踏）</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ZEIZZ</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显微镜（脚踏）</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TAKAGIOM-5</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显微镜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YZ20P5</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27</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YAG激光机（含裂隙灯.升降台）</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NIDEK  YC-1600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727"/>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28</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验光仪.综合验光台（含眼镜、投影仪、操作盘）</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NIDEK</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29</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电生理配置用电脑及打印机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配电生理检查仪用</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0</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冷冻机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B801B</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尿液分析仪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U180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检验科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DY-LD离子导入仪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DY-LD</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三面镜（2个）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YZ13</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双目间接检眼镜（一个）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YZ26A</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手术无影灯</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立式四孔</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前置镜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37</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臭氧空气消毒机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老肯牌</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38</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自动血细胞分析仪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迈瑞PM-50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检验科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39</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非接触眼压计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韩国HNT-700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40</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超声乳化仪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白内障科</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眼科超声生物显微镜UBM</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269"/>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眼科光学相干生物测量仪OA2000</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OA2000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台式蒸汽压力灭菌器</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2540MK型</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激光眼科诊断仪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Spectralis OCT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高频电刀</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CV-2000I</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电动手术台</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JS-2032</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47</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电动椅</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JSDY2050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48</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注吸手柄</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23-9000A</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49</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间接检眼镜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Vantage Plus Corded</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50</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视频显微镜(透视眼)</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QY-1180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眼表综合分析仪(含角膜地形图仪软件)</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77000(Keratograph)</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眼球突出计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YZ9</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综合眼病科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裂隙灯</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拓普康SL-2G</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综合眼病科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电脑非接触眼压计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拓普康CT-800</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AB超</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迈达0DM-2100s</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综合眼病科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角膜内皮细胞仪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拓普康SP-1p</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门诊/导诊</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57</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前房角镜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六六视觉YZ14</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综合眼病科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58</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镜片箱</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日月266</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综合眼病科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59</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病人监护仪（心电监护仪）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飞利浦M8001A</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病房</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60</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玻切超乳一体机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爱尔康Constellation-TT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综合眼病科</w:t>
                  </w:r>
                </w:p>
              </w:tc>
            </w:tr>
          </w:tbl>
          <w:p/>
        </w:tc>
      </w:tr>
    </w:tbl>
    <w:p>
      <w:pPr>
        <w:sectPr>
          <w:footerReference w:type="default" r:id="rId15"/>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0"/>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tbl>
            <w:tblPr>
              <w:tblStyle w:val="TableNormal"/>
              <w:tblpPr w:leftFromText="180" w:rightFromText="180" w:vertAnchor="text" w:horzAnchor="page" w:tblpXSpec="center" w:tblpY="25"/>
              <w:tblOverlap w:val="never"/>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
            <w:tblGrid>
              <w:gridCol w:w="555"/>
              <w:gridCol w:w="4104"/>
              <w:gridCol w:w="684"/>
              <w:gridCol w:w="887"/>
              <w:gridCol w:w="2205"/>
              <w:gridCol w:w="1195"/>
            </w:tblGrid>
            <w:tr>
              <w:tblPrEx>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61</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摄录像系统</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小高清</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587"/>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62</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眼科激光光凝机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爱尔康倍频Nd：YY04 Purepoint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63</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综合验光组合</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上海科拓 COU880+VT-5A+ACP990L</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407"/>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64</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焦度计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上海科拓 JD-2600B</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65</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蒸汽灭菌器</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山东新华MOST</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66</w:t>
                  </w:r>
                </w:p>
              </w:tc>
              <w:tc>
                <w:tcPr>
                  <w:tcW w:w="4104"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光纤喉镜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德国卡威03.42013</w:t>
                  </w:r>
                </w:p>
              </w:tc>
              <w:tc>
                <w:tcPr>
                  <w:tcW w:w="1195" w:type="dxa"/>
                  <w:tcBorders>
                    <w:tl2br w:val="nil"/>
                    <w:tr2bl w:val="nil"/>
                  </w:tcBorders>
                  <w:noWrap w:val="0"/>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病房</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67</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彩超</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APOgee3800</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68</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X光机500mA</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CDGI</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69</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全自动生化仪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LW-240</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70</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血球</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BC-2600</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71</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凝血仪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KHB202-4</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72</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电解质仪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AFT-500</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73</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离心机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TD6</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74</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心电监护仪器ECG-6C</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SMP9000N</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综合科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75</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麻醉机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center"/>
                    <w:rPr>
                      <w:rFonts w:ascii="Times New Roman" w:hAnsi="Times New Roman" w:cs="Times New Roman" w:hint="eastAsia"/>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麻醉科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76</w:t>
                  </w:r>
                </w:p>
              </w:tc>
              <w:tc>
                <w:tcPr>
                  <w:tcW w:w="410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吸引器</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p>
              </w:tc>
              <w:tc>
                <w:tcPr>
                  <w:tcW w:w="220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病区、手术室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77</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心电图机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SE-1200</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综合科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78</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裂隙灯</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10</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门诊、病区</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79</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非接触眼压计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4</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门诊、病区</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80</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自动验光仪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门诊、病区</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81</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综合验光仪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5</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82</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眼底照相机（超广角）</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83</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光学相干断层扫描仪（OCT）</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84</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光学相干断层血管影响扫描仪(OCTA)</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85</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眼科生物测量仪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86</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眼科超声波诊断仪（A/B）</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87</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眼科超声显微镜（UBM）</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88</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眼前段分析仪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屈光手术科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89</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眼表分析仪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90</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角膜测厚仪（超声）</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屈光手术科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91</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角膜地图仪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视光科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92</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自动视野计</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93</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裂隙灯前段照相机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94</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眼前段激光治疗仪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95</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眼底激光治疗仪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96</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眼底血管造影仪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97</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眼科手术显微镜</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6</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98</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眼科超声乳化仪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3</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99</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玻璃体切割仪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2</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100</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眼科冷冻治疗仪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101</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眼科电凝治疗仪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bl>
          <w:p/>
        </w:tc>
      </w:tr>
    </w:tbl>
    <w:p>
      <w:pPr>
        <w:sectPr>
          <w:footerReference w:type="default" r:id="rId16"/>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1"/>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tbl>
            <w:tblPr>
              <w:tblStyle w:val="TableNormal"/>
              <w:tblpPr w:leftFromText="180" w:rightFromText="180" w:vertAnchor="text" w:horzAnchor="page" w:tblpXSpec="center" w:tblpY="25"/>
              <w:tblOverlap w:val="never"/>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
            <w:tblGrid>
              <w:gridCol w:w="555"/>
              <w:gridCol w:w="4104"/>
              <w:gridCol w:w="684"/>
              <w:gridCol w:w="887"/>
              <w:gridCol w:w="2205"/>
              <w:gridCol w:w="1195"/>
            </w:tblGrid>
            <w:tr>
              <w:tblPrEx>
                <w:tblW w:w="96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102</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眼科高频电刀</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103</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准分子激光治疗仪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104</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飞秒激光角膜治疗仪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105</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飞秒激光白内障治疗仪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手术室</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106</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对比敏感度检查仪</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r>
              <w:tblPrEx>
                <w:tblW w:w="9630" w:type="dxa"/>
                <w:jc w:val="center"/>
                <w:tblLayout w:type="fixed"/>
                <w:tblCellMar>
                  <w:top w:w="15" w:type="dxa"/>
                  <w:left w:w="15" w:type="dxa"/>
                  <w:bottom w:w="15" w:type="dxa"/>
                  <w:right w:w="15" w:type="dxa"/>
                </w:tblCellMar>
              </w:tblPrEx>
              <w:trPr>
                <w:trHeight w:hRule="exact" w:val="312"/>
                <w:jc w:val="center"/>
              </w:trPr>
              <w:tc>
                <w:tcPr>
                  <w:tcW w:w="55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107</w:t>
                  </w:r>
                </w:p>
              </w:tc>
              <w:tc>
                <w:tcPr>
                  <w:tcW w:w="4104"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同视机</w:t>
                  </w:r>
                </w:p>
              </w:tc>
              <w:tc>
                <w:tcPr>
                  <w:tcW w:w="684"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台</w:t>
                  </w:r>
                </w:p>
              </w:tc>
              <w:tc>
                <w:tcPr>
                  <w:tcW w:w="887"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1</w:t>
                  </w:r>
                </w:p>
              </w:tc>
              <w:tc>
                <w:tcPr>
                  <w:tcW w:w="2205" w:type="dxa"/>
                  <w:tcBorders>
                    <w:tl2br w:val="nil"/>
                    <w:tr2bl w:val="nil"/>
                  </w:tcBorders>
                  <w:noWrap w:val="0"/>
                  <w:vAlign w:val="center"/>
                </w:tcPr>
                <w:p>
                  <w:pPr>
                    <w:widowControl/>
                    <w:jc w:val="center"/>
                    <w:textAlignment w:val="bottom"/>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p>
              </w:tc>
              <w:tc>
                <w:tcPr>
                  <w:tcW w:w="1195" w:type="dxa"/>
                  <w:tcBorders>
                    <w:tl2br w:val="nil"/>
                    <w:tr2bl w:val="nil"/>
                  </w:tcBorders>
                  <w:noWrap w:val="0"/>
                  <w:vAlign w:val="center"/>
                </w:tcPr>
                <w:p>
                  <w:pPr>
                    <w:widowControl/>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医技科</w:t>
                  </w:r>
                </w:p>
              </w:tc>
            </w:tr>
          </w:tbl>
          <w:p>
            <w:pPr>
              <w:pStyle w:val="NormalIndent"/>
              <w:rPr>
                <w:rFonts w:hAnsi="Times New Roman" w:cs="Times New Roman" w:hint="default"/>
                <w:b/>
                <w:bCs/>
                <w:color w:val="000000" w:themeColor="text1"/>
                <w:szCs w:val="21"/>
                <w:highlight w:val="none"/>
                <w:lang w:val="en-US" w:eastAsia="zh-CN"/>
                <w14:textFill>
                  <w14:solidFill>
                    <w14:schemeClr w14:val="tx1"/>
                  </w14:solidFill>
                </w14:textFill>
              </w:rPr>
            </w:pPr>
            <w:r>
              <w:rPr>
                <w:rFonts w:hAnsi="Times New Roman" w:cs="Times New Roman" w:hint="eastAsia"/>
                <w:b/>
                <w:bCs/>
                <w:color w:val="000000" w:themeColor="text1"/>
                <w:sz w:val="21"/>
                <w:szCs w:val="21"/>
                <w:highlight w:val="none"/>
                <w:lang w:val="en-US" w:eastAsia="zh-CN"/>
                <w14:textFill>
                  <w14:solidFill>
                    <w14:schemeClr w14:val="tx1"/>
                  </w14:solidFill>
                </w14:textFill>
              </w:rPr>
              <w:t>5</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、主要医疗用品</w:t>
            </w:r>
          </w:p>
          <w:p>
            <w:pPr>
              <w:spacing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表</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2-</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4</w:t>
            </w:r>
            <w:r>
              <w:rPr>
                <w:rFonts w:ascii="Times New Roman" w:hAnsi="Times New Roman" w:cs="Times New Roman" w:hint="default"/>
                <w:b/>
                <w:bCs/>
                <w:color w:val="000000" w:themeColor="text1"/>
                <w:sz w:val="21"/>
                <w:szCs w:val="21"/>
                <w:highlight w:val="none"/>
                <w14:textFill>
                  <w14:solidFill>
                    <w14:schemeClr w14:val="tx1"/>
                  </w14:solidFill>
                </w14:textFill>
              </w:rPr>
              <w:t xml:space="preserve">  </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主要医疗用品一览表</w:t>
            </w:r>
          </w:p>
          <w:tbl>
            <w:tblPr>
              <w:tblStyle w:val="TableNormal"/>
              <w:tblW w:w="96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
            <w:tblGrid>
              <w:gridCol w:w="2399"/>
              <w:gridCol w:w="1051"/>
              <w:gridCol w:w="1286"/>
              <w:gridCol w:w="4918"/>
            </w:tblGrid>
            <w:tr>
              <w:tblPrEx>
                <w:tblW w:w="96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名称</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数量</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单位</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理化性质</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典必殊眼液</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150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支/5</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mL</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典必殊眼膏</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支/5</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g</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贝复舒眼药水</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贝复舒凝胶</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40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无色透明凝胶，主要成份为重组牛碱性成纤维细胞生长因子</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复方托吡卡胺</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支/8</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mL</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无色或微黄色澄明液体</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玻璃酸钠眼液</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无色澄明的黏性液体</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盐酸丙美卡因眼水</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无色至黄色的澄明液体</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托百士眼药水</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80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无色或几乎无色的澄明溶液，适用于敏感细菌所致的外眼及附属器的局部感染</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氯霉素眼液</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leftChars="0" w:rightChars="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230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无色至微黄绿色的澄明液体</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眼科一次性手术刀</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医用透明质酸钠凝胶</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支</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主要成份为</w:t>
                  </w:r>
                  <w:hyperlink r:id="rId17" w:tgtFrame="https://baike.so.com/doc/_blank" w:history="1">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透明质酸钠</w:t>
                    </w:r>
                  </w:hyperlink>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(最早由脐带提取，随后由鸡冠提取，现多由发酵制取)，辅料含氯化钠，</w:t>
                  </w:r>
                  <w:hyperlink r:id="rId18" w:tgtFrame="https://baike.so.com/doc/_blank" w:history="1">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磷酸氢二钠</w:t>
                    </w:r>
                  </w:hyperlink>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hyperlink r:id="rId19" w:tgtFrame="https://baike.so.com/doc/_blank" w:history="1">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磷酸二氢钾</w:t>
                    </w:r>
                  </w:hyperlink>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无菌粘膜手术膜</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250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个</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尼龙缝线</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包</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折叠人工晶体</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60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个</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具有生物相容性好、材料更柔软、弹性及顺应性更好，对眼内组织损伤小灯优点</w:t>
                  </w:r>
                </w:p>
              </w:tc>
            </w:tr>
            <w:tr>
              <w:tblPrEx>
                <w:tblW w:w="9654" w:type="dxa"/>
                <w:jc w:val="center"/>
                <w:tblLayout w:type="fixed"/>
                <w:tblCellMar>
                  <w:top w:w="15" w:type="dxa"/>
                  <w:left w:w="15" w:type="dxa"/>
                  <w:bottom w:w="15" w:type="dxa"/>
                  <w:right w:w="15" w:type="dxa"/>
                </w:tblCellMar>
              </w:tblPrEx>
              <w:trPr>
                <w:trHeight w:val="356"/>
                <w:jc w:val="center"/>
              </w:trPr>
              <w:tc>
                <w:tcPr>
                  <w:tcW w:w="2399"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软性亲水接触镜</w:t>
                  </w:r>
                </w:p>
              </w:tc>
              <w:tc>
                <w:tcPr>
                  <w:tcW w:w="1051"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70</w:t>
                  </w:r>
                </w:p>
              </w:tc>
              <w:tc>
                <w:tcPr>
                  <w:tcW w:w="1286"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个</w:t>
                  </w:r>
                </w:p>
              </w:tc>
              <w:tc>
                <w:tcPr>
                  <w:tcW w:w="4918"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suppressLineNumbers w:val="0"/>
                    <w:bidi w:val="0"/>
                    <w:spacing w:before="0" w:beforeAutospacing="0" w:after="0" w:afterAutospacing="0" w:line="240" w:lineRule="auto"/>
                    <w:ind w:left="0" w:right="0"/>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bl>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firstLine="420" w:rightChars="0" w:firstLineChars="200"/>
              <w:jc w:val="left"/>
              <w:textAlignment w:val="auto"/>
              <w:outlineLvl w:val="9"/>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6</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 xml:space="preserve">、劳动定员及工作制度 </w:t>
            </w:r>
          </w:p>
          <w:p>
            <w:pPr>
              <w:spacing w:line="360" w:lineRule="auto"/>
              <w:ind w:firstLine="420" w:firstLineChars="200"/>
              <w:jc w:val="left"/>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本</w:t>
            </w:r>
            <w:r>
              <w:rPr>
                <w:rFonts w:ascii="Times New Roman" w:hAnsi="Times New Roman" w:cs="Times New Roman" w:hint="default"/>
                <w:color w:val="000000" w:themeColor="text1"/>
                <w:sz w:val="21"/>
                <w:szCs w:val="21"/>
                <w:highlight w:val="none"/>
                <w:lang w:eastAsia="zh-CN"/>
                <w14:textFill>
                  <w14:solidFill>
                    <w14:schemeClr w14:val="tx1"/>
                  </w14:solidFill>
                </w14:textFill>
              </w:rPr>
              <w:t>项目</w:t>
            </w:r>
            <w:r>
              <w:rPr>
                <w:rFonts w:ascii="Times New Roman" w:hAnsi="Times New Roman" w:cs="Times New Roman" w:hint="default"/>
                <w:color w:val="000000" w:themeColor="text1"/>
                <w:sz w:val="21"/>
                <w:szCs w:val="21"/>
                <w:highlight w:val="none"/>
                <w14:textFill>
                  <w14:solidFill>
                    <w14:schemeClr w14:val="tx1"/>
                  </w14:solidFill>
                </w14:textFill>
              </w:rPr>
              <w:t>员工</w:t>
            </w:r>
            <w:r>
              <w:rPr>
                <w:rFonts w:ascii="Times New Roman" w:hAnsi="Times New Roman" w:cs="Times New Roman" w:hint="default"/>
                <w:color w:val="000000" w:themeColor="text1"/>
                <w:sz w:val="21"/>
                <w:szCs w:val="21"/>
                <w:highlight w:val="none"/>
                <w:lang w:eastAsia="zh-CN"/>
                <w14:textFill>
                  <w14:solidFill>
                    <w14:schemeClr w14:val="tx1"/>
                  </w14:solidFill>
                </w14:textFill>
              </w:rPr>
              <w:t>总数约为</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30</w:t>
            </w:r>
            <w:r>
              <w:rPr>
                <w:rFonts w:ascii="Times New Roman" w:hAnsi="Times New Roman" w:cs="Times New Roman" w:hint="default"/>
                <w:color w:val="000000" w:themeColor="text1"/>
                <w:sz w:val="21"/>
                <w:szCs w:val="21"/>
                <w:highlight w:val="none"/>
                <w14:textFill>
                  <w14:solidFill>
                    <w14:schemeClr w14:val="tx1"/>
                  </w14:solidFill>
                </w14:textFill>
              </w:rPr>
              <w:t>人</w:t>
            </w:r>
            <w:r>
              <w:rPr>
                <w:rFonts w:ascii="Times New Roman" w:hAnsi="Times New Roman" w:cs="Times New Roman" w:hint="default"/>
                <w:color w:val="000000" w:themeColor="text1"/>
                <w:sz w:val="21"/>
                <w:szCs w:val="21"/>
                <w:highlight w:val="none"/>
                <w:lang w:eastAsia="zh-CN"/>
                <w14:textFill>
                  <w14:solidFill>
                    <w14:schemeClr w14:val="tx1"/>
                  </w14:solidFill>
                </w14:textFill>
              </w:rPr>
              <w:t>（其中行政人员</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10人、医护人员20人</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行政人员每天工作8h，</w:t>
            </w:r>
            <w:r>
              <w:rPr>
                <w:rFonts w:ascii="Times New Roman" w:hAnsi="Times New Roman" w:cs="Times New Roman" w:hint="default"/>
                <w:color w:val="000000" w:themeColor="text1"/>
                <w:sz w:val="21"/>
                <w:szCs w:val="21"/>
                <w:highlight w:val="none"/>
                <w14:textFill>
                  <w14:solidFill>
                    <w14:schemeClr w14:val="tx1"/>
                  </w14:solidFill>
                </w14:textFill>
              </w:rPr>
              <w:t>每年工作</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250</w:t>
            </w:r>
            <w:r>
              <w:rPr>
                <w:rFonts w:ascii="Times New Roman" w:hAnsi="Times New Roman" w:cs="Times New Roman" w:hint="default"/>
                <w:color w:val="000000" w:themeColor="text1"/>
                <w:sz w:val="21"/>
                <w:szCs w:val="21"/>
                <w:highlight w:val="none"/>
                <w14:textFill>
                  <w14:solidFill>
                    <w14:schemeClr w14:val="tx1"/>
                  </w14:solidFill>
                </w14:textFill>
              </w:rPr>
              <w:t>天</w:t>
            </w:r>
            <w:r>
              <w:rPr>
                <w:rFonts w:ascii="Times New Roman" w:hAnsi="Times New Roman" w:cs="Times New Roman" w:hint="default"/>
                <w:color w:val="000000" w:themeColor="text1"/>
                <w:sz w:val="21"/>
                <w:szCs w:val="21"/>
                <w:highlight w:val="none"/>
                <w:lang w:eastAsia="zh-CN"/>
                <w14:textFill>
                  <w14:solidFill>
                    <w14:schemeClr w14:val="tx1"/>
                  </w14:solidFill>
                </w14:textFill>
              </w:rPr>
              <w:t>，医护人员</w:t>
            </w:r>
            <w:r>
              <w:rPr>
                <w:rFonts w:ascii="Times New Roman" w:hAnsi="Times New Roman" w:cs="Times New Roman" w:hint="default"/>
                <w:color w:val="000000" w:themeColor="text1"/>
                <w:sz w:val="21"/>
                <w:szCs w:val="21"/>
                <w:highlight w:val="none"/>
                <w14:textFill>
                  <w14:solidFill>
                    <w14:schemeClr w14:val="tx1"/>
                  </w14:solidFill>
                </w14:textFill>
              </w:rPr>
              <w:t>24小时制轮岗，</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w:t>
            </w:r>
            <w:r>
              <w:rPr>
                <w:rFonts w:ascii="Times New Roman" w:hAnsi="Times New Roman" w:cs="Times New Roman" w:hint="default"/>
                <w:color w:val="000000" w:themeColor="text1"/>
                <w:sz w:val="21"/>
                <w:szCs w:val="21"/>
                <w:highlight w:val="none"/>
                <w14:textFill>
                  <w14:solidFill>
                    <w14:schemeClr w14:val="tx1"/>
                  </w14:solidFill>
                </w14:textFill>
              </w:rPr>
              <w:t>班制</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14:textFill>
                  <w14:solidFill>
                    <w14:schemeClr w14:val="tx1"/>
                  </w14:solidFill>
                </w14:textFill>
              </w:rPr>
              <w:t>每年工作</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365</w:t>
            </w:r>
            <w:r>
              <w:rPr>
                <w:rFonts w:ascii="Times New Roman" w:hAnsi="Times New Roman" w:cs="Times New Roman" w:hint="default"/>
                <w:color w:val="000000" w:themeColor="text1"/>
                <w:sz w:val="21"/>
                <w:szCs w:val="21"/>
                <w:highlight w:val="none"/>
                <w14:textFill>
                  <w14:solidFill>
                    <w14:schemeClr w14:val="tx1"/>
                  </w14:solidFill>
                </w14:textFill>
              </w:rPr>
              <w:t>天。</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项目设置2间轮班宿舍。</w:t>
            </w:r>
          </w:p>
          <w:p>
            <w:pPr>
              <w:numPr>
                <w:ilvl w:val="0"/>
                <w:numId w:val="0"/>
              </w:numPr>
              <w:spacing w:line="360" w:lineRule="auto"/>
              <w:ind w:firstLine="420" w:firstLineChars="200"/>
              <w:jc w:val="left"/>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7、</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本项目总平面布置及合理性</w:t>
            </w:r>
          </w:p>
          <w:p>
            <w:pPr>
              <w:keepLines w:val="0"/>
              <w:pageBreakBefore w:val="0"/>
              <w:widowControl/>
              <w:kinsoku/>
              <w:wordWrap/>
              <w:overflowPunct/>
              <w:topLinePunct w:val="0"/>
              <w:bidi w:val="0"/>
              <w:spacing w:after="0"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主入口位于主楼</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西侧</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项目配套电梯设置于南侧。</w:t>
            </w:r>
            <w:r>
              <w:rPr>
                <w:rFonts w:ascii="Times New Roman" w:hAnsi="Times New Roman" w:cs="Times New Roman" w:hint="default"/>
                <w:color w:val="000000" w:themeColor="text1"/>
                <w:sz w:val="21"/>
                <w:szCs w:val="21"/>
                <w:highlight w:val="none"/>
                <w:lang w:eastAsia="zh-CN"/>
                <w14:textFill>
                  <w14:solidFill>
                    <w14:schemeClr w14:val="tx1"/>
                  </w14:solidFill>
                </w14:textFill>
              </w:rPr>
              <w:t>医疗废物暂存间位于</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w:t>
            </w:r>
            <w:r>
              <w:rPr>
                <w:rFonts w:ascii="Times New Roman" w:hAnsi="Times New Roman" w:cs="Times New Roman" w:hint="default"/>
                <w:color w:val="000000" w:themeColor="text1"/>
                <w:sz w:val="21"/>
                <w:szCs w:val="21"/>
                <w:highlight w:val="none"/>
                <w:lang w:eastAsia="zh-CN"/>
                <w14:textFill>
                  <w14:solidFill>
                    <w14:schemeClr w14:val="tx1"/>
                  </w14:solidFill>
                </w14:textFill>
              </w:rPr>
              <w:t>一层</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北侧的</w:t>
            </w:r>
            <w:r>
              <w:rPr>
                <w:rFonts w:ascii="Times New Roman" w:hAnsi="Times New Roman" w:cs="Times New Roman" w:hint="default"/>
                <w:color w:val="000000" w:themeColor="text1"/>
                <w:sz w:val="21"/>
                <w:szCs w:val="21"/>
                <w:highlight w:val="none"/>
                <w:lang w:eastAsia="zh-CN"/>
                <w14:textFill>
                  <w14:solidFill>
                    <w14:schemeClr w14:val="tx1"/>
                  </w14:solidFill>
                </w14:textFill>
              </w:rPr>
              <w:t>独立房间内</w:t>
            </w:r>
            <w:r>
              <w:rPr>
                <w:rFonts w:ascii="Times New Roman"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eastAsia="zh-CN"/>
                <w14:textFill>
                  <w14:solidFill>
                    <w14:schemeClr w14:val="tx1"/>
                  </w14:solidFill>
                </w14:textFill>
              </w:rPr>
              <w:t>发电机房</w:t>
            </w:r>
            <w:r>
              <w:rPr>
                <w:rFonts w:ascii="Times New Roman" w:hAnsi="Times New Roman" w:cs="Times New Roman" w:hint="eastAsia"/>
                <w:color w:val="000000" w:themeColor="text1"/>
                <w:sz w:val="21"/>
                <w:szCs w:val="21"/>
                <w:highlight w:val="none"/>
                <w:lang w:eastAsia="zh-CN"/>
                <w14:textFill>
                  <w14:solidFill>
                    <w14:schemeClr w14:val="tx1"/>
                  </w14:solidFill>
                </w14:textFill>
              </w:rPr>
              <w:t>位于地下室一层</w:t>
            </w:r>
            <w:r>
              <w:rPr>
                <w:rFonts w:ascii="Times New Roman" w:hAnsi="Times New Roman" w:cs="Times New Roman" w:hint="default"/>
                <w:color w:val="000000" w:themeColor="text1"/>
                <w:sz w:val="21"/>
                <w:szCs w:val="21"/>
                <w:highlight w:val="none"/>
                <w:lang w:eastAsia="zh-CN"/>
                <w14:textFill>
                  <w14:solidFill>
                    <w14:schemeClr w14:val="tx1"/>
                  </w14:solidFill>
                </w14:textFill>
              </w:rPr>
              <w:t>；污水处理站位于项目位置的</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东南</w:t>
            </w:r>
            <w:r>
              <w:rPr>
                <w:rFonts w:ascii="Times New Roman" w:hAnsi="Times New Roman" w:cs="Times New Roman" w:hint="default"/>
                <w:color w:val="000000" w:themeColor="text1"/>
                <w:sz w:val="21"/>
                <w:szCs w:val="21"/>
                <w:highlight w:val="none"/>
                <w:lang w:eastAsia="zh-CN"/>
                <w14:textFill>
                  <w14:solidFill>
                    <w14:schemeClr w14:val="tx1"/>
                  </w14:solidFill>
                </w14:textFill>
              </w:rPr>
              <w:t>侧，</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位于大楼一层后面东南角</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p>
          <w:p>
            <w:pPr>
              <w:keepLines w:val="0"/>
              <w:pageBreakBefore w:val="0"/>
              <w:widowControl/>
              <w:kinsoku/>
              <w:wordWrap/>
              <w:overflowPunct/>
              <w:topLinePunct w:val="0"/>
              <w:bidi w:val="0"/>
              <w:spacing w:after="0"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医院</w:t>
            </w:r>
            <w:r>
              <w:rPr>
                <w:rFonts w:ascii="Times New Roman" w:hAnsi="Times New Roman" w:cs="Times New Roman" w:hint="default"/>
                <w:color w:val="000000" w:themeColor="text1"/>
                <w:sz w:val="21"/>
                <w:szCs w:val="21"/>
                <w:highlight w:val="none"/>
                <w14:textFill>
                  <w14:solidFill>
                    <w14:schemeClr w14:val="tx1"/>
                  </w14:solidFill>
                </w14:textFill>
              </w:rPr>
              <w:t>各楼层的功能布置以保证医院环境安静为首要原则设计。</w:t>
            </w:r>
          </w:p>
        </w:tc>
      </w:tr>
    </w:tbl>
    <w:p>
      <w:pPr>
        <w:sectPr>
          <w:footerReference w:type="default" r:id="rId20"/>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2"/>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p>
            <w:pPr>
              <w:keepLines w:val="0"/>
              <w:pageBreakBefore w:val="0"/>
              <w:widowControl/>
              <w:kinsoku/>
              <w:wordWrap/>
              <w:overflowPunct/>
              <w:topLinePunct w:val="0"/>
              <w:bidi w:val="0"/>
              <w:spacing w:before="0" w:after="0"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一层为大堂、药房、诊室、污水处理间等；二层为功能检查区、视光中心、化验室、雾化室、医疗设备仓库、手术室等；三层为病房、值班室、办公室、留观房、换药室、库房、治疗室等。</w:t>
            </w:r>
            <w:r>
              <w:rPr>
                <w:rFonts w:ascii="Times New Roman" w:hAnsi="Times New Roman" w:cs="Times New Roman" w:hint="default"/>
                <w:color w:val="000000" w:themeColor="text1"/>
                <w:sz w:val="21"/>
                <w:szCs w:val="21"/>
                <w:highlight w:val="none"/>
                <w14:textFill>
                  <w14:solidFill>
                    <w14:schemeClr w14:val="tx1"/>
                  </w14:solidFill>
                </w14:textFill>
              </w:rPr>
              <w:t>医疗废物暂存间</w:t>
            </w:r>
            <w:r>
              <w:rPr>
                <w:rFonts w:ascii="Times New Roman" w:hAnsi="Times New Roman" w:cs="Times New Roman" w:hint="default"/>
                <w:color w:val="000000" w:themeColor="text1"/>
                <w:sz w:val="21"/>
                <w:szCs w:val="21"/>
                <w:highlight w:val="none"/>
                <w:lang w:eastAsia="zh-CN"/>
                <w14:textFill>
                  <w14:solidFill>
                    <w14:schemeClr w14:val="tx1"/>
                  </w14:solidFill>
                </w14:textFill>
              </w:rPr>
              <w:t>位于一层的独立房间</w:t>
            </w:r>
            <w:r>
              <w:rPr>
                <w:rFonts w:ascii="Times New Roman" w:hAnsi="Times New Roman" w:cs="Times New Roman" w:hint="default"/>
                <w:color w:val="000000" w:themeColor="text1"/>
                <w:sz w:val="21"/>
                <w:szCs w:val="21"/>
                <w:highlight w:val="none"/>
                <w14:textFill>
                  <w14:solidFill>
                    <w14:schemeClr w14:val="tx1"/>
                  </w14:solidFill>
                </w14:textFill>
              </w:rPr>
              <w:t>。与诊室和检查科室等隔离开，保证病房环境安静，使病人可更好的得到休息和恢复。</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项目平面布局各功能区分区明确，设置较为合理。</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环保设施布置</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污水处理系统：本项目拟建地上式污水处理站，设计日处理24m</w:t>
            </w:r>
            <w:r>
              <w:rPr>
                <w:rFonts w:ascii="Times New Roman" w:hAnsi="Times New Roman" w:cs="Times New Roman" w:hint="default"/>
                <w:color w:val="000000" w:themeColor="text1"/>
                <w:sz w:val="21"/>
                <w:szCs w:val="21"/>
                <w:highlight w:val="none"/>
                <w:vertAlign w:val="superscript"/>
                <w:lang w:val="en-US" w:eastAsia="zh-CN"/>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/d，拟建于医院大楼南侧，产生的恶臭对环境影响很小。项目废水接入南侧商品街十巷市政污水管网。</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废气处理系统：本项目拟建地上式污水处理站，本项目产生的废气较少，污水处理站废气经过活性炭装置吸附后</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引至楼顶排放</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，对周边的环境影响较小。</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噪声源</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：发电机设置在大楼</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地下</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一层的</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西北</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侧，地上式污水处理站设置在项目南侧，产生的噪声采取室内隔声及设置基础减振等措施，对周边环境影响较小。</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医疗废物暂存间：本项目在</w:t>
            </w:r>
            <w:r>
              <w:rPr>
                <w:rFonts w:ascii="Times New Roman" w:hAnsi="Times New Roman" w:cs="Times New Roman" w:hint="default"/>
                <w:color w:val="000000" w:themeColor="text1"/>
                <w:sz w:val="21"/>
                <w:szCs w:val="21"/>
                <w:highlight w:val="none"/>
                <w14:textFill>
                  <w14:solidFill>
                    <w14:schemeClr w14:val="tx1"/>
                  </w14:solidFill>
                </w14:textFill>
              </w:rPr>
              <w:t>医院大楼</w:t>
            </w:r>
            <w:r>
              <w:rPr>
                <w:rFonts w:ascii="Times New Roman" w:hAnsi="Times New Roman" w:cs="Times New Roman" w:hint="default"/>
                <w:color w:val="000000" w:themeColor="text1"/>
                <w:sz w:val="21"/>
                <w:szCs w:val="21"/>
                <w:highlight w:val="none"/>
                <w:lang w:eastAsia="zh-CN"/>
                <w14:textFill>
                  <w14:solidFill>
                    <w14:schemeClr w14:val="tx1"/>
                  </w14:solidFill>
                </w14:textFill>
              </w:rPr>
              <w:t>一层</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的</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西南</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设置医疗废物暂存间，医疗废物最终统一收集至医疗废物暂存间进行分类收集。在检验室、手术室等设有医疗垃圾（废物）的收集袋、桶、及硬质收纳箱，经收集后放入医疗垃圾暂存间的医疗垃圾收集桶、袋内暂存，并规范设置相关防护措施及警示标志，</w:t>
            </w:r>
            <w:r>
              <w:rPr>
                <w:rFonts w:ascii="Times New Roman" w:hAnsi="Times New Roman" w:cs="Times New Roman" w:hint="default"/>
                <w:color w:val="000000" w:themeColor="text1"/>
                <w:sz w:val="21"/>
                <w:szCs w:val="21"/>
                <w:highlight w:val="none"/>
                <w14:textFill>
                  <w14:solidFill>
                    <w14:schemeClr w14:val="tx1"/>
                  </w14:solidFill>
                </w14:textFill>
              </w:rPr>
              <w:t>定期</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委托</w:t>
            </w:r>
            <w:r>
              <w:rPr>
                <w:rFonts w:ascii="Times New Roman" w:hAnsi="Times New Roman" w:cs="Times New Roman" w:hint="default"/>
                <w:color w:val="000000" w:themeColor="text1"/>
                <w:sz w:val="21"/>
                <w:szCs w:val="21"/>
                <w:highlight w:val="none"/>
                <w14:textFill>
                  <w14:solidFill>
                    <w14:schemeClr w14:val="tx1"/>
                  </w14:solidFill>
                </w14:textFill>
              </w:rPr>
              <w:t>具有医疗废物处理资质单位清运处置</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，对病患及外环境产生影响</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较小</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生活垃圾：</w:t>
            </w:r>
            <w:r>
              <w:rPr>
                <w:rFonts w:ascii="Times New Roman" w:hAnsi="Times New Roman" w:cs="Times New Roman" w:hint="default"/>
                <w:color w:val="000000" w:themeColor="text1"/>
                <w:sz w:val="21"/>
                <w:szCs w:val="21"/>
                <w:highlight w:val="none"/>
                <w14:textFill>
                  <w14:solidFill>
                    <w14:schemeClr w14:val="tx1"/>
                  </w14:solidFill>
                </w14:textFill>
              </w:rPr>
              <w:t>医院在相应的功能区、主要通道</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设置袋盖</w:t>
            </w:r>
            <w:r>
              <w:rPr>
                <w:rFonts w:ascii="Times New Roman" w:hAnsi="Times New Roman" w:cs="Times New Roman" w:hint="default"/>
                <w:color w:val="000000" w:themeColor="text1"/>
                <w:sz w:val="21"/>
                <w:szCs w:val="21"/>
                <w:highlight w:val="none"/>
                <w14:textFill>
                  <w14:solidFill>
                    <w14:schemeClr w14:val="tx1"/>
                  </w14:solidFill>
                </w14:textFill>
              </w:rPr>
              <w:t>垃圾桶</w:t>
            </w:r>
            <w:r>
              <w:rPr>
                <w:rFonts w:ascii="Times New Roman" w:hAnsi="Times New Roman" w:cs="Times New Roman" w:hint="default"/>
                <w:color w:val="000000" w:themeColor="text1"/>
                <w:sz w:val="21"/>
                <w:szCs w:val="21"/>
                <w:highlight w:val="none"/>
                <w:lang w:eastAsia="zh-CN"/>
                <w14:textFill>
                  <w14:solidFill>
                    <w14:schemeClr w14:val="tx1"/>
                  </w14:solidFill>
                </w14:textFill>
              </w:rPr>
              <w:t>，每日将生活垃圾收集后</w:t>
            </w:r>
            <w:r>
              <w:rPr>
                <w:rFonts w:ascii="Times New Roman" w:hAnsi="Times New Roman" w:cs="Times New Roman" w:hint="default"/>
                <w:color w:val="000000" w:themeColor="text1"/>
                <w:sz w:val="21"/>
                <w:szCs w:val="21"/>
                <w:highlight w:val="none"/>
                <w14:textFill>
                  <w14:solidFill>
                    <w14:schemeClr w14:val="tx1"/>
                  </w14:solidFill>
                </w14:textFill>
              </w:rPr>
              <w:t>统一</w:t>
            </w:r>
            <w:r>
              <w:rPr>
                <w:rFonts w:ascii="Times New Roman" w:hAnsi="Times New Roman" w:cs="Times New Roman" w:hint="default"/>
                <w:color w:val="000000" w:themeColor="text1"/>
                <w:sz w:val="21"/>
                <w:szCs w:val="21"/>
                <w:highlight w:val="none"/>
                <w:lang w:eastAsia="zh-CN"/>
                <w14:textFill>
                  <w14:solidFill>
                    <w14:schemeClr w14:val="tx1"/>
                  </w14:solidFill>
                </w14:textFill>
              </w:rPr>
              <w:t>交</w:t>
            </w:r>
            <w:r>
              <w:rPr>
                <w:rFonts w:ascii="Times New Roman" w:hAnsi="Times New Roman" w:cs="Times New Roman" w:hint="default"/>
                <w:color w:val="000000" w:themeColor="text1"/>
                <w:sz w:val="21"/>
                <w:szCs w:val="21"/>
                <w:highlight w:val="none"/>
                <w14:textFill>
                  <w14:solidFill>
                    <w14:schemeClr w14:val="tx1"/>
                  </w14:solidFill>
                </w14:textFill>
              </w:rPr>
              <w:t>由环卫部门</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清运</w:t>
            </w:r>
            <w:r>
              <w:rPr>
                <w:rFonts w:ascii="Times New Roman" w:hAnsi="Times New Roman" w:cs="Times New Roman" w:hint="default"/>
                <w:color w:val="000000" w:themeColor="text1"/>
                <w:sz w:val="21"/>
                <w:szCs w:val="21"/>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人流、物流通道的布局及环境合理性分析</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14:textFill>
                  <w14:solidFill>
                    <w14:schemeClr w14:val="tx1"/>
                  </w14:solidFill>
                </w14:textFill>
              </w:rPr>
              <w:t>医院主要出入口位于大楼</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北</w:t>
            </w:r>
            <w:r>
              <w:rPr>
                <w:rFonts w:ascii="Times New Roman" w:hAnsi="Times New Roman" w:cs="Times New Roman" w:hint="default"/>
                <w:color w:val="000000" w:themeColor="text1"/>
                <w:sz w:val="21"/>
                <w:szCs w:val="21"/>
                <w:highlight w:val="none"/>
                <w14:textFill>
                  <w14:solidFill>
                    <w14:schemeClr w14:val="tx1"/>
                  </w14:solidFill>
                </w14:textFill>
              </w:rPr>
              <w:t>侧，</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临</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商品街十巷</w:t>
            </w:r>
            <w:r>
              <w:rPr>
                <w:rFonts w:ascii="Times New Roman" w:hAnsi="Times New Roman" w:cs="Times New Roman" w:hint="default"/>
                <w:color w:val="000000" w:themeColor="text1"/>
                <w:sz w:val="21"/>
                <w:szCs w:val="21"/>
                <w:highlight w:val="none"/>
                <w14:textFill>
                  <w14:solidFill>
                    <w14:schemeClr w14:val="tx1"/>
                  </w14:solidFill>
                </w14:textFill>
              </w:rPr>
              <w:t>一侧</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14:textFill>
                  <w14:solidFill>
                    <w14:schemeClr w14:val="tx1"/>
                  </w14:solidFill>
                </w14:textFill>
              </w:rPr>
              <w:t>根据各楼层平面布置图可知，</w:t>
            </w:r>
            <w:r>
              <w:rPr>
                <w:rFonts w:ascii="Times New Roman" w:hAnsi="Times New Roman" w:cs="Times New Roman" w:hint="default"/>
                <w:color w:val="000000" w:themeColor="text1"/>
                <w:sz w:val="21"/>
                <w:szCs w:val="21"/>
                <w:highlight w:val="none"/>
                <w:lang w:eastAsia="zh-CN"/>
                <w14:textFill>
                  <w14:solidFill>
                    <w14:schemeClr w14:val="tx1"/>
                  </w14:solidFill>
                </w14:textFill>
              </w:rPr>
              <w:t>各楼层均设置有电梯</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、楼梯</w:t>
            </w:r>
            <w:r>
              <w:rPr>
                <w:rFonts w:ascii="Times New Roman" w:hAnsi="Times New Roman" w:cs="Times New Roman" w:hint="default"/>
                <w:color w:val="000000" w:themeColor="text1"/>
                <w:sz w:val="21"/>
                <w:szCs w:val="21"/>
                <w:highlight w:val="none"/>
                <w:lang w:eastAsia="zh-CN"/>
                <w14:textFill>
                  <w14:solidFill>
                    <w14:schemeClr w14:val="tx1"/>
                  </w14:solidFill>
                </w14:textFill>
              </w:rPr>
              <w:t>和消防楼梯</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等人流</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物流通道</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各楼层人流</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物流通道分布明确，</w:t>
            </w:r>
            <w:r>
              <w:rPr>
                <w:rFonts w:ascii="Times New Roman" w:hAnsi="Times New Roman" w:cs="Times New Roman" w:hint="default"/>
                <w:color w:val="000000" w:themeColor="text1"/>
                <w:sz w:val="21"/>
                <w:szCs w:val="21"/>
                <w:highlight w:val="none"/>
                <w:lang w:eastAsia="zh-CN"/>
                <w14:textFill>
                  <w14:solidFill>
                    <w14:schemeClr w14:val="tx1"/>
                  </w14:solidFill>
                </w14:textFill>
              </w:rPr>
              <w:t>项目各部门相对独立，方便病人入院治疗</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r>
              <w:rPr>
                <w:rFonts w:ascii="Times New Roman" w:hAnsi="Times New Roman" w:cs="Times New Roman" w:hint="default"/>
                <w:color w:val="000000" w:themeColor="text1"/>
                <w:sz w:val="21"/>
                <w:szCs w:val="21"/>
                <w:highlight w:val="none"/>
                <w:lang w:eastAsia="zh-CN"/>
                <w14:textFill>
                  <w14:solidFill>
                    <w14:schemeClr w14:val="tx1"/>
                  </w14:solidFill>
                </w14:textFill>
              </w:rPr>
              <w:t>项目建筑布局紧凑，其功能分区比较明确，管理方便、通风条件良好。项目楼层布置都能较好的满足了眼科医院的总平面功能要求，</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符合《医疗卫生机构废物管理办法》（卫生部令2003年第36号）对“医疗卫生机构建立的医疗废物暂时贮存设施”、《医院污水处理技术指南》“医院污水处理构筑物的位置宜设在医院建筑物当地夏季主导风向的下风向”的要求。</w:t>
            </w:r>
          </w:p>
          <w:p>
            <w:pPr>
              <w:pStyle w:val="Default"/>
              <w:keepLines w:val="0"/>
              <w:pageBreakBefore w:val="0"/>
              <w:widowControl/>
              <w:kinsoku/>
              <w:wordWrap/>
              <w:overflowPunct/>
              <w:topLinePunct w:val="0"/>
              <w:autoSpaceDE/>
              <w:autoSpaceDN/>
              <w:bidi w:val="0"/>
              <w:adjustRightInd/>
              <w:spacing w:after="0" w:line="360" w:lineRule="auto"/>
              <w:ind w:firstLine="420" w:firstLineChars="200"/>
              <w:jc w:val="both"/>
              <w:rPr>
                <w:rFonts w:ascii="Times New Roman" w:hAnsi="Times New Roman" w:eastAsiaTheme="minorEastAsia" w:cs="Times New Roman" w:hint="default"/>
                <w:color w:themeColor="text1"/>
                <w:kern w:val="2"/>
                <w:sz w:val="21"/>
                <w:szCs w:val="21"/>
                <w:highlight w:val="none"/>
                <w14:textFill>
                  <w14:solidFill>
                    <w14:schemeClr w14:val="tx1"/>
                  </w14:solidFill>
                </w14:textFill>
              </w:rPr>
            </w:pPr>
            <w:r>
              <w:rPr>
                <w:rFonts w:ascii="Times New Roman" w:hAnsi="Times New Roman" w:eastAsiaTheme="minorEastAsia" w:cs="Times New Roman" w:hint="default"/>
                <w:color w:val="000000" w:themeColor="text1"/>
                <w:kern w:val="2"/>
                <w:sz w:val="21"/>
                <w:szCs w:val="21"/>
                <w:highlight w:val="none"/>
                <w:lang w:val="en-US" w:eastAsia="zh-CN" w:bidi="ar-SA"/>
                <w14:textFill>
                  <w14:solidFill>
                    <w14:schemeClr w14:val="tx1"/>
                  </w14:solidFill>
                </w14:textFill>
              </w:rPr>
              <w:t>综上所述，本项目总平面布置是合理的。</w:t>
            </w:r>
          </w:p>
          <w:p>
            <w:pPr>
              <w:numPr>
                <w:ilvl w:val="0"/>
                <w:numId w:val="0"/>
              </w:numPr>
              <w:spacing w:line="360" w:lineRule="auto"/>
              <w:ind w:left="420" w:leftChars="200"/>
              <w:jc w:val="left"/>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8、</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项目水平衡</w:t>
            </w:r>
          </w:p>
          <w:p>
            <w:pPr>
              <w:pStyle w:val="NormalIndent"/>
              <w:ind w:left="0" w:firstLine="0" w:leftChars="0" w:firstLineChars="0"/>
              <w:jc w:val="center"/>
              <w:rPr>
                <w:rFonts w:hAnsi="Times New Roman" w:cs="Times New Roman" w:hint="eastAsia"/>
                <w:b/>
                <w:bCs/>
                <w:color w:val="000000" w:themeColor="text1"/>
                <w:szCs w:val="21"/>
                <w:highlight w:val="none"/>
                <w:lang w:val="en-US" w:eastAsia="zh-CN"/>
                <w14:textFill>
                  <w14:solidFill>
                    <w14:schemeClr w14:val="tx1"/>
                  </w14:solidFill>
                </w14:textFill>
              </w:rPr>
            </w:pPr>
            <w:r>
              <w:rPr>
                <w:rFonts w:hAnsi="Times New Roman" w:cs="Times New Roman" w:hint="eastAsia"/>
                <w:b/>
                <w:bCs/>
                <w:color w:val="000000" w:themeColor="text1"/>
                <w:sz w:val="21"/>
                <w:szCs w:val="21"/>
                <w:highlight w:val="none"/>
                <w:lang w:val="en-US" w:eastAsia="zh-CN"/>
                <w14:textFill>
                  <w14:solidFill>
                    <w14:schemeClr w14:val="tx1"/>
                  </w14:solidFill>
                </w14:textFill>
              </w:rPr>
              <w:t>表2-5 水平衡分析一览表</w:t>
            </w:r>
          </w:p>
          <w:tbl>
            <w:tblPr>
              <w:tblStyle w:val="TableGrid6"/>
              <w:tblW w:w="963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4"/>
              <w:gridCol w:w="1649"/>
              <w:gridCol w:w="1383"/>
              <w:gridCol w:w="1383"/>
              <w:gridCol w:w="1383"/>
              <w:gridCol w:w="1383"/>
              <w:gridCol w:w="1253"/>
            </w:tblGrid>
            <w:tr>
              <w:tblPrEx>
                <w:tblW w:w="963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9"/>
              </w:trPr>
              <w:tc>
                <w:tcPr>
                  <w:tcW w:w="1204" w:type="dxa"/>
                  <w:vMerge w:val="restart"/>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序号</w:t>
                  </w:r>
                </w:p>
              </w:tc>
              <w:tc>
                <w:tcPr>
                  <w:tcW w:w="1649" w:type="dxa"/>
                  <w:vMerge w:val="restart"/>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类别</w:t>
                  </w:r>
                </w:p>
              </w:tc>
              <w:tc>
                <w:tcPr>
                  <w:tcW w:w="2766" w:type="dxa"/>
                  <w:gridSpan w:val="2"/>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用水量</w:t>
                  </w:r>
                </w:p>
              </w:tc>
              <w:tc>
                <w:tcPr>
                  <w:tcW w:w="2766" w:type="dxa"/>
                  <w:gridSpan w:val="2"/>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排水量</w:t>
                  </w:r>
                </w:p>
              </w:tc>
              <w:tc>
                <w:tcPr>
                  <w:tcW w:w="1253" w:type="dxa"/>
                  <w:vMerge w:val="restart"/>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备注</w:t>
                  </w:r>
                </w:p>
              </w:tc>
            </w:tr>
            <w:tr>
              <w:tblPrEx>
                <w:tblW w:w="9638" w:type="dxa"/>
                <w:tblInd w:w="0" w:type="dxa"/>
                <w:tblLayout w:type="fixed"/>
                <w:tblCellMar>
                  <w:top w:w="0" w:type="dxa"/>
                  <w:left w:w="108" w:type="dxa"/>
                  <w:bottom w:w="0" w:type="dxa"/>
                  <w:right w:w="108" w:type="dxa"/>
                </w:tblCellMar>
              </w:tblPrEx>
              <w:trPr>
                <w:trHeight w:val="302"/>
              </w:trPr>
              <w:tc>
                <w:tcPr>
                  <w:tcW w:w="1204" w:type="dxa"/>
                  <w:vMerge/>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p>
              </w:tc>
              <w:tc>
                <w:tcPr>
                  <w:tcW w:w="1649" w:type="dxa"/>
                  <w:vMerge/>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p>
              </w:tc>
              <w:tc>
                <w:tcPr>
                  <w:tcW w:w="1383"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m</w:t>
                  </w:r>
                  <w:r>
                    <w:rPr>
                      <w:rFonts w:ascii="Times New Roman" w:hAnsi="Times New Roman" w:cs="Times New Roman" w:hint="default"/>
                      <w:b/>
                      <w:bCs/>
                      <w:color w:val="000000" w:themeColor="text1"/>
                      <w:sz w:val="21"/>
                      <w:szCs w:val="21"/>
                      <w:vertAlign w:val="superscript"/>
                      <w:lang w:val="en-US" w:eastAsia="zh-CN"/>
                      <w14:textFill>
                        <w14:solidFill>
                          <w14:schemeClr w14:val="tx1"/>
                        </w14:solidFill>
                      </w14:textFill>
                    </w:rPr>
                    <w:t>3</w:t>
                  </w:r>
                  <w:r>
                    <w:rPr>
                      <w:rFonts w:ascii="Times New Roman" w:hAnsi="Times New Roman" w:cs="Times New Roman" w:hint="default"/>
                      <w:b/>
                      <w:bCs/>
                      <w:color w:val="000000" w:themeColor="text1"/>
                      <w:sz w:val="21"/>
                      <w:szCs w:val="21"/>
                      <w:lang w:val="en-US" w:eastAsia="zh-CN"/>
                      <w14:textFill>
                        <w14:solidFill>
                          <w14:schemeClr w14:val="tx1"/>
                        </w14:solidFill>
                      </w14:textFill>
                    </w:rPr>
                    <w:t>/d</w:t>
                  </w:r>
                </w:p>
              </w:tc>
              <w:tc>
                <w:tcPr>
                  <w:tcW w:w="1383"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m</w:t>
                  </w:r>
                  <w:r>
                    <w:rPr>
                      <w:rFonts w:ascii="Times New Roman" w:hAnsi="Times New Roman" w:cs="Times New Roman" w:hint="default"/>
                      <w:b/>
                      <w:bCs/>
                      <w:color w:val="000000" w:themeColor="text1"/>
                      <w:sz w:val="21"/>
                      <w:szCs w:val="21"/>
                      <w:vertAlign w:val="superscript"/>
                      <w:lang w:val="en-US" w:eastAsia="zh-CN"/>
                      <w14:textFill>
                        <w14:solidFill>
                          <w14:schemeClr w14:val="tx1"/>
                        </w14:solidFill>
                      </w14:textFill>
                    </w:rPr>
                    <w:t>3</w:t>
                  </w:r>
                  <w:r>
                    <w:rPr>
                      <w:rFonts w:ascii="Times New Roman" w:hAnsi="Times New Roman" w:cs="Times New Roman" w:hint="default"/>
                      <w:b/>
                      <w:bCs/>
                      <w:color w:val="000000" w:themeColor="text1"/>
                      <w:sz w:val="21"/>
                      <w:szCs w:val="21"/>
                      <w:lang w:val="en-US" w:eastAsia="zh-CN"/>
                      <w14:textFill>
                        <w14:solidFill>
                          <w14:schemeClr w14:val="tx1"/>
                        </w14:solidFill>
                      </w14:textFill>
                    </w:rPr>
                    <w:t>/a</w:t>
                  </w:r>
                </w:p>
              </w:tc>
              <w:tc>
                <w:tcPr>
                  <w:tcW w:w="1383"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m</w:t>
                  </w:r>
                  <w:r>
                    <w:rPr>
                      <w:rFonts w:ascii="Times New Roman" w:hAnsi="Times New Roman" w:cs="Times New Roman" w:hint="default"/>
                      <w:b/>
                      <w:bCs/>
                      <w:color w:val="000000" w:themeColor="text1"/>
                      <w:sz w:val="21"/>
                      <w:szCs w:val="21"/>
                      <w:vertAlign w:val="superscript"/>
                      <w:lang w:val="en-US" w:eastAsia="zh-CN"/>
                      <w14:textFill>
                        <w14:solidFill>
                          <w14:schemeClr w14:val="tx1"/>
                        </w14:solidFill>
                      </w14:textFill>
                    </w:rPr>
                    <w:t>3</w:t>
                  </w:r>
                  <w:r>
                    <w:rPr>
                      <w:rFonts w:ascii="Times New Roman" w:hAnsi="Times New Roman" w:cs="Times New Roman" w:hint="default"/>
                      <w:b/>
                      <w:bCs/>
                      <w:color w:val="000000" w:themeColor="text1"/>
                      <w:sz w:val="21"/>
                      <w:szCs w:val="21"/>
                      <w:lang w:val="en-US" w:eastAsia="zh-CN"/>
                      <w14:textFill>
                        <w14:solidFill>
                          <w14:schemeClr w14:val="tx1"/>
                        </w14:solidFill>
                      </w14:textFill>
                    </w:rPr>
                    <w:t>/d</w:t>
                  </w:r>
                </w:p>
              </w:tc>
              <w:tc>
                <w:tcPr>
                  <w:tcW w:w="1383"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m</w:t>
                  </w:r>
                  <w:r>
                    <w:rPr>
                      <w:rFonts w:ascii="Times New Roman" w:hAnsi="Times New Roman" w:cs="Times New Roman" w:hint="default"/>
                      <w:b/>
                      <w:bCs/>
                      <w:color w:val="000000" w:themeColor="text1"/>
                      <w:sz w:val="21"/>
                      <w:szCs w:val="21"/>
                      <w:vertAlign w:val="superscript"/>
                      <w:lang w:val="en-US" w:eastAsia="zh-CN"/>
                      <w14:textFill>
                        <w14:solidFill>
                          <w14:schemeClr w14:val="tx1"/>
                        </w14:solidFill>
                      </w14:textFill>
                    </w:rPr>
                    <w:t>3</w:t>
                  </w:r>
                  <w:r>
                    <w:rPr>
                      <w:rFonts w:ascii="Times New Roman" w:hAnsi="Times New Roman" w:cs="Times New Roman" w:hint="default"/>
                      <w:b/>
                      <w:bCs/>
                      <w:color w:val="000000" w:themeColor="text1"/>
                      <w:sz w:val="21"/>
                      <w:szCs w:val="21"/>
                      <w:lang w:val="en-US" w:eastAsia="zh-CN"/>
                      <w14:textFill>
                        <w14:solidFill>
                          <w14:schemeClr w14:val="tx1"/>
                        </w14:solidFill>
                      </w14:textFill>
                    </w:rPr>
                    <w:t>/a</w:t>
                  </w:r>
                </w:p>
              </w:tc>
              <w:tc>
                <w:tcPr>
                  <w:tcW w:w="1253" w:type="dxa"/>
                  <w:vMerge/>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p>
              </w:tc>
            </w:tr>
            <w:tr>
              <w:tblPrEx>
                <w:tblW w:w="9638" w:type="dxa"/>
                <w:tblInd w:w="0" w:type="dxa"/>
                <w:tblLayout w:type="fixed"/>
                <w:tblCellMar>
                  <w:top w:w="0" w:type="dxa"/>
                  <w:left w:w="108" w:type="dxa"/>
                  <w:bottom w:w="0" w:type="dxa"/>
                  <w:right w:w="108" w:type="dxa"/>
                </w:tblCellMar>
              </w:tblPrEx>
              <w:trPr>
                <w:trHeight w:val="302"/>
              </w:trPr>
              <w:tc>
                <w:tcPr>
                  <w:tcW w:w="1204"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w:t>
                  </w:r>
                </w:p>
              </w:tc>
              <w:tc>
                <w:tcPr>
                  <w:tcW w:w="1649"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 xml:space="preserve">门诊废水 </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0.45</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164.25</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0.36</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131.4</w:t>
                  </w:r>
                </w:p>
              </w:tc>
              <w:tc>
                <w:tcPr>
                  <w:tcW w:w="1253" w:type="dxa"/>
                  <w:vMerge w:val="restart"/>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按365天计</w:t>
                  </w:r>
                </w:p>
              </w:tc>
            </w:tr>
            <w:tr>
              <w:tblPrEx>
                <w:tblW w:w="9638" w:type="dxa"/>
                <w:tblInd w:w="0" w:type="dxa"/>
                <w:tblLayout w:type="fixed"/>
                <w:tblCellMar>
                  <w:top w:w="0" w:type="dxa"/>
                  <w:left w:w="108" w:type="dxa"/>
                  <w:bottom w:w="0" w:type="dxa"/>
                  <w:right w:w="108" w:type="dxa"/>
                </w:tblCellMar>
              </w:tblPrEx>
              <w:trPr>
                <w:trHeight w:val="302"/>
              </w:trPr>
              <w:tc>
                <w:tcPr>
                  <w:tcW w:w="1204"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w:t>
                  </w:r>
                </w:p>
              </w:tc>
              <w:tc>
                <w:tcPr>
                  <w:tcW w:w="1649"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住院废水</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5</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1825</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4</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1460</w:t>
                  </w:r>
                </w:p>
              </w:tc>
              <w:tc>
                <w:tcPr>
                  <w:tcW w:w="1253" w:type="dxa"/>
                  <w:vMerge/>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p>
              </w:tc>
            </w:tr>
            <w:tr>
              <w:tblPrEx>
                <w:tblW w:w="9638" w:type="dxa"/>
                <w:tblInd w:w="0" w:type="dxa"/>
                <w:tblLayout w:type="fixed"/>
                <w:tblCellMar>
                  <w:top w:w="0" w:type="dxa"/>
                  <w:left w:w="108" w:type="dxa"/>
                  <w:bottom w:w="0" w:type="dxa"/>
                  <w:right w:w="108" w:type="dxa"/>
                </w:tblCellMar>
              </w:tblPrEx>
              <w:trPr>
                <w:trHeight w:val="302"/>
              </w:trPr>
              <w:tc>
                <w:tcPr>
                  <w:tcW w:w="1204"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3</w:t>
                  </w:r>
                </w:p>
              </w:tc>
              <w:tc>
                <w:tcPr>
                  <w:tcW w:w="1649"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医务人员废水</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4.25</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1551.25</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3.4</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1241</w:t>
                  </w:r>
                </w:p>
              </w:tc>
              <w:tc>
                <w:tcPr>
                  <w:tcW w:w="1253" w:type="dxa"/>
                  <w:vMerge/>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p>
              </w:tc>
            </w:tr>
          </w:tbl>
          <w:p/>
        </w:tc>
      </w:tr>
    </w:tbl>
    <w:p>
      <w:pPr>
        <w:sectPr>
          <w:footerReference w:type="default" r:id="rId21"/>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3"/>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939"/>
          <w:jc w:val="center"/>
        </w:trPr>
        <w:tc>
          <w:tcPr>
            <w:tcW w:w="420"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868"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tbl>
            <w:tblPr>
              <w:tblStyle w:val="TableGrid7"/>
              <w:tblW w:w="963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4"/>
              <w:gridCol w:w="1649"/>
              <w:gridCol w:w="1383"/>
              <w:gridCol w:w="1383"/>
              <w:gridCol w:w="1383"/>
              <w:gridCol w:w="1383"/>
              <w:gridCol w:w="1253"/>
            </w:tblGrid>
            <w:tr>
              <w:tblPrEx>
                <w:tblW w:w="963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02"/>
              </w:trPr>
              <w:tc>
                <w:tcPr>
                  <w:tcW w:w="1204"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4</w:t>
                  </w:r>
                </w:p>
              </w:tc>
              <w:tc>
                <w:tcPr>
                  <w:tcW w:w="1649"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陪护人员废水</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3.6</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1314</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2.88</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1051.2</w:t>
                  </w:r>
                </w:p>
              </w:tc>
              <w:tc>
                <w:tcPr>
                  <w:tcW w:w="125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p>
              </w:tc>
            </w:tr>
            <w:tr>
              <w:tblPrEx>
                <w:tblW w:w="9638" w:type="dxa"/>
                <w:tblInd w:w="0" w:type="dxa"/>
                <w:tblLayout w:type="fixed"/>
                <w:tblCellMar>
                  <w:top w:w="0" w:type="dxa"/>
                  <w:left w:w="108" w:type="dxa"/>
                  <w:bottom w:w="0" w:type="dxa"/>
                  <w:right w:w="108" w:type="dxa"/>
                </w:tblCellMar>
              </w:tblPrEx>
              <w:trPr>
                <w:trHeight w:val="312"/>
              </w:trPr>
              <w:tc>
                <w:tcPr>
                  <w:tcW w:w="1204" w:type="dxa"/>
                  <w:vAlign w:val="center"/>
                </w:tcPr>
                <w:p>
                  <w:pPr>
                    <w:bidi w:val="0"/>
                    <w:jc w:val="center"/>
                    <w:rPr>
                      <w:rFonts w:ascii="Times New Roman" w:hAnsi="Times New Roman" w:cs="Times New Roman" w:hint="default"/>
                      <w:b w:val="0"/>
                      <w:bCs w:val="0"/>
                      <w:color w:val="000000" w:themeColor="text1"/>
                      <w:szCs w:val="21"/>
                      <w14:textFill>
                        <w14:solidFill>
                          <w14:schemeClr w14:val="tx1"/>
                        </w14:solidFill>
                      </w14:textFill>
                    </w:rPr>
                  </w:pPr>
                  <w:r>
                    <w:rPr>
                      <w:rFonts w:ascii="Times New Roman" w:hAnsi="Times New Roman" w:cs="Times New Roman" w:hint="default"/>
                      <w:b w:val="0"/>
                      <w:bCs w:val="0"/>
                      <w:color w:val="000000" w:themeColor="text1"/>
                      <w:sz w:val="21"/>
                      <w:szCs w:val="21"/>
                      <w:lang w:val="en-US" w:eastAsia="zh-CN"/>
                      <w14:textFill>
                        <w14:solidFill>
                          <w14:schemeClr w14:val="tx1"/>
                        </w14:solidFill>
                      </w14:textFill>
                    </w:rPr>
                    <w:t>5</w:t>
                  </w:r>
                </w:p>
              </w:tc>
              <w:tc>
                <w:tcPr>
                  <w:tcW w:w="1649" w:type="dxa"/>
                  <w:vAlign w:val="center"/>
                </w:tcPr>
                <w:p>
                  <w:pPr>
                    <w:bidi w:val="0"/>
                    <w:jc w:val="center"/>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生活污水</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0.4</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100</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0.32</w:t>
                  </w:r>
                </w:p>
              </w:tc>
              <w:tc>
                <w:tcPr>
                  <w:tcW w:w="138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80</w:t>
                  </w:r>
                </w:p>
              </w:tc>
              <w:tc>
                <w:tcPr>
                  <w:tcW w:w="125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按250天计</w:t>
                  </w:r>
                </w:p>
              </w:tc>
            </w:tr>
            <w:tr>
              <w:tblPrEx>
                <w:tblW w:w="9638" w:type="dxa"/>
                <w:tblInd w:w="0" w:type="dxa"/>
                <w:tblLayout w:type="fixed"/>
                <w:tblCellMar>
                  <w:top w:w="0" w:type="dxa"/>
                  <w:left w:w="108" w:type="dxa"/>
                  <w:bottom w:w="0" w:type="dxa"/>
                  <w:right w:w="108" w:type="dxa"/>
                </w:tblCellMar>
              </w:tblPrEx>
              <w:trPr>
                <w:trHeight w:val="312"/>
              </w:trPr>
              <w:tc>
                <w:tcPr>
                  <w:tcW w:w="2853" w:type="dxa"/>
                  <w:gridSpan w:val="2"/>
                  <w:vAlign w:val="center"/>
                </w:tcPr>
                <w:p>
                  <w:pPr>
                    <w:bidi w:val="0"/>
                    <w:jc w:val="center"/>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eastAsia"/>
                      <w:b w:val="0"/>
                      <w:bCs w:val="0"/>
                      <w:color w:val="000000" w:themeColor="text1"/>
                      <w:sz w:val="21"/>
                      <w:szCs w:val="21"/>
                      <w:highlight w:val="none"/>
                      <w:lang w:val="en-US" w:eastAsia="zh-CN"/>
                      <w14:textFill>
                        <w14:solidFill>
                          <w14:schemeClr w14:val="tx1"/>
                        </w14:solidFill>
                      </w14:textFill>
                    </w:rPr>
                    <w:t>合计</w:t>
                  </w:r>
                </w:p>
              </w:tc>
              <w:tc>
                <w:tcPr>
                  <w:tcW w:w="1383" w:type="dxa"/>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u w:val="none"/>
                      <w:lang w:val="en-US" w:eastAsia="zh-CN" w:bidi="ar"/>
                      <w14:textFill>
                        <w14:solidFill>
                          <w14:schemeClr w14:val="tx1"/>
                        </w14:solidFill>
                      </w14:textFill>
                    </w:rPr>
                    <w:t>13.7</w:t>
                  </w:r>
                </w:p>
              </w:tc>
              <w:tc>
                <w:tcPr>
                  <w:tcW w:w="1383" w:type="dxa"/>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u w:val="none"/>
                      <w:lang w:val="en-US" w:eastAsia="zh-CN" w:bidi="ar"/>
                      <w14:textFill>
                        <w14:solidFill>
                          <w14:schemeClr w14:val="tx1"/>
                        </w14:solidFill>
                      </w14:textFill>
                    </w:rPr>
                    <w:t>4954.5</w:t>
                  </w:r>
                </w:p>
              </w:tc>
              <w:tc>
                <w:tcPr>
                  <w:tcW w:w="1383" w:type="dxa"/>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u w:val="none"/>
                      <w:lang w:val="en-US" w:eastAsia="zh-CN" w:bidi="ar"/>
                      <w14:textFill>
                        <w14:solidFill>
                          <w14:schemeClr w14:val="tx1"/>
                        </w14:solidFill>
                      </w14:textFill>
                    </w:rPr>
                    <w:t>10.96</w:t>
                  </w:r>
                </w:p>
              </w:tc>
              <w:tc>
                <w:tcPr>
                  <w:tcW w:w="1383" w:type="dxa"/>
                  <w:vAlign w:val="center"/>
                </w:tcPr>
                <w:p>
                  <w:pPr>
                    <w:keepNext w:val="0"/>
                    <w:keepLines w:val="0"/>
                    <w:widowControl/>
                    <w:suppressLineNumbers w:val="0"/>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u w:val="none"/>
                      <w:lang w:val="en-US" w:eastAsia="zh-CN" w:bidi="ar"/>
                      <w14:textFill>
                        <w14:solidFill>
                          <w14:schemeClr w14:val="tx1"/>
                        </w14:solidFill>
                      </w14:textFill>
                    </w:rPr>
                    <w:t>3963.6</w:t>
                  </w:r>
                </w:p>
              </w:tc>
              <w:tc>
                <w:tcPr>
                  <w:tcW w:w="125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eastAsia"/>
                      <w:color w:val="000000" w:themeColor="text1"/>
                      <w:sz w:val="21"/>
                      <w:szCs w:val="21"/>
                      <w:lang w:val="en-US" w:eastAsia="zh-CN"/>
                      <w14:textFill>
                        <w14:solidFill>
                          <w14:schemeClr w14:val="tx1"/>
                        </w14:solidFill>
                      </w14:textFill>
                    </w:rPr>
                    <w:t>/</w:t>
                  </w:r>
                </w:p>
              </w:tc>
            </w:tr>
          </w:tbl>
          <w:p>
            <w:pPr>
              <w:pStyle w:val="BodyTextFirstIndent2"/>
              <w:ind w:left="0" w:firstLine="0" w:leftChars="0"/>
              <w:jc w:val="center"/>
              <w:rPr>
                <w:rFonts w:hint="eastAsia"/>
                <w:b/>
                <w:bCs/>
                <w:color w:themeColor="text1"/>
                <w:szCs w:val="24"/>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1819275</wp:posOffset>
                      </wp:positionH>
                      <wp:positionV relativeFrom="paragraph">
                        <wp:posOffset>266065</wp:posOffset>
                      </wp:positionV>
                      <wp:extent cx="598170" cy="289560"/>
                      <wp:effectExtent l="0" t="0" r="0" b="0"/>
                      <wp:wrapNone/>
                      <wp:docPr id="536" name="文本框 536"/>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0.09</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536" o:spid="_x0000_s1025" type="#_x0000_t202" style="width:47.1pt;height:22.8pt;margin-top:20.95pt;margin-left:143.25pt;mso-wrap-distance-bottom:0;mso-wrap-distance-left:9pt;mso-wrap-distance-right:9pt;mso-wrap-distance-top:0;position:absolute;v-text-anchor:top;z-index:251742208"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0.09</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2282190</wp:posOffset>
                      </wp:positionH>
                      <wp:positionV relativeFrom="paragraph">
                        <wp:posOffset>526415</wp:posOffset>
                      </wp:positionV>
                      <wp:extent cx="598170" cy="289560"/>
                      <wp:effectExtent l="0" t="0" r="0" b="0"/>
                      <wp:wrapNone/>
                      <wp:docPr id="526" name="文本框 526"/>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0.36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6" o:spid="_x0000_s1026" type="#_x0000_t202" style="width:47.1pt;height:22.8pt;margin-top:41.45pt;margin-left:179.7pt;mso-wrap-distance-bottom:0;mso-wrap-distance-left:9pt;mso-wrap-distance-right:9pt;mso-wrap-distance-top:0;position:absolute;v-text-anchor:top;z-index:251721728"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0.36</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845185</wp:posOffset>
                      </wp:positionH>
                      <wp:positionV relativeFrom="paragraph">
                        <wp:posOffset>506730</wp:posOffset>
                      </wp:positionV>
                      <wp:extent cx="598170" cy="289560"/>
                      <wp:effectExtent l="0" t="0" r="0" b="0"/>
                      <wp:wrapNone/>
                      <wp:docPr id="525" name="文本框 525"/>
                      <wp:cNvGraphicFramePr/>
                      <a:graphic xmlns:a="http://schemas.openxmlformats.org/drawingml/2006/main">
                        <a:graphicData uri="http://schemas.microsoft.com/office/word/2010/wordprocessingShape">
                          <wps:wsp xmlns:wps="http://schemas.microsoft.com/office/word/2010/wordprocessingShape">
                            <wps:cNvSpPr txBox="1"/>
                            <wps:spPr>
                              <a:xfrm>
                                <a:off x="1740535" y="141097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default"/>
                                      <w:lang w:val="en-US" w:eastAsia="zh-CN"/>
                                    </w:rPr>
                                    <w:t>0.45</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5" o:spid="_x0000_s1027" type="#_x0000_t202" style="width:47.1pt;height:22.8pt;margin-top:39.9pt;margin-left:66.55pt;mso-wrap-distance-bottom:0;mso-wrap-distance-left:9pt;mso-wrap-distance-right:9pt;mso-wrap-distance-top:0;position:absolute;v-text-anchor:top;z-index:251717632" filled="f" fillcolor="this" stroked="f" strokeweight="0.5pt">
                      <v:textbox>
                        <w:txbxContent>
                          <w:p>
                            <w:pPr>
                              <w:rPr>
                                <w:rFonts w:ascii="Times New Roman" w:hAnsi="Times New Roman" w:cs="Times New Roman" w:hint="default"/>
                              </w:rPr>
                            </w:pPr>
                            <w:r>
                              <w:rPr>
                                <w:rFonts w:ascii="Times New Roman" w:hAnsi="Times New Roman" w:cs="Times New Roman" w:hint="default"/>
                                <w:lang w:val="en-US" w:eastAsia="zh-CN"/>
                              </w:rPr>
                              <w:t>0.45</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1824355</wp:posOffset>
                      </wp:positionH>
                      <wp:positionV relativeFrom="paragraph">
                        <wp:posOffset>497840</wp:posOffset>
                      </wp:positionV>
                      <wp:extent cx="107315" cy="128270"/>
                      <wp:effectExtent l="5080" t="14605" r="3810" b="0"/>
                      <wp:wrapNone/>
                      <wp:docPr id="501" name="曲线连接符 501"/>
                      <wp:cNvGraphicFramePr/>
                      <a:graphic xmlns:a="http://schemas.openxmlformats.org/drawingml/2006/main">
                        <a:graphicData uri="http://schemas.microsoft.com/office/word/2010/wordprocessingShape">
                          <wps:wsp xmlns:wps="http://schemas.microsoft.com/office/word/2010/wordprocessingShape">
                            <wps:cNvCnPr/>
                            <wps:spPr>
                              <a:xfrm rot="16200000">
                                <a:off x="0" y="0"/>
                                <a:ext cx="107315" cy="128270"/>
                              </a:xfrm>
                              <a:prstGeom prst="curvedConnector2">
                                <a:avLst/>
                              </a:prstGeom>
                              <a:ln w="9525">
                                <a:solidFill>
                                  <a:srgbClr val="000000"/>
                                </a:solidFill>
                                <a:prstDash val="solid"/>
                                <a:headEnd/>
                                <a:tailEnd type="triangle"/>
                              </a:ln>
                            </wps:spPr>
                            <wps:bodyPr/>
                          </wps:wsp>
                        </a:graphicData>
                      </a:graphic>
                    </wp:anchor>
                  </w:drawing>
                </mc:Choice>
                <mc:Fallback>
                  <w:pict>
                    <v:shapetype id="_x0000_t37" coordsize="21600,21600" o:spt="37" o:oned="t" path="m,c10800,,21600,10800,21600,21600e" filled="f">
                      <v:path arrowok="t" fillok="f" o:connecttype="none"/>
                      <o:lock v:ext="edit" shapetype="t"/>
                    </v:shapetype>
                    <v:shape id="曲线连接符 501" o:spid="_x0000_s1028" type="#_x0000_t37" style="width:8.45pt;height:10.1pt;margin-top:39.2pt;margin-left:143.65pt;mso-wrap-distance-bottom:0;mso-wrap-distance-left:9pt;mso-wrap-distance-right:9pt;mso-wrap-distance-top:0;position:absolute;rotation:270;v-text-anchor:top;z-index:251682816" fillcolor="this" stroked="t" strokecolor="black" strokeweight="0.75pt">
                      <v:stroke endarrow="block"/>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1455420</wp:posOffset>
                      </wp:positionH>
                      <wp:positionV relativeFrom="paragraph">
                        <wp:posOffset>621665</wp:posOffset>
                      </wp:positionV>
                      <wp:extent cx="756285" cy="273050"/>
                      <wp:effectExtent l="4445" t="4445" r="16510" b="12065"/>
                      <wp:wrapNone/>
                      <wp:docPr id="495" name="文本框 495"/>
                      <wp:cNvGraphicFramePr/>
                      <a:graphic xmlns:a="http://schemas.openxmlformats.org/drawingml/2006/main">
                        <a:graphicData uri="http://schemas.microsoft.com/office/word/2010/wordprocessingShape">
                          <wps:wsp xmlns:wps="http://schemas.microsoft.com/office/word/2010/wordprocessingShape">
                            <wps:cNvSpPr txBox="1"/>
                            <wps:spPr>
                              <a:xfrm>
                                <a:off x="0" y="0"/>
                                <a:ext cx="756285" cy="273050"/>
                              </a:xfrm>
                              <a:prstGeom prst="rect">
                                <a:avLst/>
                              </a:prstGeom>
                              <a:solidFill>
                                <a:srgbClr val="FFFFFF"/>
                              </a:solidFill>
                              <a:ln w="6350">
                                <a:solidFill>
                                  <a:prstClr val="black"/>
                                </a:solidFill>
                              </a:ln>
                              <a:effectLst/>
                            </wps:spPr>
                            <wps:txbx>
                              <w:txbxContent>
                                <w:p>
                                  <w:pPr>
                                    <w:jc w:val="center"/>
                                  </w:pPr>
                                  <w:r>
                                    <w:rPr>
                                      <w:rFonts w:hint="eastAsia"/>
                                    </w:rPr>
                                    <w:t>门诊用水</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95" o:spid="_x0000_s1029" type="#_x0000_t202" style="width:59.55pt;height:21.5pt;margin-top:48.95pt;margin-left:114.6pt;mso-wrap-distance-bottom:0;mso-wrap-distance-left:9pt;mso-wrap-distance-right:9pt;mso-wrap-distance-top:0;position:absolute;v-text-anchor:top;z-index:251672576" fillcolor="white" stroked="t" strokecolor="black" strokeweight="0.5pt">
                      <v:textbox>
                        <w:txbxContent>
                          <w:p>
                            <w:pPr>
                              <w:jc w:val="center"/>
                            </w:pPr>
                            <w:r>
                              <w:rPr>
                                <w:rFonts w:hint="eastAsia"/>
                              </w:rPr>
                              <w:t>门诊用水</w:t>
                            </w:r>
                          </w:p>
                        </w:txbxContent>
                      </v:textbox>
                    </v:shape>
                  </w:pict>
                </mc:Fallback>
              </mc:AlternateContent>
            </w:r>
          </w:p>
          <w:p>
            <w:pPr>
              <w:spacing w:after="0"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2197735</wp:posOffset>
                      </wp:positionH>
                      <wp:positionV relativeFrom="paragraph">
                        <wp:posOffset>133350</wp:posOffset>
                      </wp:positionV>
                      <wp:extent cx="13970" cy="3229610"/>
                      <wp:effectExtent l="0" t="5080" r="763270" b="11430"/>
                      <wp:wrapNone/>
                      <wp:docPr id="510" name="肘形连接符 510"/>
                      <wp:cNvGraphicFramePr/>
                      <a:graphic xmlns:a="http://schemas.openxmlformats.org/drawingml/2006/main">
                        <a:graphicData uri="http://schemas.microsoft.com/office/word/2010/wordprocessingShape">
                          <wps:wsp xmlns:wps="http://schemas.microsoft.com/office/word/2010/wordprocessingShape">
                            <wps:cNvCnPr>
                              <a:stCxn id="495" idx="3"/>
                              <a:endCxn id="500" idx="3"/>
                            </wps:cNvCnPr>
                            <wps:spPr>
                              <a:xfrm flipH="1">
                                <a:off x="3150235" y="1682115"/>
                                <a:ext cx="13970" cy="3229610"/>
                              </a:xfrm>
                              <a:prstGeom prst="bentConnector3">
                                <a:avLst>
                                  <a:gd name="adj1" fmla="val -5409090"/>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510" o:spid="_x0000_s1030" type="#_x0000_t34" style="width:1.1pt;height:254.3pt;margin-top:10.5pt;margin-left:173.05pt;flip:x;mso-wrap-distance-bottom:0;mso-wrap-distance-left:9pt;mso-wrap-distance-right:9pt;mso-wrap-distance-top:0;position:absolute;v-text-anchor:top;z-index:251693056" adj="-1168363" fillcolor="this" stroked="t" strokecolor="black" strokeweight="0.5pt"/>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810260</wp:posOffset>
                      </wp:positionH>
                      <wp:positionV relativeFrom="paragraph">
                        <wp:posOffset>137160</wp:posOffset>
                      </wp:positionV>
                      <wp:extent cx="640080" cy="0"/>
                      <wp:effectExtent l="0" t="38100" r="0" b="38100"/>
                      <wp:wrapNone/>
                      <wp:docPr id="489" name="直接箭头连接符 489"/>
                      <wp:cNvGraphicFramePr/>
                      <a:graphic xmlns:a="http://schemas.openxmlformats.org/drawingml/2006/main">
                        <a:graphicData uri="http://schemas.microsoft.com/office/word/2010/wordprocessingShape">
                          <wps:wsp xmlns:wps="http://schemas.microsoft.com/office/word/2010/wordprocessingShape">
                            <wps:cNvCnPr/>
                            <wps:spPr>
                              <a:xfrm>
                                <a:off x="0" y="0"/>
                                <a:ext cx="64008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489" o:spid="_x0000_s1031" type="#_x0000_t32" style="width:50.4pt;height:0;margin-top:10.8pt;margin-left:63.8pt;mso-wrap-distance-bottom:0;mso-wrap-distance-left:9pt;mso-wrap-distance-right:9pt;mso-wrap-distance-top:0;position:absolute;v-text-anchor:top;z-index:251662336" fillcolor="this" stroked="t" strokecolor="black" strokeweight="0.5pt">
                      <v:stroke endarrow="block"/>
                    </v:shape>
                  </w:pict>
                </mc:Fallback>
              </mc:AlternateContent>
            </w:r>
            <w:r>
              <w:rPr>
                <w:color w:val="000000" w:themeColor="text1"/>
                <w:sz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812800</wp:posOffset>
                      </wp:positionH>
                      <wp:positionV relativeFrom="paragraph">
                        <wp:posOffset>111760</wp:posOffset>
                      </wp:positionV>
                      <wp:extent cx="0" cy="3279775"/>
                      <wp:effectExtent l="4445" t="0" r="10795" b="12065"/>
                      <wp:wrapNone/>
                      <wp:docPr id="488" name="直接连接符 488"/>
                      <wp:cNvGraphicFramePr/>
                      <a:graphic xmlns:a="http://schemas.openxmlformats.org/drawingml/2006/main">
                        <a:graphicData uri="http://schemas.microsoft.com/office/word/2010/wordprocessingShape">
                          <wps:wsp xmlns:wps="http://schemas.microsoft.com/office/word/2010/wordprocessingShape">
                            <wps:cNvCnPr/>
                            <wps:spPr>
                              <a:xfrm>
                                <a:off x="1654810" y="1262380"/>
                                <a:ext cx="0" cy="32797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88" o:spid="_x0000_s1032" style="mso-wrap-distance-bottom:0;mso-wrap-distance-left:9pt;mso-wrap-distance-right:9pt;mso-wrap-distance-top:0;position:absolute;v-text-anchor:top;z-index:251660288" from="64pt,8.8pt" to="64pt,267.05pt" fillcolor="this" stroked="t" strokecolor="black" strokeweight="0.5pt"/>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1925955</wp:posOffset>
                      </wp:positionH>
                      <wp:positionV relativeFrom="paragraph">
                        <wp:posOffset>262890</wp:posOffset>
                      </wp:positionV>
                      <wp:extent cx="598170" cy="289560"/>
                      <wp:effectExtent l="0" t="0" r="0" b="0"/>
                      <wp:wrapNone/>
                      <wp:docPr id="537" name="文本框 537"/>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7" o:spid="_x0000_s1033" type="#_x0000_t202" style="width:47.1pt;height:22.8pt;margin-top:20.7pt;margin-left:151.65pt;mso-wrap-distance-bottom:0;mso-wrap-distance-left:9pt;mso-wrap-distance-right:9pt;mso-wrap-distance-top:0;position:absolute;v-text-anchor:top;z-index:251744256"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1</w:t>
                            </w:r>
                          </w:p>
                        </w:txbxContent>
                      </v:textbox>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848995</wp:posOffset>
                      </wp:positionH>
                      <wp:positionV relativeFrom="paragraph">
                        <wp:posOffset>243205</wp:posOffset>
                      </wp:positionV>
                      <wp:extent cx="598170" cy="289560"/>
                      <wp:effectExtent l="0" t="0" r="0" b="0"/>
                      <wp:wrapNone/>
                      <wp:docPr id="529" name="文本框 529"/>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9" o:spid="_x0000_s1034" type="#_x0000_t202" style="width:47.1pt;height:22.8pt;margin-top:19.15pt;margin-left:66.85pt;mso-wrap-distance-bottom:0;mso-wrap-distance-left:9pt;mso-wrap-distance-right:9pt;mso-wrap-distance-top:0;position:absolute;v-text-anchor:top;z-index:251727872"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5</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2268855</wp:posOffset>
                      </wp:positionH>
                      <wp:positionV relativeFrom="paragraph">
                        <wp:posOffset>235585</wp:posOffset>
                      </wp:positionV>
                      <wp:extent cx="598170" cy="289560"/>
                      <wp:effectExtent l="0" t="0" r="0" b="0"/>
                      <wp:wrapNone/>
                      <wp:docPr id="528" name="文本框 528"/>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8" o:spid="_x0000_s1035" type="#_x0000_t202" style="width:47.1pt;height:22.8pt;margin-top:18.55pt;margin-left:178.65pt;mso-wrap-distance-bottom:0;mso-wrap-distance-left:9pt;mso-wrap-distance-right:9pt;mso-wrap-distance-top:0;position:absolute;v-text-anchor:top;z-index:251725824"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4</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92032" behindDoc="0" locked="0" layoutInCell="1" allowOverlap="1">
                      <wp:simplePos x="0" y="0"/>
                      <wp:positionH relativeFrom="column">
                        <wp:posOffset>1867535</wp:posOffset>
                      </wp:positionH>
                      <wp:positionV relativeFrom="paragraph">
                        <wp:posOffset>192405</wp:posOffset>
                      </wp:positionV>
                      <wp:extent cx="107315" cy="128270"/>
                      <wp:effectExtent l="5080" t="14605" r="3810" b="0"/>
                      <wp:wrapNone/>
                      <wp:docPr id="505" name="曲线连接符 505"/>
                      <wp:cNvGraphicFramePr/>
                      <a:graphic xmlns:a="http://schemas.openxmlformats.org/drawingml/2006/main">
                        <a:graphicData uri="http://schemas.microsoft.com/office/word/2010/wordprocessingShape">
                          <wps:wsp xmlns:wps="http://schemas.microsoft.com/office/word/2010/wordprocessingShape">
                            <wps:cNvCnPr/>
                            <wps:spPr>
                              <a:xfrm rot="16200000">
                                <a:off x="0" y="0"/>
                                <a:ext cx="107315" cy="128270"/>
                              </a:xfrm>
                              <a:prstGeom prst="curvedConnector2">
                                <a:avLst/>
                              </a:prstGeom>
                              <a:ln w="9525">
                                <a:solidFill>
                                  <a:srgbClr val="000000"/>
                                </a:solidFill>
                                <a:prstDash val="solid"/>
                                <a:headEnd/>
                                <a:tailEnd type="triangle"/>
                              </a:ln>
                            </wps:spPr>
                            <wps:bodyPr/>
                          </wps:wsp>
                        </a:graphicData>
                      </a:graphic>
                    </wp:anchor>
                  </w:drawing>
                </mc:Choice>
                <mc:Fallback>
                  <w:pict>
                    <v:shape id="曲线连接符 505" o:spid="_x0000_s1036" type="#_x0000_t37" style="width:8.45pt;height:10.1pt;margin-top:15.15pt;margin-left:147.05pt;mso-wrap-distance-bottom:0;mso-wrap-distance-left:9pt;mso-wrap-distance-right:9pt;mso-wrap-distance-top:0;position:absolute;rotation:270;v-text-anchor:top;z-index:251691008" fillcolor="this" stroked="t" strokecolor="black" strokeweight="0.7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2220595</wp:posOffset>
                      </wp:positionH>
                      <wp:positionV relativeFrom="paragraph">
                        <wp:posOffset>184150</wp:posOffset>
                      </wp:positionV>
                      <wp:extent cx="742315" cy="3175"/>
                      <wp:effectExtent l="0" t="35560" r="4445" b="37465"/>
                      <wp:wrapNone/>
                      <wp:docPr id="512" name="直接箭头连接符 512"/>
                      <wp:cNvGraphicFramePr/>
                      <a:graphic xmlns:a="http://schemas.openxmlformats.org/drawingml/2006/main">
                        <a:graphicData uri="http://schemas.microsoft.com/office/word/2010/wordprocessingShape">
                          <wps:wsp xmlns:wps="http://schemas.microsoft.com/office/word/2010/wordprocessingShape">
                            <wps:cNvCnPr/>
                            <wps:spPr>
                              <a:xfrm>
                                <a:off x="0" y="0"/>
                                <a:ext cx="742315" cy="3175"/>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512" o:spid="_x0000_s1037" type="#_x0000_t32" style="width:58.45pt;height:0.25pt;margin-top:14.5pt;margin-left:174.85pt;mso-wrap-distance-bottom:0;mso-wrap-distance-left:9pt;mso-wrap-distance-right:9pt;mso-wrap-distance-top:0;position:absolute;v-text-anchor:top;z-index:251697152" fillcolor="this" stroked="t" strokecolor="black" strokeweight="0.5pt">
                      <v:stroke endarrow="block"/>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1464310</wp:posOffset>
                      </wp:positionH>
                      <wp:positionV relativeFrom="paragraph">
                        <wp:posOffset>41275</wp:posOffset>
                      </wp:positionV>
                      <wp:extent cx="756285" cy="288925"/>
                      <wp:effectExtent l="4445" t="4445" r="16510" b="11430"/>
                      <wp:wrapNone/>
                      <wp:docPr id="496" name="文本框 496"/>
                      <wp:cNvGraphicFramePr/>
                      <a:graphic xmlns:a="http://schemas.openxmlformats.org/drawingml/2006/main">
                        <a:graphicData uri="http://schemas.microsoft.com/office/word/2010/wordprocessingShape">
                          <wps:wsp xmlns:wps="http://schemas.microsoft.com/office/word/2010/wordprocessingShape">
                            <wps:cNvSpPr txBox="1"/>
                            <wps:spPr>
                              <a:xfrm>
                                <a:off x="0" y="0"/>
                                <a:ext cx="756285" cy="288925"/>
                              </a:xfrm>
                              <a:prstGeom prst="rect">
                                <a:avLst/>
                              </a:prstGeom>
                              <a:solidFill>
                                <a:srgbClr val="FFFFFF"/>
                              </a:solidFill>
                              <a:ln w="6350">
                                <a:solidFill>
                                  <a:prstClr val="black"/>
                                </a:solidFill>
                              </a:ln>
                              <a:effectLst/>
                            </wps:spPr>
                            <wps:txbx>
                              <w:txbxContent>
                                <w:p>
                                  <w:pPr>
                                    <w:jc w:val="center"/>
                                  </w:pPr>
                                  <w:r>
                                    <w:rPr>
                                      <w:rFonts w:hint="eastAsia"/>
                                    </w:rPr>
                                    <w:t>住院用水</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96" o:spid="_x0000_s1038" type="#_x0000_t202" style="width:59.55pt;height:22.75pt;margin-top:3.25pt;margin-left:115.3pt;mso-wrap-distance-bottom:0;mso-wrap-distance-left:9pt;mso-wrap-distance-right:9pt;mso-wrap-distance-top:0;position:absolute;v-text-anchor:top;z-index:251674624" fillcolor="white" stroked="t" strokecolor="black" strokeweight="0.5pt">
                      <v:textbox>
                        <w:txbxContent>
                          <w:p>
                            <w:pPr>
                              <w:jc w:val="center"/>
                            </w:pPr>
                            <w:r>
                              <w:rPr>
                                <w:rFonts w:hint="eastAsia"/>
                              </w:rPr>
                              <w:t>住院用水</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814705</wp:posOffset>
                      </wp:positionH>
                      <wp:positionV relativeFrom="paragraph">
                        <wp:posOffset>189865</wp:posOffset>
                      </wp:positionV>
                      <wp:extent cx="640080" cy="0"/>
                      <wp:effectExtent l="0" t="38100" r="0" b="38100"/>
                      <wp:wrapNone/>
                      <wp:docPr id="493" name="直接箭头连接符 493"/>
                      <wp:cNvGraphicFramePr/>
                      <a:graphic xmlns:a="http://schemas.openxmlformats.org/drawingml/2006/main">
                        <a:graphicData uri="http://schemas.microsoft.com/office/word/2010/wordprocessingShape">
                          <wps:wsp xmlns:wps="http://schemas.microsoft.com/office/word/2010/wordprocessingShape">
                            <wps:cNvCnPr/>
                            <wps:spPr>
                              <a:xfrm>
                                <a:off x="0" y="0"/>
                                <a:ext cx="64008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93" o:spid="_x0000_s1039" type="#_x0000_t32" style="width:50.4pt;height:0;margin-top:14.95pt;margin-left:64.15pt;mso-wrap-distance-bottom:0;mso-wrap-distance-left:9pt;mso-wrap-distance-right:9pt;mso-wrap-distance-top:0;position:absolute;v-text-anchor:top;z-index:251670528" fillcolor="this" stroked="t" strokecolor="black" strokeweight="0.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1974215</wp:posOffset>
                      </wp:positionH>
                      <wp:positionV relativeFrom="paragraph">
                        <wp:posOffset>250190</wp:posOffset>
                      </wp:positionV>
                      <wp:extent cx="598170" cy="289560"/>
                      <wp:effectExtent l="0" t="0" r="0" b="0"/>
                      <wp:wrapNone/>
                      <wp:docPr id="538" name="文本框 538"/>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0.85</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8" o:spid="_x0000_s1040" type="#_x0000_t202" style="width:47.1pt;height:22.8pt;margin-top:19.7pt;margin-left:155.45pt;mso-wrap-distance-bottom:0;mso-wrap-distance-left:9pt;mso-wrap-distance-right:9pt;mso-wrap-distance-top:0;position:absolute;v-text-anchor:top;z-index:251746304"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0.85</w:t>
                            </w:r>
                          </w:p>
                        </w:txbxContent>
                      </v:textbox>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4346575</wp:posOffset>
                      </wp:positionH>
                      <wp:positionV relativeFrom="paragraph">
                        <wp:posOffset>198120</wp:posOffset>
                      </wp:positionV>
                      <wp:extent cx="598170" cy="289560"/>
                      <wp:effectExtent l="0" t="0" r="0" b="0"/>
                      <wp:wrapNone/>
                      <wp:docPr id="542" name="文本框 542"/>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10.96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42" o:spid="_x0000_s1041" type="#_x0000_t202" style="width:47.1pt;height:22.8pt;margin-top:15.6pt;margin-left:342.25pt;mso-wrap-distance-bottom:0;mso-wrap-distance-left:9pt;mso-wrap-distance-right:9pt;mso-wrap-distance-top:0;position:absolute;v-text-anchor:top;z-index:251752448"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10.96</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2919095</wp:posOffset>
                      </wp:positionH>
                      <wp:positionV relativeFrom="paragraph">
                        <wp:posOffset>178435</wp:posOffset>
                      </wp:positionV>
                      <wp:extent cx="598170" cy="289560"/>
                      <wp:effectExtent l="0" t="0" r="0" b="0"/>
                      <wp:wrapNone/>
                      <wp:docPr id="535" name="文本框 535"/>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10.96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5" o:spid="_x0000_s1042" type="#_x0000_t202" style="width:47.1pt;height:22.8pt;margin-top:14.05pt;margin-left:229.85pt;mso-wrap-distance-bottom:0;mso-wrap-distance-left:9pt;mso-wrap-distance-right:9pt;mso-wrap-distance-top:0;position:absolute;v-text-anchor:top;z-index:251740160"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10.96</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2427605</wp:posOffset>
                      </wp:positionH>
                      <wp:positionV relativeFrom="paragraph">
                        <wp:posOffset>207645</wp:posOffset>
                      </wp:positionV>
                      <wp:extent cx="598170" cy="289560"/>
                      <wp:effectExtent l="0" t="0" r="0" b="0"/>
                      <wp:wrapNone/>
                      <wp:docPr id="530" name="文本框 530"/>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3.4</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0" o:spid="_x0000_s1043" type="#_x0000_t202" style="width:47.1pt;height:22.8pt;margin-top:16.35pt;margin-left:191.15pt;mso-wrap-distance-bottom:0;mso-wrap-distance-left:9pt;mso-wrap-distance-right:9pt;mso-wrap-distance-top:0;position:absolute;v-text-anchor:top;z-index:251729920"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3.4</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814070</wp:posOffset>
                      </wp:positionH>
                      <wp:positionV relativeFrom="paragraph">
                        <wp:posOffset>176530</wp:posOffset>
                      </wp:positionV>
                      <wp:extent cx="598170" cy="289560"/>
                      <wp:effectExtent l="0" t="0" r="0" b="0"/>
                      <wp:wrapNone/>
                      <wp:docPr id="527" name="文本框 5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4.25</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7" o:spid="_x0000_s1044" type="#_x0000_t202" style="width:47.1pt;height:22.8pt;margin-top:13.9pt;margin-left:64.1pt;mso-wrap-distance-bottom:0;mso-wrap-distance-left:9pt;mso-wrap-distance-right:9pt;mso-wrap-distance-top:0;position:absolute;v-text-anchor:top;z-index:251723776"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4.25</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20704" behindDoc="1" locked="0" layoutInCell="1" allowOverlap="1">
                      <wp:simplePos x="0" y="0"/>
                      <wp:positionH relativeFrom="column">
                        <wp:posOffset>50800</wp:posOffset>
                      </wp:positionH>
                      <wp:positionV relativeFrom="paragraph">
                        <wp:posOffset>126365</wp:posOffset>
                      </wp:positionV>
                      <wp:extent cx="768350" cy="629285"/>
                      <wp:effectExtent l="0" t="0" r="0" b="0"/>
                      <wp:wrapNone/>
                      <wp:docPr id="522" name="文本框 522"/>
                      <wp:cNvGraphicFramePr/>
                      <a:graphic xmlns:a="http://schemas.openxmlformats.org/drawingml/2006/main">
                        <a:graphicData uri="http://schemas.microsoft.com/office/word/2010/wordprocessingShape">
                          <wps:wsp xmlns:wps="http://schemas.microsoft.com/office/word/2010/wordprocessingShape">
                            <wps:cNvSpPr txBox="1"/>
                            <wps:spPr>
                              <a:xfrm>
                                <a:off x="0" y="0"/>
                                <a:ext cx="768350" cy="629285"/>
                              </a:xfrm>
                              <a:prstGeom prst="rect">
                                <a:avLst/>
                              </a:prstGeom>
                              <a:noFill/>
                              <a:ln>
                                <a:noFill/>
                              </a:ln>
                            </wps:spPr>
                            <wps:txbx>
                              <w:txbxContent>
                                <w:p>
                                  <w:pPr>
                                    <w:pStyle w:val="Default"/>
                                    <w:spacing w:line="360" w:lineRule="auto"/>
                                    <w:jc w:val="center"/>
                                    <w:rPr>
                                      <w:rFonts w:ascii="Times New Roman" w:hAnsi="Times New Roman" w:cs="Times New Roman" w:hint="default"/>
                                      <w:b w:val="0"/>
                                      <w:bCs w:val="0"/>
                                      <w:sz w:val="21"/>
                                      <w:szCs w:val="21"/>
                                    </w:rPr>
                                  </w:pPr>
                                  <w:r>
                                    <w:rPr>
                                      <w:rFonts w:ascii="Times New Roman" w:hAnsi="Times New Roman" w:cs="Times New Roman" w:hint="eastAsia"/>
                                      <w:b w:val="0"/>
                                      <w:bCs w:val="0"/>
                                      <w:sz w:val="21"/>
                                      <w:szCs w:val="21"/>
                                      <w:lang w:val="en-US" w:eastAsia="zh-CN"/>
                                    </w:rPr>
                                    <w:t>13.7</w:t>
                                  </w:r>
                                </w:p>
                                <w:p>
                                  <w:pPr>
                                    <w:pStyle w:val="11"/>
                                    <w:rPr>
                                      <w:rFonts w:hint="default"/>
                                      <w:lang w:val="en-US" w:eastAsia="zh-CN"/>
                                    </w:rPr>
                                  </w:pPr>
                                  <w:r>
                                    <w:rPr>
                                      <w:rFonts w:ascii="Times New Roman" w:hAnsi="Times New Roman" w:cs="Times New Roman" w:hint="eastAsia"/>
                                      <w:b w:val="0"/>
                                      <w:bCs w:val="0"/>
                                      <w:sz w:val="21"/>
                                      <w:szCs w:val="21"/>
                                      <w:lang w:val="en-US" w:eastAsia="zh-CN"/>
                                    </w:rPr>
                                    <w:t>新鲜用水</w:t>
                                  </w:r>
                                </w:p>
                              </w:txbxContent>
                            </wps:txbx>
                            <wps:bodyPr upright="1"/>
                          </wps:wsp>
                        </a:graphicData>
                      </a:graphic>
                    </wp:anchor>
                  </w:drawing>
                </mc:Choice>
                <mc:Fallback>
                  <w:pict>
                    <v:shape id="文本框 522" o:spid="_x0000_s1045" type="#_x0000_t202" style="width:60.5pt;height:49.55pt;margin-top:9.95pt;margin-left:4pt;mso-wrap-distance-bottom:0;mso-wrap-distance-left:9pt;mso-wrap-distance-right:9pt;mso-wrap-distance-top:0;position:absolute;v-text-anchor:top;z-index:-251596800" filled="f" fillcolor="this" stroked="f">
                      <v:textbox>
                        <w:txbxContent>
                          <w:p>
                            <w:pPr>
                              <w:pStyle w:val="Default"/>
                              <w:spacing w:line="360" w:lineRule="auto"/>
                              <w:jc w:val="center"/>
                              <w:rPr>
                                <w:rFonts w:ascii="Times New Roman" w:hAnsi="Times New Roman" w:cs="Times New Roman" w:hint="default"/>
                                <w:b w:val="0"/>
                                <w:bCs w:val="0"/>
                                <w:sz w:val="21"/>
                                <w:szCs w:val="21"/>
                              </w:rPr>
                            </w:pPr>
                            <w:r>
                              <w:rPr>
                                <w:rFonts w:ascii="Times New Roman" w:hAnsi="Times New Roman" w:cs="Times New Roman" w:hint="eastAsia"/>
                                <w:b w:val="0"/>
                                <w:bCs w:val="0"/>
                                <w:sz w:val="21"/>
                                <w:szCs w:val="21"/>
                                <w:lang w:val="en-US" w:eastAsia="zh-CN"/>
                              </w:rPr>
                              <w:t>13.7</w:t>
                            </w:r>
                          </w:p>
                          <w:p>
                            <w:pPr>
                              <w:pStyle w:val="11"/>
                              <w:rPr>
                                <w:rFonts w:hint="default"/>
                                <w:lang w:val="en-US" w:eastAsia="zh-CN"/>
                              </w:rPr>
                            </w:pPr>
                            <w:r>
                              <w:rPr>
                                <w:rFonts w:ascii="Times New Roman" w:hAnsi="Times New Roman" w:cs="Times New Roman" w:hint="eastAsia"/>
                                <w:b w:val="0"/>
                                <w:bCs w:val="0"/>
                                <w:sz w:val="21"/>
                                <w:szCs w:val="21"/>
                                <w:lang w:val="en-US" w:eastAsia="zh-CN"/>
                              </w:rPr>
                              <w:t>新鲜用水</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1940560</wp:posOffset>
                      </wp:positionH>
                      <wp:positionV relativeFrom="paragraph">
                        <wp:posOffset>175895</wp:posOffset>
                      </wp:positionV>
                      <wp:extent cx="107315" cy="128270"/>
                      <wp:effectExtent l="5080" t="14605" r="3810" b="0"/>
                      <wp:wrapNone/>
                      <wp:docPr id="503" name="曲线连接符 503"/>
                      <wp:cNvGraphicFramePr/>
                      <a:graphic xmlns:a="http://schemas.openxmlformats.org/drawingml/2006/main">
                        <a:graphicData uri="http://schemas.microsoft.com/office/word/2010/wordprocessingShape">
                          <wps:wsp xmlns:wps="http://schemas.microsoft.com/office/word/2010/wordprocessingShape">
                            <wps:cNvCnPr/>
                            <wps:spPr>
                              <a:xfrm rot="16200000">
                                <a:off x="0" y="0"/>
                                <a:ext cx="107315" cy="128270"/>
                              </a:xfrm>
                              <a:prstGeom prst="curvedConnector2">
                                <a:avLst/>
                              </a:prstGeom>
                              <a:ln w="9525">
                                <a:solidFill>
                                  <a:srgbClr val="000000"/>
                                </a:solidFill>
                                <a:prstDash val="solid"/>
                                <a:headEnd/>
                                <a:tailEnd type="triangle"/>
                              </a:ln>
                            </wps:spPr>
                            <wps:bodyPr/>
                          </wps:wsp>
                        </a:graphicData>
                      </a:graphic>
                    </wp:anchor>
                  </w:drawing>
                </mc:Choice>
                <mc:Fallback>
                  <w:pict>
                    <v:shape id="曲线连接符 503" o:spid="_x0000_s1046" type="#_x0000_t37" style="width:8.45pt;height:10.1pt;margin-top:13.85pt;margin-left:152.8pt;mso-wrap-distance-bottom:0;mso-wrap-distance-left:9pt;mso-wrap-distance-right:9pt;mso-wrap-distance-top:0;position:absolute;rotation:270;v-text-anchor:top;z-index:251686912" fillcolor="this" stroked="t" strokecolor="black" strokeweight="0.7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4874260</wp:posOffset>
                      </wp:positionH>
                      <wp:positionV relativeFrom="paragraph">
                        <wp:posOffset>41910</wp:posOffset>
                      </wp:positionV>
                      <wp:extent cx="1229360" cy="261620"/>
                      <wp:effectExtent l="4445" t="4445" r="15875" b="8255"/>
                      <wp:wrapNone/>
                      <wp:docPr id="517" name="文本框 5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29360" cy="261620"/>
                              </a:xfrm>
                              <a:prstGeom prst="rect">
                                <a:avLst/>
                              </a:prstGeom>
                              <a:solidFill>
                                <a:srgbClr val="FFFFFF"/>
                              </a:solidFill>
                              <a:ln w="6350">
                                <a:solidFill>
                                  <a:prstClr val="black"/>
                                </a:solidFill>
                              </a:ln>
                              <a:effectLst/>
                            </wps:spPr>
                            <wps:txbx>
                              <w:txbxContent>
                                <w:p>
                                  <w:pPr>
                                    <w:jc w:val="center"/>
                                    <w:rPr>
                                      <w:rFonts w:eastAsia="宋体" w:hint="default"/>
                                    </w:rPr>
                                  </w:pPr>
                                  <w:r>
                                    <w:rPr>
                                      <w:rFonts w:eastAsia="宋体" w:hint="eastAsia"/>
                                      <w:lang w:val="en-US" w:eastAsia="zh-CN"/>
                                    </w:rPr>
                                    <w:t>自建污水处理站</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17" o:spid="_x0000_s1047" type="#_x0000_t202" style="width:96.8pt;height:20.6pt;margin-top:3.3pt;margin-left:383.8pt;mso-wrap-distance-bottom:0;mso-wrap-distance-left:9pt;mso-wrap-distance-right:9pt;mso-wrap-distance-top:0;position:absolute;v-text-anchor:top;z-index:251707392" fillcolor="white" stroked="t" strokecolor="black" strokeweight="0.5pt">
                      <v:textbox>
                        <w:txbxContent>
                          <w:p>
                            <w:pPr>
                              <w:jc w:val="center"/>
                              <w:rPr>
                                <w:rFonts w:eastAsia="宋体" w:hint="default"/>
                              </w:rPr>
                            </w:pPr>
                            <w:r>
                              <w:rPr>
                                <w:rFonts w:eastAsia="宋体" w:hint="eastAsia"/>
                                <w:lang w:val="en-US" w:eastAsia="zh-CN"/>
                              </w:rPr>
                              <w:t>自建污水处理站</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4371975</wp:posOffset>
                      </wp:positionH>
                      <wp:positionV relativeFrom="paragraph">
                        <wp:posOffset>167640</wp:posOffset>
                      </wp:positionV>
                      <wp:extent cx="500380" cy="5080"/>
                      <wp:effectExtent l="0" t="33655" r="2540" b="37465"/>
                      <wp:wrapNone/>
                      <wp:docPr id="516" name="直接箭头连接符 516"/>
                      <wp:cNvGraphicFramePr/>
                      <a:graphic xmlns:a="http://schemas.openxmlformats.org/drawingml/2006/main">
                        <a:graphicData uri="http://schemas.microsoft.com/office/word/2010/wordprocessingShape">
                          <wps:wsp xmlns:wps="http://schemas.microsoft.com/office/word/2010/wordprocessingShape">
                            <wps:cNvCnPr/>
                            <wps:spPr>
                              <a:xfrm>
                                <a:off x="0" y="0"/>
                                <a:ext cx="500380" cy="508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516" o:spid="_x0000_s1048" type="#_x0000_t32" style="width:39.4pt;height:0.4pt;margin-top:13.2pt;margin-left:344.25pt;mso-wrap-distance-bottom:0;mso-wrap-distance-left:9pt;mso-wrap-distance-right:9pt;mso-wrap-distance-top:0;position:absolute;v-text-anchor:top;z-index:251705344" fillcolor="this" stroked="t" strokecolor="black" strokeweight="0.5pt">
                      <v:stroke endarrow="block"/>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3477260</wp:posOffset>
                      </wp:positionH>
                      <wp:positionV relativeFrom="paragraph">
                        <wp:posOffset>24765</wp:posOffset>
                      </wp:positionV>
                      <wp:extent cx="892810" cy="261620"/>
                      <wp:effectExtent l="4445" t="4445" r="17145" b="8255"/>
                      <wp:wrapNone/>
                      <wp:docPr id="515"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892810" cy="261620"/>
                              </a:xfrm>
                              <a:prstGeom prst="rect">
                                <a:avLst/>
                              </a:prstGeom>
                              <a:solidFill>
                                <a:srgbClr val="FFFFFF"/>
                              </a:solidFill>
                              <a:ln w="6350">
                                <a:solidFill>
                                  <a:prstClr val="black"/>
                                </a:solidFill>
                              </a:ln>
                              <a:effectLst/>
                            </wps:spPr>
                            <wps:txbx>
                              <w:txbxContent>
                                <w:p>
                                  <w:pPr>
                                    <w:jc w:val="center"/>
                                    <w:rPr>
                                      <w:rFonts w:eastAsia="宋体" w:hint="default"/>
                                    </w:rPr>
                                  </w:pPr>
                                  <w:r>
                                    <w:rPr>
                                      <w:rFonts w:hint="eastAsia"/>
                                      <w:lang w:val="en-US" w:eastAsia="zh-CN"/>
                                    </w:rPr>
                                    <w:t>三级化粪池</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15" o:spid="_x0000_s1049" type="#_x0000_t202" style="width:70.3pt;height:20.6pt;margin-top:1.95pt;margin-left:273.8pt;mso-wrap-distance-bottom:0;mso-wrap-distance-left:9pt;mso-wrap-distance-right:9pt;mso-wrap-distance-top:0;position:absolute;v-text-anchor:top;z-index:251703296" fillcolor="white" stroked="t" strokecolor="black" strokeweight="0.5pt">
                      <v:textbox>
                        <w:txbxContent>
                          <w:p>
                            <w:pPr>
                              <w:jc w:val="center"/>
                              <w:rPr>
                                <w:rFonts w:eastAsia="宋体" w:hint="default"/>
                              </w:rPr>
                            </w:pPr>
                            <w:r>
                              <w:rPr>
                                <w:rFonts w:hint="eastAsia"/>
                                <w:lang w:val="en-US" w:eastAsia="zh-CN"/>
                              </w:rPr>
                              <w:t>三级化粪池</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2984500</wp:posOffset>
                      </wp:positionH>
                      <wp:positionV relativeFrom="paragraph">
                        <wp:posOffset>149860</wp:posOffset>
                      </wp:positionV>
                      <wp:extent cx="500380" cy="5080"/>
                      <wp:effectExtent l="0" t="33655" r="2540" b="37465"/>
                      <wp:wrapNone/>
                      <wp:docPr id="514" name="直接箭头连接符 514"/>
                      <wp:cNvGraphicFramePr/>
                      <a:graphic xmlns:a="http://schemas.openxmlformats.org/drawingml/2006/main">
                        <a:graphicData uri="http://schemas.microsoft.com/office/word/2010/wordprocessingShape">
                          <wps:wsp xmlns:wps="http://schemas.microsoft.com/office/word/2010/wordprocessingShape">
                            <wps:cNvCnPr/>
                            <wps:spPr>
                              <a:xfrm>
                                <a:off x="0" y="0"/>
                                <a:ext cx="500380" cy="508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514" o:spid="_x0000_s1050" type="#_x0000_t32" style="width:39.4pt;height:0.4pt;margin-top:11.8pt;margin-left:235pt;mso-wrap-distance-bottom:0;mso-wrap-distance-left:9pt;mso-wrap-distance-right:9pt;mso-wrap-distance-top:0;position:absolute;v-text-anchor:top;z-index:251701248" fillcolor="this" stroked="t" strokecolor="black" strokeweight="0.5pt">
                      <v:stroke endarrow="block"/>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2462530</wp:posOffset>
                      </wp:positionH>
                      <wp:positionV relativeFrom="paragraph">
                        <wp:posOffset>151765</wp:posOffset>
                      </wp:positionV>
                      <wp:extent cx="500380" cy="5080"/>
                      <wp:effectExtent l="0" t="33655" r="2540" b="37465"/>
                      <wp:wrapNone/>
                      <wp:docPr id="511" name="直接箭头连接符 511"/>
                      <wp:cNvGraphicFramePr/>
                      <a:graphic xmlns:a="http://schemas.openxmlformats.org/drawingml/2006/main">
                        <a:graphicData uri="http://schemas.microsoft.com/office/word/2010/wordprocessingShape">
                          <wps:wsp xmlns:wps="http://schemas.microsoft.com/office/word/2010/wordprocessingShape">
                            <wps:cNvCnPr/>
                            <wps:spPr>
                              <a:xfrm>
                                <a:off x="0" y="0"/>
                                <a:ext cx="500380" cy="508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511" o:spid="_x0000_s1051" type="#_x0000_t32" style="width:39.4pt;height:0.4pt;margin-top:11.95pt;margin-left:193.9pt;mso-wrap-distance-bottom:0;mso-wrap-distance-left:9pt;mso-wrap-distance-right:9pt;mso-wrap-distance-top:0;position:absolute;v-text-anchor:top;z-index:251695104" fillcolor="this" stroked="t" strokecolor="black" strokeweight="0.5pt">
                      <v:stroke endarrow="block"/>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1457960</wp:posOffset>
                      </wp:positionH>
                      <wp:positionV relativeFrom="paragraph">
                        <wp:posOffset>20320</wp:posOffset>
                      </wp:positionV>
                      <wp:extent cx="1005840" cy="261620"/>
                      <wp:effectExtent l="4445" t="4445" r="10795" b="8255"/>
                      <wp:wrapNone/>
                      <wp:docPr id="497" name="文本框 4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5840" cy="261620"/>
                              </a:xfrm>
                              <a:prstGeom prst="rect">
                                <a:avLst/>
                              </a:prstGeom>
                              <a:solidFill>
                                <a:srgbClr val="FFFFFF"/>
                              </a:solidFill>
                              <a:ln w="6350">
                                <a:solidFill>
                                  <a:prstClr val="black"/>
                                </a:solidFill>
                              </a:ln>
                              <a:effectLst/>
                            </wps:spPr>
                            <wps:txbx>
                              <w:txbxContent>
                                <w:p>
                                  <w:pPr>
                                    <w:jc w:val="center"/>
                                  </w:pPr>
                                  <w:r>
                                    <w:rPr>
                                      <w:rFonts w:hint="eastAsia"/>
                                    </w:rPr>
                                    <w:t>医务人员用水</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97" o:spid="_x0000_s1052" type="#_x0000_t202" style="width:79.2pt;height:20.6pt;margin-top:1.6pt;margin-left:114.8pt;mso-wrap-distance-bottom:0;mso-wrap-distance-left:9pt;mso-wrap-distance-right:9pt;mso-wrap-distance-top:0;position:absolute;v-text-anchor:top;z-index:251676672" fillcolor="white" stroked="t" strokecolor="black" strokeweight="0.5pt">
                      <v:textbox>
                        <w:txbxContent>
                          <w:p>
                            <w:pPr>
                              <w:jc w:val="center"/>
                            </w:pPr>
                            <w:r>
                              <w:rPr>
                                <w:rFonts w:hint="eastAsia"/>
                              </w:rPr>
                              <w:t>医务人员用水</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817245</wp:posOffset>
                      </wp:positionH>
                      <wp:positionV relativeFrom="paragraph">
                        <wp:posOffset>153035</wp:posOffset>
                      </wp:positionV>
                      <wp:extent cx="640080" cy="0"/>
                      <wp:effectExtent l="0" t="38100" r="0" b="38100"/>
                      <wp:wrapNone/>
                      <wp:docPr id="492" name="直接箭头连接符 492"/>
                      <wp:cNvGraphicFramePr/>
                      <a:graphic xmlns:a="http://schemas.openxmlformats.org/drawingml/2006/main">
                        <a:graphicData uri="http://schemas.microsoft.com/office/word/2010/wordprocessingShape">
                          <wps:wsp xmlns:wps="http://schemas.microsoft.com/office/word/2010/wordprocessingShape">
                            <wps:cNvCnPr/>
                            <wps:spPr>
                              <a:xfrm>
                                <a:off x="0" y="0"/>
                                <a:ext cx="64008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92" o:spid="_x0000_s1053" type="#_x0000_t32" style="width:50.4pt;height:0;margin-top:12.05pt;margin-left:64.35pt;mso-wrap-distance-bottom:0;mso-wrap-distance-left:9pt;mso-wrap-distance-right:9pt;mso-wrap-distance-top:0;position:absolute;v-text-anchor:top;z-index:251668480" fillcolor="this" stroked="t" strokecolor="black" strokeweight="0.5pt">
                      <v:stroke endarrow="block"/>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172085</wp:posOffset>
                      </wp:positionH>
                      <wp:positionV relativeFrom="paragraph">
                        <wp:posOffset>159385</wp:posOffset>
                      </wp:positionV>
                      <wp:extent cx="640080" cy="0"/>
                      <wp:effectExtent l="0" t="38100" r="0" b="38100"/>
                      <wp:wrapNone/>
                      <wp:docPr id="487" name="直接箭头连接符 487"/>
                      <wp:cNvGraphicFramePr/>
                      <a:graphic xmlns:a="http://schemas.openxmlformats.org/drawingml/2006/main">
                        <a:graphicData uri="http://schemas.microsoft.com/office/word/2010/wordprocessingShape">
                          <wps:wsp xmlns:wps="http://schemas.microsoft.com/office/word/2010/wordprocessingShape">
                            <wps:cNvCnPr/>
                            <wps:spPr>
                              <a:xfrm>
                                <a:off x="915035" y="3046095"/>
                                <a:ext cx="64008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87" o:spid="_x0000_s1054" type="#_x0000_t32" style="width:50.4pt;height:0;margin-top:12.55pt;margin-left:13.55pt;mso-wrap-distance-bottom:0;mso-wrap-distance-left:9pt;mso-wrap-distance-right:9pt;mso-wrap-distance-top:0;position:absolute;v-text-anchor:top;z-index:251658240" fillcolor="this" stroked="t" strokecolor="black" strokeweight="0.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5436870</wp:posOffset>
                      </wp:positionH>
                      <wp:positionV relativeFrom="paragraph">
                        <wp:posOffset>121920</wp:posOffset>
                      </wp:positionV>
                      <wp:extent cx="598170" cy="289560"/>
                      <wp:effectExtent l="0" t="0" r="0" b="0"/>
                      <wp:wrapNone/>
                      <wp:docPr id="543" name="文本框 543"/>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10.96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43" o:spid="_x0000_s1055" type="#_x0000_t202" style="width:47.1pt;height:22.8pt;margin-top:9.6pt;margin-left:428.1pt;mso-wrap-distance-bottom:0;mso-wrap-distance-left:9pt;mso-wrap-distance-right:9pt;mso-wrap-distance-top:0;position:absolute;v-text-anchor:top;z-index:251754496"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10.96</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5485765</wp:posOffset>
                      </wp:positionH>
                      <wp:positionV relativeFrom="paragraph">
                        <wp:posOffset>29210</wp:posOffset>
                      </wp:positionV>
                      <wp:extent cx="3175" cy="482600"/>
                      <wp:effectExtent l="37465" t="0" r="35560" b="5080"/>
                      <wp:wrapNone/>
                      <wp:docPr id="518" name="直接箭头连接符 518"/>
                      <wp:cNvGraphicFramePr/>
                      <a:graphic xmlns:a="http://schemas.openxmlformats.org/drawingml/2006/main">
                        <a:graphicData uri="http://schemas.microsoft.com/office/word/2010/wordprocessingShape">
                          <wps:wsp xmlns:wps="http://schemas.microsoft.com/office/word/2010/wordprocessingShape">
                            <wps:cNvCnPr>
                              <a:stCxn id="517" idx="2"/>
                            </wps:cNvCnPr>
                            <wps:spPr>
                              <a:xfrm flipH="1">
                                <a:off x="6438265" y="3422015"/>
                                <a:ext cx="3175" cy="482600"/>
                              </a:xfrm>
                              <a:prstGeom prst="straightConnector1">
                                <a:avLst/>
                              </a:prstGeom>
                              <a:ln>
                                <a:headEn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18" o:spid="_x0000_s1056" type="#_x0000_t32" style="width:0.25pt;height:38pt;margin-top:2.3pt;margin-left:431.95pt;flip:x;mso-wrap-distance-bottom:0;mso-wrap-distance-left:9pt;mso-wrap-distance-right:9pt;mso-wrap-distance-top:0;position:absolute;v-text-anchor:top;z-index:251709440" fillcolor="this" stroked="t" strokecolor="black" strokeweight="0.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2079625</wp:posOffset>
                      </wp:positionH>
                      <wp:positionV relativeFrom="paragraph">
                        <wp:posOffset>1905</wp:posOffset>
                      </wp:positionV>
                      <wp:extent cx="598170" cy="289560"/>
                      <wp:effectExtent l="0" t="0" r="0" b="0"/>
                      <wp:wrapNone/>
                      <wp:docPr id="539" name="文本框 539"/>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0.72</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9" o:spid="_x0000_s1057" type="#_x0000_t202" style="width:47.1pt;height:22.8pt;margin-top:0.15pt;margin-left:163.75pt;mso-wrap-distance-bottom:0;mso-wrap-distance-left:9pt;mso-wrap-distance-right:9pt;mso-wrap-distance-top:0;position:absolute;v-text-anchor:top;z-index:251748352"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0.72</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2417445</wp:posOffset>
                      </wp:positionH>
                      <wp:positionV relativeFrom="paragraph">
                        <wp:posOffset>214630</wp:posOffset>
                      </wp:positionV>
                      <wp:extent cx="598170" cy="289560"/>
                      <wp:effectExtent l="0" t="0" r="0" b="0"/>
                      <wp:wrapNone/>
                      <wp:docPr id="532" name="文本框 532"/>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2.88</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2" o:spid="_x0000_s1058" type="#_x0000_t202" style="width:47.1pt;height:22.8pt;margin-top:16.9pt;margin-left:190.35pt;mso-wrap-distance-bottom:0;mso-wrap-distance-left:9pt;mso-wrap-distance-right:9pt;mso-wrap-distance-top:0;position:absolute;v-text-anchor:top;z-index:251734016"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2.88</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835660</wp:posOffset>
                      </wp:positionH>
                      <wp:positionV relativeFrom="paragraph">
                        <wp:posOffset>204470</wp:posOffset>
                      </wp:positionV>
                      <wp:extent cx="598170" cy="289560"/>
                      <wp:effectExtent l="0" t="0" r="0" b="0"/>
                      <wp:wrapNone/>
                      <wp:docPr id="531" name="文本框 531"/>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3.6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1" o:spid="_x0000_s1059" type="#_x0000_t202" style="width:47.1pt;height:22.8pt;margin-top:16.1pt;margin-left:65.8pt;mso-wrap-distance-bottom:0;mso-wrap-distance-left:9pt;mso-wrap-distance-right:9pt;mso-wrap-distance-top:0;position:absolute;v-text-anchor:top;z-index:251731968"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3.6</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5038090</wp:posOffset>
                      </wp:positionH>
                      <wp:positionV relativeFrom="paragraph">
                        <wp:posOffset>245745</wp:posOffset>
                      </wp:positionV>
                      <wp:extent cx="892810" cy="492760"/>
                      <wp:effectExtent l="4445" t="4445" r="17145" b="5715"/>
                      <wp:wrapNone/>
                      <wp:docPr id="519" name="文本框 519"/>
                      <wp:cNvGraphicFramePr/>
                      <a:graphic xmlns:a="http://schemas.openxmlformats.org/drawingml/2006/main">
                        <a:graphicData uri="http://schemas.microsoft.com/office/word/2010/wordprocessingShape">
                          <wps:wsp xmlns:wps="http://schemas.microsoft.com/office/word/2010/wordprocessingShape">
                            <wps:cNvSpPr txBox="1"/>
                            <wps:spPr>
                              <a:xfrm>
                                <a:off x="0" y="0"/>
                                <a:ext cx="892810" cy="492760"/>
                              </a:xfrm>
                              <a:prstGeom prst="rect">
                                <a:avLst/>
                              </a:prstGeom>
                              <a:solidFill>
                                <a:srgbClr val="FFFFFF"/>
                              </a:solidFill>
                              <a:ln w="6350">
                                <a:solidFill>
                                  <a:prstClr val="black"/>
                                </a:solidFill>
                              </a:ln>
                              <a:effectLst/>
                            </wps:spPr>
                            <wps:txbx>
                              <w:txbxContent>
                                <w:p>
                                  <w:pPr>
                                    <w:jc w:val="center"/>
                                    <w:rPr>
                                      <w:rFonts w:eastAsia="宋体" w:hint="default"/>
                                    </w:rPr>
                                  </w:pPr>
                                  <w:r>
                                    <w:rPr>
                                      <w:rFonts w:hint="eastAsia"/>
                                      <w:lang w:val="en-US" w:eastAsia="zh-CN"/>
                                    </w:rPr>
                                    <w:t>市政污水管网</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19" o:spid="_x0000_s1060" type="#_x0000_t202" style="width:70.3pt;height:38.8pt;margin-top:19.35pt;margin-left:396.7pt;mso-wrap-distance-bottom:0;mso-wrap-distance-left:9pt;mso-wrap-distance-right:9pt;mso-wrap-distance-top:0;position:absolute;v-text-anchor:top;z-index:251711488" fillcolor="white" stroked="t" strokecolor="black" strokeweight="0.5pt">
                      <v:textbox>
                        <w:txbxContent>
                          <w:p>
                            <w:pPr>
                              <w:jc w:val="center"/>
                              <w:rPr>
                                <w:rFonts w:eastAsia="宋体" w:hint="default"/>
                              </w:rPr>
                            </w:pPr>
                            <w:r>
                              <w:rPr>
                                <w:rFonts w:hint="eastAsia"/>
                                <w:lang w:val="en-US" w:eastAsia="zh-CN"/>
                              </w:rPr>
                              <w:t>市政污水管网</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1990725</wp:posOffset>
                      </wp:positionH>
                      <wp:positionV relativeFrom="paragraph">
                        <wp:posOffset>186055</wp:posOffset>
                      </wp:positionV>
                      <wp:extent cx="107315" cy="128270"/>
                      <wp:effectExtent l="5080" t="14605" r="3810" b="0"/>
                      <wp:wrapNone/>
                      <wp:docPr id="502" name="曲线连接符 502"/>
                      <wp:cNvGraphicFramePr/>
                      <a:graphic xmlns:a="http://schemas.openxmlformats.org/drawingml/2006/main">
                        <a:graphicData uri="http://schemas.microsoft.com/office/word/2010/wordprocessingShape">
                          <wps:wsp xmlns:wps="http://schemas.microsoft.com/office/word/2010/wordprocessingShape">
                            <wps:cNvCnPr/>
                            <wps:spPr>
                              <a:xfrm rot="16200000">
                                <a:off x="0" y="0"/>
                                <a:ext cx="107315" cy="128270"/>
                              </a:xfrm>
                              <a:prstGeom prst="curvedConnector2">
                                <a:avLst/>
                              </a:prstGeom>
                              <a:ln w="9525">
                                <a:solidFill>
                                  <a:srgbClr val="000000"/>
                                </a:solidFill>
                                <a:prstDash val="solid"/>
                                <a:headEnd/>
                                <a:tailEnd type="triangle"/>
                              </a:ln>
                            </wps:spPr>
                            <wps:bodyPr/>
                          </wps:wsp>
                        </a:graphicData>
                      </a:graphic>
                    </wp:anchor>
                  </w:drawing>
                </mc:Choice>
                <mc:Fallback>
                  <w:pict>
                    <v:shape id="曲线连接符 502" o:spid="_x0000_s1061" type="#_x0000_t37" style="width:8.45pt;height:10.1pt;margin-top:14.65pt;margin-left:156.75pt;mso-wrap-distance-bottom:0;mso-wrap-distance-left:9pt;mso-wrap-distance-right:9pt;mso-wrap-distance-top:0;position:absolute;rotation:270;v-text-anchor:top;z-index:251684864" fillcolor="this" stroked="t" strokecolor="black" strokeweight="0.7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2477135</wp:posOffset>
                      </wp:positionH>
                      <wp:positionV relativeFrom="paragraph">
                        <wp:posOffset>170815</wp:posOffset>
                      </wp:positionV>
                      <wp:extent cx="500380" cy="5080"/>
                      <wp:effectExtent l="0" t="33655" r="2540" b="37465"/>
                      <wp:wrapNone/>
                      <wp:docPr id="513" name="直接箭头连接符 513"/>
                      <wp:cNvGraphicFramePr/>
                      <a:graphic xmlns:a="http://schemas.openxmlformats.org/drawingml/2006/main">
                        <a:graphicData uri="http://schemas.microsoft.com/office/word/2010/wordprocessingShape">
                          <wps:wsp xmlns:wps="http://schemas.microsoft.com/office/word/2010/wordprocessingShape">
                            <wps:cNvCnPr/>
                            <wps:spPr>
                              <a:xfrm>
                                <a:off x="0" y="0"/>
                                <a:ext cx="500380" cy="508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513" o:spid="_x0000_s1062" type="#_x0000_t32" style="width:39.4pt;height:0.4pt;margin-top:13.45pt;margin-left:195.05pt;mso-wrap-distance-bottom:0;mso-wrap-distance-left:9pt;mso-wrap-distance-right:9pt;mso-wrap-distance-top:0;position:absolute;v-text-anchor:top;z-index:251699200" fillcolor="this" stroked="t" strokecolor="black" strokeweight="0.5pt">
                      <v:stroke endarrow="block"/>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1451610</wp:posOffset>
                      </wp:positionH>
                      <wp:positionV relativeFrom="paragraph">
                        <wp:posOffset>42545</wp:posOffset>
                      </wp:positionV>
                      <wp:extent cx="1020445" cy="261620"/>
                      <wp:effectExtent l="4445" t="4445" r="11430" b="8255"/>
                      <wp:wrapNone/>
                      <wp:docPr id="498" name="文本框 4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0445" cy="261620"/>
                              </a:xfrm>
                              <a:prstGeom prst="rect">
                                <a:avLst/>
                              </a:prstGeom>
                              <a:solidFill>
                                <a:srgbClr val="FFFFFF"/>
                              </a:solidFill>
                              <a:ln w="6350">
                                <a:solidFill>
                                  <a:prstClr val="black"/>
                                </a:solidFill>
                              </a:ln>
                              <a:effectLst/>
                            </wps:spPr>
                            <wps:txbx>
                              <w:txbxContent>
                                <w:p>
                                  <w:pPr>
                                    <w:jc w:val="center"/>
                                  </w:pPr>
                                  <w:r>
                                    <w:rPr>
                                      <w:rFonts w:hint="eastAsia"/>
                                    </w:rPr>
                                    <w:t>陪护人员用水</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98" o:spid="_x0000_s1063" type="#_x0000_t202" style="width:80.35pt;height:20.6pt;margin-top:3.35pt;margin-left:114.3pt;mso-wrap-distance-bottom:0;mso-wrap-distance-left:9pt;mso-wrap-distance-right:9pt;mso-wrap-distance-top:0;position:absolute;v-text-anchor:top;z-index:251678720" fillcolor="white" stroked="t" strokecolor="black" strokeweight="0.5pt">
                      <v:textbox>
                        <w:txbxContent>
                          <w:p>
                            <w:pPr>
                              <w:jc w:val="center"/>
                            </w:pPr>
                            <w:r>
                              <w:rPr>
                                <w:rFonts w:hint="eastAsia"/>
                              </w:rPr>
                              <w:t>陪护人员用水</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819150</wp:posOffset>
                      </wp:positionH>
                      <wp:positionV relativeFrom="paragraph">
                        <wp:posOffset>182880</wp:posOffset>
                      </wp:positionV>
                      <wp:extent cx="640080" cy="0"/>
                      <wp:effectExtent l="0" t="38100" r="0" b="38100"/>
                      <wp:wrapNone/>
                      <wp:docPr id="491" name="直接箭头连接符 491"/>
                      <wp:cNvGraphicFramePr/>
                      <a:graphic xmlns:a="http://schemas.openxmlformats.org/drawingml/2006/main">
                        <a:graphicData uri="http://schemas.microsoft.com/office/word/2010/wordprocessingShape">
                          <wps:wsp xmlns:wps="http://schemas.microsoft.com/office/word/2010/wordprocessingShape">
                            <wps:cNvCnPr/>
                            <wps:spPr>
                              <a:xfrm>
                                <a:off x="0" y="0"/>
                                <a:ext cx="64008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91" o:spid="_x0000_s1064" type="#_x0000_t32" style="width:50.4pt;height:0;margin-top:14.4pt;margin-left:64.5pt;mso-wrap-distance-bottom:0;mso-wrap-distance-left:9pt;mso-wrap-distance-right:9pt;mso-wrap-distance-top:0;position:absolute;v-text-anchor:top;z-index:251666432" fillcolor="this" stroked="t" strokecolor="black" strokeweight="0.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57568" behindDoc="0" locked="0" layoutInCell="1" allowOverlap="1">
                      <wp:simplePos x="0" y="0"/>
                      <wp:positionH relativeFrom="column">
                        <wp:posOffset>5398135</wp:posOffset>
                      </wp:positionH>
                      <wp:positionV relativeFrom="paragraph">
                        <wp:posOffset>264160</wp:posOffset>
                      </wp:positionV>
                      <wp:extent cx="598170" cy="289560"/>
                      <wp:effectExtent l="0" t="0" r="0" b="0"/>
                      <wp:wrapNone/>
                      <wp:docPr id="544" name="文本框 544"/>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10.96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44" o:spid="_x0000_s1065" type="#_x0000_t202" style="width:47.1pt;height:22.8pt;margin-top:20.8pt;margin-left:425.05pt;mso-wrap-distance-bottom:0;mso-wrap-distance-left:9pt;mso-wrap-distance-right:9pt;mso-wrap-distance-top:0;position:absolute;v-text-anchor:top;z-index:251756544"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10.96</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1896745</wp:posOffset>
                      </wp:positionH>
                      <wp:positionV relativeFrom="paragraph">
                        <wp:posOffset>224790</wp:posOffset>
                      </wp:positionV>
                      <wp:extent cx="598170" cy="289560"/>
                      <wp:effectExtent l="0" t="0" r="0" b="0"/>
                      <wp:wrapNone/>
                      <wp:docPr id="540" name="文本框 540"/>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0.08</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40" o:spid="_x0000_s1066" type="#_x0000_t202" style="width:47.1pt;height:22.8pt;margin-top:17.7pt;margin-left:149.35pt;mso-wrap-distance-bottom:0;mso-wrap-distance-left:9pt;mso-wrap-distance-right:9pt;mso-wrap-distance-top:0;position:absolute;v-text-anchor:top;z-index:251750400"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0.08</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5464175</wp:posOffset>
                      </wp:positionH>
                      <wp:positionV relativeFrom="paragraph">
                        <wp:posOffset>188595</wp:posOffset>
                      </wp:positionV>
                      <wp:extent cx="3175" cy="482600"/>
                      <wp:effectExtent l="37465" t="0" r="35560" b="5080"/>
                      <wp:wrapNone/>
                      <wp:docPr id="520" name="直接箭头连接符 520"/>
                      <wp:cNvGraphicFramePr/>
                      <a:graphic xmlns:a="http://schemas.openxmlformats.org/drawingml/2006/main">
                        <a:graphicData uri="http://schemas.microsoft.com/office/word/2010/wordprocessingShape">
                          <wps:wsp xmlns:wps="http://schemas.microsoft.com/office/word/2010/wordprocessingShape">
                            <wps:cNvCnPr/>
                            <wps:spPr>
                              <a:xfrm flipH="1">
                                <a:off x="0" y="0"/>
                                <a:ext cx="3175" cy="482600"/>
                              </a:xfrm>
                              <a:prstGeom prst="straightConnector1">
                                <a:avLst/>
                              </a:prstGeom>
                              <a:ln>
                                <a:headEn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20" o:spid="_x0000_s1067" type="#_x0000_t32" style="width:0.25pt;height:38pt;margin-top:14.85pt;margin-left:430.25pt;flip:x;mso-wrap-distance-bottom:0;mso-wrap-distance-left:9pt;mso-wrap-distance-right:9pt;mso-wrap-distance-top:0;position:absolute;v-text-anchor:top;z-index:251713536" fillcolor="this" stroked="t" strokecolor="black" strokeweight="0.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2301240</wp:posOffset>
                      </wp:positionH>
                      <wp:positionV relativeFrom="paragraph">
                        <wp:posOffset>162560</wp:posOffset>
                      </wp:positionV>
                      <wp:extent cx="598170" cy="289560"/>
                      <wp:effectExtent l="0" t="0" r="0" b="0"/>
                      <wp:wrapNone/>
                      <wp:docPr id="534" name="文本框 534"/>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0.32</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4" o:spid="_x0000_s1068" type="#_x0000_t202" style="width:47.1pt;height:22.8pt;margin-top:12.8pt;margin-left:181.2pt;mso-wrap-distance-bottom:0;mso-wrap-distance-left:9pt;mso-wrap-distance-right:9pt;mso-wrap-distance-top:0;position:absolute;v-text-anchor:top;z-index:251738112"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0.32</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835025</wp:posOffset>
                      </wp:positionH>
                      <wp:positionV relativeFrom="paragraph">
                        <wp:posOffset>201295</wp:posOffset>
                      </wp:positionV>
                      <wp:extent cx="598170" cy="289560"/>
                      <wp:effectExtent l="0" t="0" r="0" b="0"/>
                      <wp:wrapNone/>
                      <wp:docPr id="533" name="文本框 533"/>
                      <wp:cNvGraphicFramePr/>
                      <a:graphic xmlns:a="http://schemas.openxmlformats.org/drawingml/2006/main">
                        <a:graphicData uri="http://schemas.microsoft.com/office/word/2010/wordprocessingShape">
                          <wps:wsp xmlns:wps="http://schemas.microsoft.com/office/word/2010/wordprocessingShape">
                            <wps:cNvSpPr txBox="1"/>
                            <wps:spPr>
                              <a:xfrm>
                                <a:off x="0" y="0"/>
                                <a:ext cx="59817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imes New Roman" w:hAnsi="Times New Roman" w:cs="Times New Roman" w:hint="default"/>
                                    </w:rPr>
                                  </w:pPr>
                                  <w:r>
                                    <w:rPr>
                                      <w:rFonts w:ascii="Times New Roman" w:hAnsi="Times New Roman" w:cs="Times New Roman" w:hint="eastAsia"/>
                                      <w:lang w:val="en-US" w:eastAsia="zh-CN"/>
                                    </w:rPr>
                                    <w:t>0.4</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33" o:spid="_x0000_s1069" type="#_x0000_t202" style="width:47.1pt;height:22.8pt;margin-top:15.85pt;margin-left:65.75pt;mso-wrap-distance-bottom:0;mso-wrap-distance-left:9pt;mso-wrap-distance-right:9pt;mso-wrap-distance-top:0;position:absolute;v-text-anchor:top;z-index:251736064" filled="f" fillcolor="this" stroked="f" strokeweight="0.5pt">
                      <v:textbox>
                        <w:txbxContent>
                          <w:p>
                            <w:pPr>
                              <w:rPr>
                                <w:rFonts w:ascii="Times New Roman" w:hAnsi="Times New Roman" w:cs="Times New Roman" w:hint="default"/>
                              </w:rPr>
                            </w:pPr>
                            <w:r>
                              <w:rPr>
                                <w:rFonts w:ascii="Times New Roman" w:hAnsi="Times New Roman" w:cs="Times New Roman" w:hint="eastAsia"/>
                                <w:lang w:val="en-US" w:eastAsia="zh-CN"/>
                              </w:rPr>
                              <w:t>0.4</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1812925</wp:posOffset>
                      </wp:positionH>
                      <wp:positionV relativeFrom="paragraph">
                        <wp:posOffset>171450</wp:posOffset>
                      </wp:positionV>
                      <wp:extent cx="107315" cy="128270"/>
                      <wp:effectExtent l="5080" t="14605" r="3810" b="0"/>
                      <wp:wrapNone/>
                      <wp:docPr id="504" name="曲线连接符 504"/>
                      <wp:cNvGraphicFramePr/>
                      <a:graphic xmlns:a="http://schemas.openxmlformats.org/drawingml/2006/main">
                        <a:graphicData uri="http://schemas.microsoft.com/office/word/2010/wordprocessingShape">
                          <wps:wsp xmlns:wps="http://schemas.microsoft.com/office/word/2010/wordprocessingShape">
                            <wps:cNvCnPr/>
                            <wps:spPr>
                              <a:xfrm rot="16200000">
                                <a:off x="0" y="0"/>
                                <a:ext cx="107315" cy="128270"/>
                              </a:xfrm>
                              <a:prstGeom prst="curvedConnector2">
                                <a:avLst/>
                              </a:prstGeom>
                              <a:ln w="9525">
                                <a:solidFill>
                                  <a:srgbClr val="000000"/>
                                </a:solidFill>
                                <a:prstDash val="solid"/>
                                <a:headEnd/>
                                <a:tailEnd type="triangle"/>
                              </a:ln>
                            </wps:spPr>
                            <wps:bodyPr/>
                          </wps:wsp>
                        </a:graphicData>
                      </a:graphic>
                    </wp:anchor>
                  </w:drawing>
                </mc:Choice>
                <mc:Fallback>
                  <w:pict>
                    <v:shape id="曲线连接符 504" o:spid="_x0000_s1070" type="#_x0000_t37" style="width:8.45pt;height:10.1pt;margin-top:13.5pt;margin-left:142.75pt;mso-wrap-distance-bottom:0;mso-wrap-distance-left:9pt;mso-wrap-distance-right:9pt;mso-wrap-distance-top:0;position:absolute;rotation:270;v-text-anchor:top;z-index:251688960" fillcolor="this" stroked="t" strokecolor="black" strokeweight="0.7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5046345</wp:posOffset>
                      </wp:positionH>
                      <wp:positionV relativeFrom="paragraph">
                        <wp:posOffset>120650</wp:posOffset>
                      </wp:positionV>
                      <wp:extent cx="892810" cy="492760"/>
                      <wp:effectExtent l="4445" t="4445" r="17145" b="5715"/>
                      <wp:wrapNone/>
                      <wp:docPr id="521" name="文本框 521"/>
                      <wp:cNvGraphicFramePr/>
                      <a:graphic xmlns:a="http://schemas.openxmlformats.org/drawingml/2006/main">
                        <a:graphicData uri="http://schemas.microsoft.com/office/word/2010/wordprocessingShape">
                          <wps:wsp xmlns:wps="http://schemas.microsoft.com/office/word/2010/wordprocessingShape">
                            <wps:cNvSpPr txBox="1"/>
                            <wps:spPr>
                              <a:xfrm>
                                <a:off x="0" y="0"/>
                                <a:ext cx="892810" cy="492760"/>
                              </a:xfrm>
                              <a:prstGeom prst="rect">
                                <a:avLst/>
                              </a:prstGeom>
                              <a:solidFill>
                                <a:srgbClr val="FFFFFF"/>
                              </a:solidFill>
                              <a:ln w="6350">
                                <a:solidFill>
                                  <a:prstClr val="black"/>
                                </a:solidFill>
                              </a:ln>
                              <a:effectLst/>
                            </wps:spPr>
                            <wps:txbx>
                              <w:txbxContent>
                                <w:p>
                                  <w:pPr>
                                    <w:jc w:val="center"/>
                                    <w:rPr>
                                      <w:rFonts w:eastAsia="宋体" w:hint="default"/>
                                    </w:rPr>
                                  </w:pPr>
                                  <w:r>
                                    <w:rPr>
                                      <w:rFonts w:hint="eastAsia"/>
                                      <w:lang w:val="en-US" w:eastAsia="zh-CN"/>
                                    </w:rPr>
                                    <w:t>三亚市红沙污水处理厂</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1" o:spid="_x0000_s1071" type="#_x0000_t202" style="width:70.3pt;height:38.8pt;margin-top:9.5pt;margin-left:397.35pt;mso-wrap-distance-bottom:0;mso-wrap-distance-left:9pt;mso-wrap-distance-right:9pt;mso-wrap-distance-top:0;position:absolute;v-text-anchor:top;z-index:251715584" fillcolor="white" stroked="t" strokecolor="black" strokeweight="0.5pt">
                      <v:textbox>
                        <w:txbxContent>
                          <w:p>
                            <w:pPr>
                              <w:jc w:val="center"/>
                              <w:rPr>
                                <w:rFonts w:eastAsia="宋体" w:hint="default"/>
                              </w:rPr>
                            </w:pPr>
                            <w:r>
                              <w:rPr>
                                <w:rFonts w:hint="eastAsia"/>
                                <w:lang w:val="en-US" w:eastAsia="zh-CN"/>
                              </w:rPr>
                              <w:t>三亚市红沙污水处理厂</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1441450</wp:posOffset>
                      </wp:positionH>
                      <wp:positionV relativeFrom="paragraph">
                        <wp:posOffset>16510</wp:posOffset>
                      </wp:positionV>
                      <wp:extent cx="756285" cy="261620"/>
                      <wp:effectExtent l="4445" t="4445" r="16510" b="8255"/>
                      <wp:wrapNone/>
                      <wp:docPr id="500" name="文本框 500"/>
                      <wp:cNvGraphicFramePr/>
                      <a:graphic xmlns:a="http://schemas.openxmlformats.org/drawingml/2006/main">
                        <a:graphicData uri="http://schemas.microsoft.com/office/word/2010/wordprocessingShape">
                          <wps:wsp xmlns:wps="http://schemas.microsoft.com/office/word/2010/wordprocessingShape">
                            <wps:cNvSpPr txBox="1"/>
                            <wps:spPr>
                              <a:xfrm>
                                <a:off x="0" y="0"/>
                                <a:ext cx="756285" cy="261620"/>
                              </a:xfrm>
                              <a:prstGeom prst="rect">
                                <a:avLst/>
                              </a:prstGeom>
                              <a:solidFill>
                                <a:srgbClr val="FFFFFF"/>
                              </a:solidFill>
                              <a:ln w="6350">
                                <a:solidFill>
                                  <a:prstClr val="black"/>
                                </a:solidFill>
                              </a:ln>
                              <a:effectLst/>
                            </wps:spPr>
                            <wps:txbx>
                              <w:txbxContent>
                                <w:p>
                                  <w:pPr>
                                    <w:jc w:val="center"/>
                                    <w:rPr>
                                      <w:rFonts w:eastAsia="宋体" w:hint="default"/>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00" o:spid="_x0000_s1072" type="#_x0000_t202" style="width:59.55pt;height:20.6pt;margin-top:1.3pt;margin-left:113.5pt;mso-wrap-distance-bottom:0;mso-wrap-distance-left:9pt;mso-wrap-distance-right:9pt;mso-wrap-distance-top:0;position:absolute;v-text-anchor:top;z-index:251680768" fillcolor="white" stroked="t" strokecolor="black" strokeweight="0.5pt">
                      <v:textbox>
                        <w:txbxContent>
                          <w:p>
                            <w:pPr>
                              <w:jc w:val="center"/>
                              <w:rPr>
                                <w:rFonts w:eastAsia="宋体" w:hint="default"/>
                              </w:rPr>
                            </w:pPr>
                            <w:r>
                              <w:rPr>
                                <w:rFonts w:hint="eastAsia"/>
                                <w:lang w:val="en-US" w:eastAsia="zh-CN"/>
                              </w:rPr>
                              <w:t>生活用水</w:t>
                            </w:r>
                          </w:p>
                        </w:txbxContent>
                      </v:textbox>
                    </v:shape>
                  </w:pict>
                </mc:Fallback>
              </mc:AlternateContent>
            </w:r>
            <w:r>
              <w:rPr>
                <w:color w:val="000000" w:themeColor="text1"/>
                <w:sz w:val="2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799465</wp:posOffset>
                      </wp:positionH>
                      <wp:positionV relativeFrom="paragraph">
                        <wp:posOffset>156845</wp:posOffset>
                      </wp:positionV>
                      <wp:extent cx="640080" cy="0"/>
                      <wp:effectExtent l="0" t="38100" r="0" b="38100"/>
                      <wp:wrapNone/>
                      <wp:docPr id="490" name="直接箭头连接符 490"/>
                      <wp:cNvGraphicFramePr/>
                      <a:graphic xmlns:a="http://schemas.openxmlformats.org/drawingml/2006/main">
                        <a:graphicData uri="http://schemas.microsoft.com/office/word/2010/wordprocessingShape">
                          <wps:wsp xmlns:wps="http://schemas.microsoft.com/office/word/2010/wordprocessingShape">
                            <wps:cNvCnPr/>
                            <wps:spPr>
                              <a:xfrm>
                                <a:off x="0" y="0"/>
                                <a:ext cx="640080" cy="0"/>
                              </a:xfrm>
                              <a:prstGeom prst="straightConnector1">
                                <a:avLst/>
                              </a:prstGeom>
                              <a:ln>
                                <a:solidFill>
                                  <a:schemeClr val="tx1"/>
                                </a:solidFill>
                                <a:headE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490" o:spid="_x0000_s1073" type="#_x0000_t32" style="width:50.4pt;height:0;margin-top:12.35pt;margin-left:62.95pt;mso-wrap-distance-bottom:0;mso-wrap-distance-left:9pt;mso-wrap-distance-right:9pt;mso-wrap-distance-top:0;position:absolute;v-text-anchor:top;z-index:251664384" fillcolor="this" stroked="t" strokecolor="black" strokeweight="0.5pt">
                      <v:stroke endarrow="block"/>
                    </v:shape>
                  </w:pict>
                </mc:Fallback>
              </mc:AlternateContent>
            </w: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p>
          <w:p>
            <w:pPr>
              <w:pStyle w:val="21"/>
              <w:rPr>
                <w:rFonts w:ascii="Times New Roman" w:hAnsi="Times New Roman" w:cs="Times New Roman" w:hint="default"/>
                <w:color w:val="000000" w:themeColor="text1"/>
                <w:sz w:val="21"/>
                <w:szCs w:val="21"/>
                <w:highlight w:val="none"/>
                <w:lang w:val="en-US" w:eastAsia="zh-CN"/>
                <w14:textFill>
                  <w14:solidFill>
                    <w14:schemeClr w14:val="tx1"/>
                  </w14:solidFill>
                </w14:textFill>
              </w:rPr>
            </w:pPr>
          </w:p>
          <w:p>
            <w:pPr>
              <w:spacing w:after="0" w:line="240" w:lineRule="auto"/>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 xml:space="preserve">图1 项目用水平衡图  </w:t>
            </w:r>
            <w:r>
              <w:rPr>
                <w:rFonts w:ascii="Times New Roman" w:hAnsi="Times New Roman" w:cs="Times New Roman" w:hint="default"/>
                <w:b/>
                <w:bCs/>
                <w:color w:val="000000" w:themeColor="text1"/>
                <w:sz w:val="21"/>
                <w:szCs w:val="21"/>
                <w:highlight w:val="none"/>
                <w14:textFill>
                  <w14:solidFill>
                    <w14:schemeClr w14:val="tx1"/>
                  </w14:solidFill>
                </w14:textFill>
              </w:rPr>
              <w:t>单位：m</w:t>
            </w:r>
            <w:r>
              <w:rPr>
                <w:rFonts w:ascii="Times New Roman" w:hAnsi="Times New Roman" w:cs="Times New Roman" w:hint="default"/>
                <w:b/>
                <w:bCs/>
                <w:color w:val="000000" w:themeColor="text1"/>
                <w:sz w:val="21"/>
                <w:szCs w:val="21"/>
                <w:highlight w:val="none"/>
                <w:vertAlign w:val="superscript"/>
                <w14:textFill>
                  <w14:solidFill>
                    <w14:schemeClr w14:val="tx1"/>
                  </w14:solidFill>
                </w14:textFill>
              </w:rPr>
              <w:t>3</w:t>
            </w:r>
            <w:r>
              <w:rPr>
                <w:rFonts w:ascii="Times New Roman" w:hAnsi="Times New Roman" w:cs="Times New Roman" w:hint="default"/>
                <w:b/>
                <w:bCs/>
                <w:color w:val="000000" w:themeColor="text1"/>
                <w:sz w:val="21"/>
                <w:szCs w:val="21"/>
                <w:highlight w:val="none"/>
                <w14:textFill>
                  <w14:solidFill>
                    <w14:schemeClr w14:val="tx1"/>
                  </w14:solidFill>
                </w14:textFill>
              </w:rPr>
              <w:t>/d</w:t>
            </w:r>
          </w:p>
          <w:p>
            <w:pPr>
              <w:spacing w:after="0" w:line="360" w:lineRule="auto"/>
              <w:ind w:firstLine="420" w:firstLineChars="200"/>
              <w:jc w:val="both"/>
              <w:rPr>
                <w:rFonts w:ascii="Times New Roman" w:hAnsi="Times New Roman" w:cs="Times New Roman" w:hint="eastAsia"/>
                <w:b/>
                <w:bCs/>
                <w:color w:val="000000" w:themeColor="text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 xml:space="preserve">9、依托工程 </w:t>
            </w:r>
          </w:p>
          <w:p>
            <w:pPr>
              <w:spacing w:after="0" w:line="360" w:lineRule="auto"/>
              <w:ind w:firstLine="420" w:firstLineChars="200"/>
              <w:jc w:val="both"/>
              <w:rPr>
                <w:rFonts w:ascii="Times New Roman" w:hAnsi="Times New Roman" w:cs="Times New Roman" w:hint="eastAsia"/>
                <w:b w:val="0"/>
                <w:bCs w:val="0"/>
                <w:color w:val="000000" w:themeColor="text1"/>
                <w:szCs w:val="21"/>
                <w:highlight w:val="none"/>
                <w14:textFill>
                  <w14:solidFill>
                    <w14:schemeClr w14:val="tx1"/>
                  </w14:solidFill>
                </w14:textFill>
              </w:rPr>
            </w:pPr>
            <w:r>
              <w:rPr>
                <w:rFonts w:ascii="Times New Roman" w:hAnsi="Times New Roman" w:cs="Times New Roman" w:hint="eastAsia"/>
                <w:b w:val="0"/>
                <w:bCs w:val="0"/>
                <w:color w:val="000000" w:themeColor="text1"/>
                <w:sz w:val="21"/>
                <w:szCs w:val="21"/>
                <w:highlight w:val="none"/>
                <w:lang w:val="en-US" w:eastAsia="zh-CN"/>
                <w14:textFill>
                  <w14:solidFill>
                    <w14:schemeClr w14:val="tx1"/>
                  </w14:solidFill>
                </w14:textFill>
              </w:rPr>
              <w:t xml:space="preserve">项目依托工程见下表。 </w:t>
            </w:r>
          </w:p>
          <w:p>
            <w:pPr>
              <w:pStyle w:val="Char"/>
              <w:spacing w:line="240" w:lineRule="auto"/>
              <w:ind w:firstLine="482"/>
              <w:jc w:val="center"/>
              <w:rPr>
                <w:rFonts w:ascii="Times New Roman" w:hAnsi="Times New Roman" w:cs="Times New Roman" w:hint="default"/>
                <w:b/>
                <w:bCs/>
                <w:color w:val="000000" w:themeColor="text1"/>
                <w:sz w:val="2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表2-6</w:t>
            </w:r>
            <w:r>
              <w:rPr>
                <w:rFonts w:ascii="Times New Roman" w:hAnsi="Times New Roman" w:cs="Times New Roman" w:hint="default"/>
                <w:b/>
                <w:bCs/>
                <w:color w:val="000000" w:themeColor="text1"/>
                <w:sz w:val="21"/>
                <w:szCs w:val="21"/>
                <w:highlight w:val="none"/>
                <w14:textFill>
                  <w14:solidFill>
                    <w14:schemeClr w14:val="tx1"/>
                  </w14:solidFill>
                </w14:textFill>
              </w:rPr>
              <w:t xml:space="preserve"> 本项目与现有工程的依托情况</w:t>
            </w:r>
          </w:p>
          <w:tbl>
            <w:tblPr>
              <w:tblStyle w:val="TableNormal"/>
              <w:tblW w:w="9236" w:type="dxa"/>
              <w:jc w:val="center"/>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ayout w:type="fixed"/>
              <w:tblCellMar>
                <w:top w:w="0" w:type="dxa"/>
                <w:left w:w="108" w:type="dxa"/>
                <w:bottom w:w="0" w:type="dxa"/>
                <w:right w:w="108" w:type="dxa"/>
              </w:tblCellMar>
            </w:tblPr>
            <w:tblGrid>
              <w:gridCol w:w="1336"/>
              <w:gridCol w:w="1432"/>
              <w:gridCol w:w="4336"/>
              <w:gridCol w:w="2132"/>
            </w:tblGrid>
            <w:tr>
              <w:tblPrEx>
                <w:tblW w:w="9236" w:type="dxa"/>
                <w:jc w:val="center"/>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ayout w:type="fixed"/>
                <w:tblCellMar>
                  <w:top w:w="0" w:type="dxa"/>
                  <w:left w:w="108" w:type="dxa"/>
                  <w:bottom w:w="0" w:type="dxa"/>
                  <w:right w:w="108" w:type="dxa"/>
                </w:tblCellMar>
              </w:tblPrEx>
              <w:trPr>
                <w:trHeight w:val="253"/>
                <w:jc w:val="center"/>
              </w:trPr>
              <w:tc>
                <w:tcPr>
                  <w:tcW w:w="1336" w:type="dxa"/>
                  <w:tcBorders>
                    <w:top w:val="single" w:sz="4" w:space="0" w:color="auto"/>
                    <w:left w:val="single" w:sz="4" w:space="0" w:color="auto"/>
                    <w:bottom w:val="single" w:sz="2" w:space="0" w:color="auto"/>
                    <w:right w:val="single" w:sz="2" w:space="0" w:color="auto"/>
                  </w:tcBorders>
                  <w:noWrap w:val="0"/>
                  <w:vAlign w:val="center"/>
                </w:tcPr>
                <w:p>
                  <w:pPr>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类别</w:t>
                  </w:r>
                </w:p>
              </w:tc>
              <w:tc>
                <w:tcPr>
                  <w:tcW w:w="1432" w:type="dxa"/>
                  <w:tcBorders>
                    <w:top w:val="single" w:sz="4" w:space="0" w:color="auto"/>
                    <w:left w:val="single" w:sz="2" w:space="0" w:color="auto"/>
                    <w:bottom w:val="single" w:sz="2" w:space="0" w:color="auto"/>
                    <w:right w:val="single" w:sz="2" w:space="0" w:color="auto"/>
                  </w:tcBorders>
                  <w:noWrap w:val="0"/>
                  <w:vAlign w:val="center"/>
                </w:tcPr>
                <w:p>
                  <w:pPr>
                    <w:widowControl/>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建筑物名称</w:t>
                  </w:r>
                </w:p>
              </w:tc>
              <w:tc>
                <w:tcPr>
                  <w:tcW w:w="4336" w:type="dxa"/>
                  <w:tcBorders>
                    <w:top w:val="single" w:sz="4" w:space="0" w:color="auto"/>
                    <w:left w:val="single" w:sz="2" w:space="0" w:color="auto"/>
                    <w:bottom w:val="single" w:sz="2" w:space="0" w:color="auto"/>
                    <w:right w:val="single" w:sz="4" w:space="0" w:color="auto"/>
                  </w:tcBorders>
                  <w:noWrap w:val="0"/>
                  <w:vAlign w:val="center"/>
                </w:tcPr>
                <w:p>
                  <w:pPr>
                    <w:widowControl/>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依托现有工程</w:t>
                  </w:r>
                </w:p>
              </w:tc>
              <w:tc>
                <w:tcPr>
                  <w:tcW w:w="2132" w:type="dxa"/>
                  <w:tcBorders>
                    <w:top w:val="single" w:sz="4" w:space="0" w:color="auto"/>
                    <w:left w:val="single" w:sz="2" w:space="0" w:color="auto"/>
                    <w:bottom w:val="single" w:sz="2" w:space="0" w:color="auto"/>
                    <w:right w:val="single" w:sz="4" w:space="0" w:color="auto"/>
                  </w:tcBorders>
                  <w:noWrap w:val="0"/>
                  <w:vAlign w:val="center"/>
                </w:tcPr>
                <w:p>
                  <w:pPr>
                    <w:widowControl/>
                    <w:jc w:val="center"/>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项目</w:t>
                  </w:r>
                  <w:r>
                    <w:rPr>
                      <w:rFonts w:ascii="Times New Roman" w:hAnsi="Times New Roman" w:cs="Times New Roman" w:hint="default"/>
                      <w:b/>
                      <w:bCs/>
                      <w:color w:val="000000" w:themeColor="text1"/>
                      <w:sz w:val="21"/>
                      <w:szCs w:val="21"/>
                      <w:highlight w:val="none"/>
                      <w14:textFill>
                        <w14:solidFill>
                          <w14:schemeClr w14:val="tx1"/>
                        </w14:solidFill>
                      </w14:textFill>
                    </w:rPr>
                    <w:t>建设内容</w:t>
                  </w:r>
                </w:p>
              </w:tc>
            </w:tr>
            <w:tr>
              <w:tblPrEx>
                <w:tblW w:w="9236" w:type="dxa"/>
                <w:jc w:val="center"/>
                <w:tblLayout w:type="fixed"/>
                <w:tblCellMar>
                  <w:top w:w="0" w:type="dxa"/>
                  <w:left w:w="108" w:type="dxa"/>
                  <w:bottom w:w="0" w:type="dxa"/>
                  <w:right w:w="108" w:type="dxa"/>
                </w:tblCellMar>
              </w:tblPrEx>
              <w:trPr>
                <w:trHeight w:val="187"/>
                <w:jc w:val="center"/>
              </w:trPr>
              <w:tc>
                <w:tcPr>
                  <w:tcW w:w="1336" w:type="dxa"/>
                  <w:tcBorders>
                    <w:left w:val="single" w:sz="4"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主体工程</w:t>
                  </w:r>
                </w:p>
              </w:tc>
              <w:tc>
                <w:tcPr>
                  <w:tcW w:w="1432" w:type="dxa"/>
                  <w:tcBorders>
                    <w:left w:val="single" w:sz="2" w:space="0" w:color="auto"/>
                    <w:right w:val="single" w:sz="2" w:space="0" w:color="auto"/>
                  </w:tcBorders>
                  <w:noWrap w:val="0"/>
                  <w:vAlign w:val="center"/>
                </w:tcPr>
                <w:p>
                  <w:pPr>
                    <w:spacing w:line="360" w:lineRule="exact"/>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酒店大楼</w:t>
                  </w:r>
                </w:p>
              </w:tc>
              <w:tc>
                <w:tcPr>
                  <w:tcW w:w="4336" w:type="dxa"/>
                  <w:tcBorders>
                    <w:left w:val="single" w:sz="2" w:space="0" w:color="auto"/>
                    <w:right w:val="single" w:sz="4" w:space="0" w:color="auto"/>
                  </w:tcBorders>
                  <w:noWrap w:val="0"/>
                  <w:vAlign w:val="center"/>
                </w:tcPr>
                <w:p>
                  <w:pPr>
                    <w:spacing w:line="360" w:lineRule="exact"/>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依托现有大楼的一~三层楼</w:t>
                  </w:r>
                </w:p>
              </w:tc>
              <w:tc>
                <w:tcPr>
                  <w:tcW w:w="2132" w:type="dxa"/>
                  <w:tcBorders>
                    <w:left w:val="single" w:sz="2" w:space="0" w:color="auto"/>
                    <w:right w:val="single" w:sz="4" w:space="0" w:color="auto"/>
                  </w:tcBorders>
                  <w:noWrap w:val="0"/>
                  <w:vAlign w:val="center"/>
                </w:tcPr>
                <w:p>
                  <w:pPr>
                    <w:spacing w:line="360" w:lineRule="exact"/>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装修改造</w:t>
                  </w:r>
                </w:p>
              </w:tc>
            </w:tr>
            <w:tr>
              <w:tblPrEx>
                <w:tblW w:w="9236" w:type="dxa"/>
                <w:jc w:val="center"/>
                <w:tblLayout w:type="fixed"/>
                <w:tblCellMar>
                  <w:top w:w="0" w:type="dxa"/>
                  <w:left w:w="108" w:type="dxa"/>
                  <w:bottom w:w="0" w:type="dxa"/>
                  <w:right w:w="108" w:type="dxa"/>
                </w:tblCellMar>
              </w:tblPrEx>
              <w:trPr>
                <w:trHeight w:val="660"/>
                <w:jc w:val="center"/>
              </w:trPr>
              <w:tc>
                <w:tcPr>
                  <w:tcW w:w="1336" w:type="dxa"/>
                  <w:vMerge w:val="restart"/>
                  <w:tcBorders>
                    <w:left w:val="single" w:sz="4"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公用工程</w:t>
                  </w:r>
                </w:p>
              </w:tc>
              <w:tc>
                <w:tcPr>
                  <w:tcW w:w="1432" w:type="dxa"/>
                  <w:tcBorders>
                    <w:top w:val="single" w:sz="4" w:space="0" w:color="auto"/>
                    <w:left w:val="single" w:sz="2" w:space="0" w:color="auto"/>
                    <w:bottom w:val="single" w:sz="2"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排水工程</w:t>
                  </w:r>
                </w:p>
              </w:tc>
              <w:tc>
                <w:tcPr>
                  <w:tcW w:w="4336" w:type="dxa"/>
                  <w:tcBorders>
                    <w:top w:val="single" w:sz="4" w:space="0" w:color="auto"/>
                    <w:left w:val="single" w:sz="2" w:space="0" w:color="auto"/>
                    <w:bottom w:val="single" w:sz="2" w:space="0" w:color="auto"/>
                    <w:right w:val="single" w:sz="4"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依托排污系统</w:t>
                  </w:r>
                </w:p>
              </w:tc>
              <w:tc>
                <w:tcPr>
                  <w:tcW w:w="2132" w:type="dxa"/>
                  <w:tcBorders>
                    <w:top w:val="single" w:sz="4" w:space="0" w:color="auto"/>
                    <w:left w:val="single" w:sz="2" w:space="0" w:color="auto"/>
                    <w:bottom w:val="single" w:sz="2" w:space="0" w:color="auto"/>
                    <w:right w:val="single" w:sz="4"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雨污分流</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污废合流</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新建污水处理站、事故池，污水处理规模为</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20</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m</w:t>
                  </w:r>
                  <w:r>
                    <w:rPr>
                      <w:rFonts w:ascii="Times New Roman" w:hAnsi="Times New Roman" w:cs="Times New Roman" w:hint="default"/>
                      <w:color w:val="000000" w:themeColor="text1"/>
                      <w:sz w:val="21"/>
                      <w:szCs w:val="21"/>
                      <w:highlight w:val="none"/>
                      <w:vertAlign w:val="superscript"/>
                      <w:lang w:val="en-US" w:eastAsia="zh-CN"/>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/d</w:t>
                  </w:r>
                </w:p>
              </w:tc>
            </w:tr>
            <w:tr>
              <w:tblPrEx>
                <w:tblW w:w="9236" w:type="dxa"/>
                <w:jc w:val="center"/>
                <w:tblLayout w:type="fixed"/>
                <w:tblCellMar>
                  <w:top w:w="0" w:type="dxa"/>
                  <w:left w:w="108" w:type="dxa"/>
                  <w:bottom w:w="0" w:type="dxa"/>
                  <w:right w:w="108" w:type="dxa"/>
                </w:tblCellMar>
              </w:tblPrEx>
              <w:trPr>
                <w:trHeight w:val="660"/>
                <w:jc w:val="center"/>
              </w:trPr>
              <w:tc>
                <w:tcPr>
                  <w:tcW w:w="1336" w:type="dxa"/>
                  <w:vMerge/>
                  <w:tcBorders>
                    <w:left w:val="single" w:sz="4"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432" w:type="dxa"/>
                  <w:tcBorders>
                    <w:top w:val="single" w:sz="4" w:space="0" w:color="auto"/>
                    <w:left w:val="single" w:sz="2" w:space="0" w:color="auto"/>
                    <w:bottom w:val="single" w:sz="4"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供电工程</w:t>
                  </w:r>
                </w:p>
              </w:tc>
              <w:tc>
                <w:tcPr>
                  <w:tcW w:w="4336" w:type="dxa"/>
                  <w:tcBorders>
                    <w:top w:val="single" w:sz="4" w:space="0" w:color="auto"/>
                    <w:left w:val="single" w:sz="2" w:space="0" w:color="auto"/>
                    <w:bottom w:val="single" w:sz="4" w:space="0" w:color="auto"/>
                    <w:right w:val="single" w:sz="4"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提供</w:t>
                  </w:r>
                  <w:r>
                    <w:rPr>
                      <w:rFonts w:ascii="Times New Roman" w:hAnsi="Times New Roman" w:cs="Times New Roman" w:hint="default"/>
                      <w:color w:val="000000" w:themeColor="text1"/>
                      <w:sz w:val="21"/>
                      <w:szCs w:val="21"/>
                      <w:highlight w:val="none"/>
                      <w:lang w:eastAsia="zh-CN"/>
                      <w14:textFill>
                        <w14:solidFill>
                          <w14:schemeClr w14:val="tx1"/>
                        </w14:solidFill>
                      </w14:textFill>
                    </w:rPr>
                    <w:t>发电机</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位置</w:t>
                  </w:r>
                </w:p>
              </w:tc>
              <w:tc>
                <w:tcPr>
                  <w:tcW w:w="2132" w:type="dxa"/>
                  <w:tcBorders>
                    <w:top w:val="single" w:sz="4" w:space="0" w:color="auto"/>
                    <w:left w:val="single" w:sz="2" w:space="0" w:color="auto"/>
                    <w:bottom w:val="single" w:sz="4" w:space="0" w:color="auto"/>
                    <w:right w:val="single" w:sz="4"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eastAsia="zh-CN"/>
                      <w14:textFill>
                        <w14:solidFill>
                          <w14:schemeClr w14:val="tx1"/>
                        </w14:solidFill>
                      </w14:textFill>
                    </w:rPr>
                    <w:t>新增其他供电设施</w:t>
                  </w:r>
                </w:p>
              </w:tc>
            </w:tr>
            <w:tr>
              <w:tblPrEx>
                <w:tblW w:w="9236" w:type="dxa"/>
                <w:jc w:val="center"/>
                <w:tblLayout w:type="fixed"/>
                <w:tblCellMar>
                  <w:top w:w="0" w:type="dxa"/>
                  <w:left w:w="108" w:type="dxa"/>
                  <w:bottom w:w="0" w:type="dxa"/>
                  <w:right w:w="108" w:type="dxa"/>
                </w:tblCellMar>
              </w:tblPrEx>
              <w:trPr>
                <w:trHeight w:val="660"/>
                <w:jc w:val="center"/>
              </w:trPr>
              <w:tc>
                <w:tcPr>
                  <w:tcW w:w="1336" w:type="dxa"/>
                  <w:vMerge/>
                  <w:tcBorders>
                    <w:left w:val="single" w:sz="4"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432" w:type="dxa"/>
                  <w:tcBorders>
                    <w:top w:val="single" w:sz="4" w:space="0" w:color="auto"/>
                    <w:left w:val="single" w:sz="2" w:space="0" w:color="auto"/>
                    <w:bottom w:val="single" w:sz="2" w:space="0" w:color="auto"/>
                    <w:right w:val="single" w:sz="2"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消防工程</w:t>
                  </w:r>
                </w:p>
              </w:tc>
              <w:tc>
                <w:tcPr>
                  <w:tcW w:w="4336" w:type="dxa"/>
                  <w:tcBorders>
                    <w:top w:val="single" w:sz="4" w:space="0" w:color="auto"/>
                    <w:left w:val="single" w:sz="2" w:space="0" w:color="auto"/>
                    <w:bottom w:val="single" w:sz="2" w:space="0" w:color="auto"/>
                    <w:right w:val="single" w:sz="4"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依托消防系统</w:t>
                  </w:r>
                </w:p>
              </w:tc>
              <w:tc>
                <w:tcPr>
                  <w:tcW w:w="2132" w:type="dxa"/>
                  <w:tcBorders>
                    <w:top w:val="single" w:sz="4" w:space="0" w:color="auto"/>
                    <w:left w:val="single" w:sz="2" w:space="0" w:color="auto"/>
                    <w:bottom w:val="single" w:sz="2" w:space="0" w:color="auto"/>
                    <w:right w:val="single" w:sz="4" w:space="0" w:color="auto"/>
                  </w:tcBorders>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新增消防水池、泵房</w:t>
                  </w:r>
                </w:p>
              </w:tc>
            </w:tr>
          </w:tbl>
          <w:p>
            <w:pPr>
              <w:spacing w:after="0" w:line="360" w:lineRule="auto"/>
              <w:ind w:firstLine="420" w:firstLineChars="200"/>
              <w:jc w:val="both"/>
              <w:rPr>
                <w:rFonts w:ascii="Times New Roman" w:hAnsi="Times New Roman" w:cs="Times New Roman" w:hint="default"/>
                <w:color w:val="000000" w:themeColor="text1"/>
                <w:szCs w:val="21"/>
                <w:highlight w:val="none"/>
                <w14:textFill>
                  <w14:solidFill>
                    <w14:schemeClr w14:val="tx1"/>
                  </w14:solidFill>
                </w14:textFill>
              </w:rPr>
            </w:pPr>
          </w:p>
        </w:tc>
      </w:tr>
    </w:tbl>
    <w:p>
      <w:pPr>
        <w:sectPr>
          <w:footerReference w:type="default" r:id="rId22"/>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4"/>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90"/>
          <w:jc w:val="center"/>
        </w:trPr>
        <w:tc>
          <w:tcPr>
            <w:tcW w:w="420"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工艺流程和产排污环节</w:t>
            </w:r>
          </w:p>
        </w:tc>
        <w:tc>
          <w:tcPr>
            <w:tcW w:w="9868"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top"/>
          </w:tcPr>
          <w:p>
            <w:pPr>
              <w:spacing w:before="156" w:beforeLines="50" w:line="360" w:lineRule="auto"/>
              <w:rPr>
                <w:rFonts w:ascii="Times New Roman" w:hAnsi="Times New Roman" w:cs="Times New Roman" w:hint="default"/>
                <w:b/>
                <w:bCs/>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工艺流程简述（图示）：</w:t>
            </w:r>
          </w:p>
          <w:p>
            <w:pPr>
              <w:keepNext w:val="0"/>
              <w:keepLines w:val="0"/>
              <w:pageBreakBefore w:val="0"/>
              <w:kinsoku/>
              <w:wordWrap/>
              <w:overflowPunct/>
              <w:topLinePunct w:val="0"/>
              <w:bidi w:val="0"/>
              <w:snapToGrid/>
              <w:spacing w:line="360" w:lineRule="auto"/>
              <w:ind w:left="105" w:right="105" w:leftChars="50" w:rightChars="50"/>
              <w:jc w:val="left"/>
              <w:rPr>
                <w:rFonts w:ascii="Times New Roman" w:eastAsia="宋体" w:hAnsi="Times New Roman" w:cs="Times New Roman" w:hint="default"/>
                <w:b/>
                <w:bCs/>
                <w:color w:val="000000" w:themeColor="text1"/>
                <w:kern w:val="0"/>
                <w:szCs w:val="21"/>
                <w:highlight w:val="no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14:textFill>
                  <w14:solidFill>
                    <w14:schemeClr w14:val="tx1"/>
                  </w14:solidFill>
                </w14:textFill>
              </w:rPr>
              <w:t>一、施工期工艺流程及产污环节</w:t>
            </w:r>
          </w:p>
          <w:p>
            <w:pPr>
              <w:keepNext w:val="0"/>
              <w:keepLines w:val="0"/>
              <w:pageBreakBefore w:val="0"/>
              <w:widowControl w:val="0"/>
              <w:kinsoku/>
              <w:wordWrap/>
              <w:overflowPunct/>
              <w:topLinePunct w:val="0"/>
              <w:autoSpaceDE w:val="0"/>
              <w:autoSpaceDN w:val="0"/>
              <w:bidi w:val="0"/>
              <w:adjustRightInd w:val="0"/>
              <w:snapToGrid/>
              <w:spacing w:after="0" w:line="360" w:lineRule="auto"/>
              <w:ind w:firstLine="420" w:firstLineChars="200"/>
              <w:jc w:val="both"/>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项目租用已有建筑物，施工期主要是对租赁楼层内部进行装修，</w:t>
            </w:r>
            <w:r>
              <w:rPr>
                <w:rFonts w:ascii="Times New Roman" w:hAnsi="Times New Roman" w:eastAsiaTheme="minorEastAsia" w:cs="Times New Roman" w:hint="default"/>
                <w:color w:val="000000" w:themeColor="text1"/>
                <w:sz w:val="21"/>
                <w:szCs w:val="21"/>
                <w:highlight w:val="none"/>
                <w:lang w:eastAsia="zh-CN"/>
                <w14:textFill>
                  <w14:solidFill>
                    <w14:schemeClr w14:val="tx1"/>
                  </w14:solidFill>
                </w14:textFill>
              </w:rPr>
              <w:t>项目施工过程产生的主要环境问题为装修废气、固体废物及噪声。</w:t>
            </w:r>
            <w:r>
              <w:rPr>
                <w:rFonts w:ascii="Times New Roman" w:hAnsi="Times New Roman" w:eastAsiaTheme="minorEastAsia" w:cs="Times New Roman" w:hint="default"/>
                <w:color w:val="000000" w:themeColor="text1"/>
                <w:sz w:val="21"/>
                <w:szCs w:val="21"/>
                <w:highlight w:val="none"/>
                <w:lang w:val="en-US" w:eastAsia="zh-CN"/>
                <w14:textFill>
                  <w14:solidFill>
                    <w14:schemeClr w14:val="tx1"/>
                  </w14:solidFill>
                </w14:textFill>
              </w:rPr>
              <w:t>本项目施工期产污环节见下图。</w:t>
            </w:r>
          </w:p>
          <w:p>
            <w:pPr>
              <w:widowControl w:val="0"/>
              <w:autoSpaceDE w:val="0"/>
              <w:autoSpaceDN w:val="0"/>
              <w:adjustRightInd w:val="0"/>
              <w:spacing w:after="0"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drawing>
                <wp:inline distT="0" distB="0" distL="114300" distR="114300">
                  <wp:extent cx="5381625" cy="1152525"/>
                  <wp:effectExtent l="0" t="0" r="9525" b="9525"/>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xmlns:r="http://schemas.openxmlformats.org/officeDocument/2006/relationships" r:embed="rId23"/>
                          <a:stretch>
                            <a:fillRect/>
                          </a:stretch>
                        </pic:blipFill>
                        <pic:spPr>
                          <a:xfrm>
                            <a:off x="0" y="0"/>
                            <a:ext cx="5381625" cy="1152525"/>
                          </a:xfrm>
                          <a:prstGeom prst="rect">
                            <a:avLst/>
                          </a:prstGeom>
                          <a:noFill/>
                          <a:ln>
                            <a:noFill/>
                          </a:ln>
                        </pic:spPr>
                      </pic:pic>
                    </a:graphicData>
                  </a:graphic>
                </wp:inline>
              </w:drawing>
            </w:r>
          </w:p>
          <w:p>
            <w:pPr>
              <w:widowControl w:val="0"/>
              <w:spacing w:after="0" w:line="288" w:lineRule="auto"/>
              <w:ind w:firstLine="420" w:firstLineChars="20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图2 施工期工艺流程及产污环节</w:t>
            </w:r>
          </w:p>
          <w:p>
            <w:pPr>
              <w:keepNext w:val="0"/>
              <w:keepLines w:val="0"/>
              <w:pageBreakBefore w:val="0"/>
              <w:widowControl/>
              <w:kinsoku/>
              <w:wordWrap/>
              <w:overflowPunct/>
              <w:topLinePunct w:val="0"/>
              <w:autoSpaceDE/>
              <w:autoSpaceDN/>
              <w:bidi w:val="0"/>
              <w:adjustRightInd/>
              <w:snapToGrid/>
              <w:spacing w:before="0" w:beforeLines="0" w:after="0" w:afterLines="0" w:line="500" w:lineRule="exact"/>
              <w:ind w:right="0" w:firstLine="481" w:rightChars="0" w:firstLineChars="0"/>
              <w:jc w:val="left"/>
              <w:textAlignment w:val="auto"/>
              <w:outlineLvl w:val="9"/>
              <w:rPr>
                <w:rFonts w:ascii="Times New Roman" w:eastAsia="宋体" w:hAnsi="Times New Roman" w:cs="Times New Roman" w:hint="default"/>
                <w:b/>
                <w:color w:val="000000" w:themeColor="text1"/>
                <w:kern w:val="0"/>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项目位于海南省三亚市吉阳区商品街十巷A01号，租用整栋大楼建设眼科医院。</w:t>
            </w:r>
            <w:r>
              <w:rPr>
                <w:rFonts w:ascii="Times New Roman" w:eastAsia="宋体" w:hAnsi="Times New Roman" w:cs="Times New Roman" w:hint="default"/>
                <w:bCs/>
                <w:color w:val="000000" w:themeColor="text1"/>
                <w:kern w:val="0"/>
                <w:sz w:val="21"/>
                <w:szCs w:val="21"/>
                <w:highlight w:val="none"/>
                <w14:textFill>
                  <w14:solidFill>
                    <w14:schemeClr w14:val="tx1"/>
                  </w14:solidFill>
                </w14:textFill>
              </w:rPr>
              <w:t>施工期主要为</w:t>
            </w:r>
            <w:r>
              <w:rPr>
                <w:rFonts w:ascii="Times New Roman" w:eastAsia="宋体" w:hAnsi="Times New Roman" w:cs="Times New Roman" w:hint="default"/>
                <w:bCs/>
                <w:color w:val="000000" w:themeColor="text1"/>
                <w:kern w:val="0"/>
                <w:sz w:val="21"/>
                <w:szCs w:val="21"/>
                <w:highlight w:val="none"/>
                <w:lang w:eastAsia="zh-CN"/>
                <w14:textFill>
                  <w14:solidFill>
                    <w14:schemeClr w14:val="tx1"/>
                  </w14:solidFill>
                </w14:textFill>
              </w:rPr>
              <w:t>大楼</w:t>
            </w:r>
            <w:r>
              <w:rPr>
                <w:rFonts w:ascii="Times New Roman" w:eastAsia="宋体" w:hAnsi="Times New Roman" w:cs="Times New Roman" w:hint="default"/>
                <w:bCs/>
                <w:color w:val="000000" w:themeColor="text1"/>
                <w:kern w:val="0"/>
                <w:sz w:val="21"/>
                <w:szCs w:val="21"/>
                <w:highlight w:val="none"/>
                <w14:textFill>
                  <w14:solidFill>
                    <w14:schemeClr w14:val="tx1"/>
                  </w14:solidFill>
                </w14:textFill>
              </w:rPr>
              <w:t>内部装修，</w:t>
            </w:r>
            <w:r>
              <w:rPr>
                <w:rFonts w:ascii="Times New Roman" w:eastAsia="宋体" w:hAnsi="Times New Roman" w:cs="Times New Roman" w:hint="default"/>
                <w:color w:val="000000" w:themeColor="text1"/>
                <w:sz w:val="21"/>
                <w:szCs w:val="21"/>
                <w:highlight w:val="none"/>
                <w14:textFill>
                  <w14:solidFill>
                    <w14:schemeClr w14:val="tx1"/>
                  </w14:solidFill>
                </w14:textFill>
              </w:rPr>
              <w:t>施工期主要为室内装修过程产生的污染，</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各项施工活动，物料运输将不可避免地产生扬尘、废水、噪声和固体废物的影响，</w:t>
            </w:r>
            <w:r>
              <w:rPr>
                <w:rFonts w:ascii="Times New Roman" w:eastAsia="宋体" w:hAnsi="Times New Roman" w:cs="Times New Roman" w:hint="default"/>
                <w:color w:val="000000" w:themeColor="text1"/>
                <w:sz w:val="21"/>
                <w:szCs w:val="21"/>
                <w:highlight w:val="none"/>
                <w14:textFill>
                  <w14:solidFill>
                    <w14:schemeClr w14:val="tx1"/>
                  </w14:solidFill>
                </w14:textFill>
              </w:rPr>
              <w:t>装修工序会产生噪声、扬尘、固体废弃物、少量污水和废气等污染物</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项目设备安装过程中产生的包装垃圾以及设备安装的敲打声等。</w:t>
            </w:r>
          </w:p>
          <w:p>
            <w:pPr>
              <w:keepNext w:val="0"/>
              <w:keepLines w:val="0"/>
              <w:pageBreakBefore w:val="0"/>
              <w:kinsoku/>
              <w:wordWrap/>
              <w:overflowPunct/>
              <w:topLinePunct w:val="0"/>
              <w:bidi w:val="0"/>
              <w:snapToGrid/>
              <w:spacing w:line="360" w:lineRule="auto"/>
              <w:ind w:left="105" w:right="105" w:leftChars="50" w:rightChars="50"/>
              <w:rPr>
                <w:rFonts w:ascii="Times New Roman" w:eastAsia="宋体" w:hAnsi="Times New Roman" w:cs="Times New Roman" w:hint="default"/>
                <w:b/>
                <w:bCs/>
                <w:snapToGrid w:val="0"/>
                <w:color w:val="000000" w:themeColor="text1"/>
                <w:kern w:val="0"/>
                <w:szCs w:val="21"/>
                <w:highlight w:val="none"/>
                <w14:textFill>
                  <w14:solidFill>
                    <w14:schemeClr w14:val="tx1"/>
                  </w14:solidFill>
                </w14:textFill>
              </w:rPr>
            </w:pPr>
            <w:r>
              <w:rPr>
                <w:rFonts w:ascii="Times New Roman" w:eastAsia="宋体" w:hAnsi="Times New Roman" w:cs="Times New Roman" w:hint="default"/>
                <w:b/>
                <w:bCs/>
                <w:snapToGrid w:val="0"/>
                <w:color w:val="000000" w:themeColor="text1"/>
                <w:kern w:val="0"/>
                <w:sz w:val="21"/>
                <w:szCs w:val="21"/>
                <w:highlight w:val="none"/>
                <w14:textFill>
                  <w14:solidFill>
                    <w14:schemeClr w14:val="tx1"/>
                  </w14:solidFill>
                </w14:textFill>
              </w:rPr>
              <w:t>二、运营期生产工艺及产污环节流程</w:t>
            </w:r>
          </w:p>
          <w:p>
            <w:pPr>
              <w:keepNext w:val="0"/>
              <w:keepLines w:val="0"/>
              <w:pageBreakBefore w:val="0"/>
              <w:widowControl w:val="0"/>
              <w:kinsoku/>
              <w:wordWrap/>
              <w:overflowPunct/>
              <w:topLinePunct w:val="0"/>
              <w:autoSpaceDE w:val="0"/>
              <w:autoSpaceDN w:val="0"/>
              <w:bidi w:val="0"/>
              <w:adjustRightInd w:val="0"/>
              <w:snapToGrid/>
              <w:spacing w:after="0" w:line="360" w:lineRule="auto"/>
              <w:ind w:left="0" w:right="0" w:firstLine="420" w:leftChars="0" w:rightChars="0" w:firstLineChars="200"/>
              <w:jc w:val="left"/>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1、运营期产污流程图</w:t>
            </w:r>
          </w:p>
          <w:p>
            <w:pPr>
              <w:keepNext w:val="0"/>
              <w:keepLines w:val="0"/>
              <w:pageBreakBefore w:val="0"/>
              <w:widowControl w:val="0"/>
              <w:kinsoku/>
              <w:wordWrap/>
              <w:overflowPunct/>
              <w:topLinePunct w:val="0"/>
              <w:autoSpaceDE w:val="0"/>
              <w:autoSpaceDN w:val="0"/>
              <w:bidi w:val="0"/>
              <w:adjustRightInd w:val="0"/>
              <w:snapToGrid/>
              <w:spacing w:after="0" w:line="360" w:lineRule="auto"/>
              <w:ind w:left="0" w:right="0" w:firstLine="420" w:leftChars="0" w:rightChars="0" w:firstLineChars="200"/>
              <w:jc w:val="left"/>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本医院建成后主要诊疗科目包括：青白科、大视光科、屈光科、眼底病科、角膜病及眼表科、泪道及整形科、综合眼病科及干眼科等；共设置20张病床，门诊量为30人/d。本项目的诊疗流程如下图所示。主要污染物为：各类生活污水和医疗废水；废气主要为</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医院含病原体废气、</w:t>
            </w: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污水处理间臭气和备用发电机废气等；噪声主要为各类设备噪声和生活噪声；固废主要为</w:t>
            </w:r>
            <w:r>
              <w:rPr>
                <w:rFonts w:ascii="Times New Roman" w:eastAsia="宋体" w:hAnsi="Times New Roman" w:cs="Times New Roman" w:hint="eastAsia"/>
                <w:color w:val="000000" w:themeColor="text1"/>
                <w:sz w:val="21"/>
                <w:szCs w:val="21"/>
                <w:highlight w:val="none"/>
                <w:lang w:val="en-US" w:eastAsia="zh-CN" w:bidi="ar-SA"/>
                <w14:textFill>
                  <w14:solidFill>
                    <w14:schemeClr w14:val="tx1"/>
                  </w14:solidFill>
                </w14:textFill>
              </w:rPr>
              <w:t>一般固废</w:t>
            </w: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及医疗废物。因此，本项目运营期产污环节见下图。</w:t>
            </w: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tc>
      </w:tr>
    </w:tbl>
    <w:p>
      <w:pPr>
        <w:sectPr>
          <w:footerReference w:type="default" r:id="rId24"/>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5"/>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90"/>
          <w:jc w:val="center"/>
        </w:trPr>
        <w:tc>
          <w:tcPr>
            <w:tcW w:w="420"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tc>
        <w:tc>
          <w:tcPr>
            <w:tcW w:w="9868"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top"/>
          </w:tcPr>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21"/>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pPr>
          </w:p>
          <w:p>
            <w:pPr>
              <w:pStyle w:val="11"/>
              <w:rPr>
                <w:rFonts w:ascii="Times New Roman" w:hAnsi="Times New Roman" w:cs="Times New Roman" w:hint="default"/>
                <w:color w:val="000000" w:themeColor="text1"/>
                <w:szCs w:val="21"/>
                <w:lang w:val="en-US" w:eastAsia="zh-CN"/>
                <w14:textFill>
                  <w14:solidFill>
                    <w14:schemeClr w14:val="tx1"/>
                  </w14:solidFill>
                </w14:textFill>
              </w:rPr>
            </w:pPr>
          </w:p>
          <w:p>
            <w:pPr>
              <w:widowControl w:val="0"/>
              <w:adjustRightInd w:val="0"/>
              <w:snapToGrid w:val="0"/>
              <w:spacing w:beforeLines="0" w:after="0" w:afterLines="0" w:line="600" w:lineRule="exact"/>
              <w:jc w:val="both"/>
              <w:textAlignment w:val="baseline"/>
              <w:rPr>
                <w:rFonts w:ascii="Times New Roman" w:eastAsia="Times New Roman" w:hAnsi="Times New Roman" w:cs="Times New Roman" w:hint="default"/>
                <w:color w:val="000000" w:themeColor="text1"/>
                <w:kern w:val="0"/>
                <w:szCs w:val="21"/>
                <w:highlight w:val="no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mc:AlternateContent>
                <mc:Choice Requires="wpg">
                  <w:drawing>
                    <wp:anchor distT="0" distB="0" distL="114300" distR="114300" simplePos="0" relativeHeight="251759616" behindDoc="0" locked="0" layoutInCell="1" allowOverlap="1">
                      <wp:simplePos x="0" y="0"/>
                      <wp:positionH relativeFrom="column">
                        <wp:posOffset>439420</wp:posOffset>
                      </wp:positionH>
                      <wp:positionV relativeFrom="paragraph">
                        <wp:posOffset>135255</wp:posOffset>
                      </wp:positionV>
                      <wp:extent cx="5078095" cy="5181600"/>
                      <wp:effectExtent l="4445" t="4445" r="3810" b="0"/>
                      <wp:wrapNone/>
                      <wp:docPr id="356" name="组合 356"/>
                      <wp:cNvGraphicFramePr/>
                      <a:graphic xmlns:a="http://schemas.openxmlformats.org/drawingml/2006/main">
                        <a:graphicData uri="http://schemas.microsoft.com/office/word/2010/wordprocessingGroup">
                          <wpg:wgp xmlns:wpg="http://schemas.microsoft.com/office/word/2010/wordprocessingGroup">
                            <wpg:cNvGrpSpPr/>
                            <wpg:grpSpPr>
                              <a:xfrm>
                                <a:off x="0" y="0"/>
                                <a:ext cx="5078095" cy="5181600"/>
                                <a:chOff x="5251" y="413031"/>
                                <a:chExt cx="7997" cy="8160"/>
                              </a:xfrm>
                            </wpg:grpSpPr>
                            <wps:wsp xmlns:wps="http://schemas.microsoft.com/office/word/2010/wordprocessingShape">
                              <wps:cNvPr id="297" name="直接连接符 297"/>
                              <wps:cNvCnPr>
                                <a:cxnSpLocks noChangeAspect="1"/>
                              </wps:cNvCnPr>
                              <wps:spPr>
                                <a:xfrm>
                                  <a:off x="9543" y="415122"/>
                                  <a:ext cx="2" cy="2261"/>
                                </a:xfrm>
                                <a:prstGeom prst="line">
                                  <a:avLst/>
                                </a:prstGeom>
                                <a:ln w="3175">
                                  <a:solidFill>
                                    <a:srgbClr val="000000"/>
                                  </a:solidFill>
                                  <a:prstDash val="solid"/>
                                  <a:headEnd/>
                                  <a:tailEnd type="triangle"/>
                                </a:ln>
                              </wps:spPr>
                              <wps:bodyPr upright="1"/>
                            </wps:wsp>
                            <wps:wsp xmlns:wps="http://schemas.microsoft.com/office/word/2010/wordprocessingShape">
                              <wps:cNvPr id="298" name="直接连接符 298"/>
                              <wps:cNvCnPr/>
                              <wps:spPr>
                                <a:xfrm flipV="1">
                                  <a:off x="11539" y="415139"/>
                                  <a:ext cx="1157" cy="10"/>
                                </a:xfrm>
                                <a:prstGeom prst="line">
                                  <a:avLst/>
                                </a:prstGeom>
                                <a:ln w="9525">
                                  <a:solidFill>
                                    <a:srgbClr val="000000"/>
                                  </a:solidFill>
                                  <a:prstDash val="solid"/>
                                  <a:headEnd/>
                                  <a:tailEnd/>
                                </a:ln>
                              </wps:spPr>
                              <wps:bodyPr upright="1"/>
                            </wps:wsp>
                            <wps:wsp xmlns:wps="http://schemas.microsoft.com/office/word/2010/wordprocessingShape">
                              <wps:cNvPr id="299" name="直接连接符 299"/>
                              <wps:cNvCnPr/>
                              <wps:spPr>
                                <a:xfrm>
                                  <a:off x="12719" y="415134"/>
                                  <a:ext cx="10" cy="3868"/>
                                </a:xfrm>
                                <a:prstGeom prst="line">
                                  <a:avLst/>
                                </a:prstGeom>
                                <a:ln w="9525">
                                  <a:solidFill>
                                    <a:srgbClr val="000000"/>
                                  </a:solidFill>
                                  <a:prstDash val="solid"/>
                                  <a:headEnd/>
                                  <a:tailEnd type="triangle"/>
                                </a:ln>
                              </wps:spPr>
                              <wps:bodyPr upright="1"/>
                            </wps:wsp>
                            <wps:wsp xmlns:wps="http://schemas.microsoft.com/office/word/2010/wordprocessingShape">
                              <wps:cNvPr id="300" name="文本框 300"/>
                              <wps:cNvSpPr txBox="1"/>
                              <wps:spPr>
                                <a:xfrm>
                                  <a:off x="12464" y="415466"/>
                                  <a:ext cx="472" cy="2016"/>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办公生活垃圾</w:t>
                                    </w:r>
                                  </w:p>
                                </w:txbxContent>
                              </wps:txbx>
                              <wps:bodyPr upright="1"/>
                            </wps:wsp>
                            <wps:wsp xmlns:wps="http://schemas.microsoft.com/office/word/2010/wordprocessingShape">
                              <wps:cNvPr id="301" name="文本框 301"/>
                              <wps:cNvSpPr txBox="1"/>
                              <wps:spPr>
                                <a:xfrm>
                                  <a:off x="12346" y="419005"/>
                                  <a:ext cx="902" cy="1745"/>
                                </a:xfrm>
                                <a:prstGeom prst="rect">
                                  <a:avLst/>
                                </a:prstGeom>
                                <a:noFill/>
                                <a:ln>
                                  <a:noFill/>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集中收集交由环卫部门</w:t>
                                    </w:r>
                                  </w:p>
                                </w:txbxContent>
                              </wps:txbx>
                              <wps:bodyPr upright="1"/>
                            </wps:wsp>
                            <wps:wsp xmlns:wps="http://schemas.microsoft.com/office/word/2010/wordprocessingShape">
                              <wps:cNvPr id="302" name="直接箭头连接符 302"/>
                              <wps:cNvCnPr>
                                <a:cxnSpLocks noChangeAspect="1"/>
                              </wps:cNvCnPr>
                              <wps:spPr>
                                <a:xfrm>
                                  <a:off x="7965" y="415110"/>
                                  <a:ext cx="2" cy="2325"/>
                                </a:xfrm>
                                <a:prstGeom prst="straightConnector1">
                                  <a:avLst/>
                                </a:prstGeom>
                                <a:ln w="6350">
                                  <a:solidFill>
                                    <a:srgbClr val="000000"/>
                                  </a:solidFill>
                                  <a:prstDash val="solid"/>
                                  <a:headEnd/>
                                  <a:tailEnd type="triangle"/>
                                </a:ln>
                              </wps:spPr>
                              <wps:bodyPr/>
                            </wps:wsp>
                            <wpg:grpSp>
                              <wpg:cNvPr id="312" name="组合 312"/>
                              <wpg:cNvGrpSpPr/>
                              <wpg:grpSpPr>
                                <a:xfrm>
                                  <a:off x="5251" y="414279"/>
                                  <a:ext cx="1322" cy="4843"/>
                                  <a:chOff x="0" y="0"/>
                                  <a:chExt cx="1322" cy="4844"/>
                                </a:xfrm>
                              </wpg:grpSpPr>
                              <wps:wsp xmlns:wps="http://schemas.microsoft.com/office/word/2010/wordprocessingShape">
                                <wps:cNvPr id="304" name="直接连接符 304"/>
                                <wps:cNvCnPr/>
                                <wps:spPr>
                                  <a:xfrm>
                                    <a:off x="569" y="504"/>
                                    <a:ext cx="17" cy="2884"/>
                                  </a:xfrm>
                                  <a:prstGeom prst="line">
                                    <a:avLst/>
                                  </a:prstGeom>
                                  <a:ln w="9525">
                                    <a:solidFill>
                                      <a:srgbClr val="000000"/>
                                    </a:solidFill>
                                    <a:prstDash val="solid"/>
                                    <a:headEnd/>
                                    <a:tailEnd type="triangle"/>
                                  </a:ln>
                                </wps:spPr>
                                <wps:bodyPr upright="1"/>
                              </wps:wsp>
                              <wps:wsp xmlns:wps="http://schemas.microsoft.com/office/word/2010/wordprocessingShape">
                                <wps:cNvPr id="306" name="文本框 306"/>
                                <wps:cNvSpPr txBox="1"/>
                                <wps:spPr>
                                  <a:xfrm>
                                    <a:off x="312" y="1108"/>
                                    <a:ext cx="515" cy="1443"/>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机械设备</w:t>
                                      </w:r>
                                    </w:p>
                                  </w:txbxContent>
                                </wps:txbx>
                                <wps:bodyPr upright="1"/>
                              </wps:wsp>
                              <wps:wsp xmlns:wps="http://schemas.microsoft.com/office/word/2010/wordprocessingShape">
                                <wps:cNvPr id="307" name="文本框 307"/>
                                <wps:cNvSpPr txBox="1"/>
                                <wps:spPr>
                                  <a:xfrm>
                                    <a:off x="363" y="3433"/>
                                    <a:ext cx="454" cy="1411"/>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设备噪声</w:t>
                                      </w:r>
                                    </w:p>
                                  </w:txbxContent>
                                </wps:txbx>
                                <wps:bodyPr upright="1"/>
                              </wps:wsp>
                              <wps:wsp xmlns:wps="http://schemas.microsoft.com/office/word/2010/wordprocessingShape">
                                <wps:cNvPr id="308" name="文本框 308"/>
                                <wps:cNvSpPr txBox="1"/>
                                <wps:spPr>
                                  <a:xfrm>
                                    <a:off x="0" y="0"/>
                                    <a:ext cx="1322" cy="469"/>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配套设施</w:t>
                                      </w:r>
                                    </w:p>
                                  </w:txbxContent>
                                </wps:txbx>
                                <wps:bodyPr upright="1"/>
                              </wps:wsp>
                            </wpg:grpSp>
                            <wps:wsp xmlns:wps="http://schemas.microsoft.com/office/word/2010/wordprocessingShape">
                              <wps:cNvPr id="313" name="文本框 313"/>
                              <wps:cNvSpPr txBox="1"/>
                              <wps:spPr>
                                <a:xfrm>
                                  <a:off x="7777" y="415497"/>
                                  <a:ext cx="403" cy="1394"/>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宋体" w:eastAsia="宋体" w:hAnsi="宋体" w:cs="Times New Roman" w:hint="eastAsia"/>
                                        <w:sz w:val="21"/>
                                      </w:rPr>
                                      <w:t>检验废液</w:t>
                                    </w:r>
                                  </w:p>
                                </w:txbxContent>
                              </wps:txbx>
                              <wps:bodyPr upright="1"/>
                            </wps:wsp>
                            <wps:wsp xmlns:wps="http://schemas.microsoft.com/office/word/2010/wordprocessingShape">
                              <wps:cNvPr id="314" name="直接连接符 314"/>
                              <wps:cNvCnPr>
                                <a:cxnSpLocks noChangeAspect="1"/>
                              </wps:cNvCnPr>
                              <wps:spPr>
                                <a:xfrm>
                                  <a:off x="11548" y="415118"/>
                                  <a:ext cx="18" cy="2301"/>
                                </a:xfrm>
                                <a:prstGeom prst="line">
                                  <a:avLst/>
                                </a:prstGeom>
                                <a:ln w="9525">
                                  <a:solidFill>
                                    <a:srgbClr val="000000"/>
                                  </a:solidFill>
                                  <a:prstDash val="solid"/>
                                  <a:headEnd/>
                                  <a:tailEnd type="triangle"/>
                                </a:ln>
                              </wps:spPr>
                              <wps:bodyPr upright="1"/>
                            </wps:wsp>
                            <wps:wsp xmlns:wps="http://schemas.microsoft.com/office/word/2010/wordprocessingShape">
                              <wps:cNvPr id="315" name="直接箭头连接符 315"/>
                              <wps:cNvCnPr/>
                              <wps:spPr>
                                <a:xfrm>
                                  <a:off x="8749" y="418742"/>
                                  <a:ext cx="1" cy="364"/>
                                </a:xfrm>
                                <a:prstGeom prst="straightConnector1">
                                  <a:avLst/>
                                </a:prstGeom>
                                <a:ln w="6350">
                                  <a:solidFill>
                                    <a:srgbClr val="000000"/>
                                  </a:solidFill>
                                  <a:prstDash val="solid"/>
                                  <a:headEnd/>
                                  <a:tailEnd type="triangle"/>
                                </a:ln>
                              </wps:spPr>
                              <wps:bodyPr/>
                            </wps:wsp>
                            <wps:wsp xmlns:wps="http://schemas.microsoft.com/office/word/2010/wordprocessingShape">
                              <wps:cNvPr id="316" name="文本框 316"/>
                              <wps:cNvSpPr txBox="1"/>
                              <wps:spPr>
                                <a:xfrm>
                                  <a:off x="7389" y="414277"/>
                                  <a:ext cx="1993" cy="469"/>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医疗、医技活动</w:t>
                                    </w:r>
                                  </w:p>
                                </w:txbxContent>
                              </wps:txbx>
                              <wps:bodyPr upright="1"/>
                            </wps:wsp>
                            <wps:wsp xmlns:wps="http://schemas.microsoft.com/office/word/2010/wordprocessingShape">
                              <wps:cNvPr id="317" name="直接箭头连接符 317"/>
                              <wps:cNvCnPr/>
                              <wps:spPr>
                                <a:xfrm>
                                  <a:off x="11913" y="418652"/>
                                  <a:ext cx="1" cy="1491"/>
                                </a:xfrm>
                                <a:prstGeom prst="straightConnector1">
                                  <a:avLst/>
                                </a:prstGeom>
                                <a:ln w="6350">
                                  <a:solidFill>
                                    <a:srgbClr val="000000"/>
                                  </a:solidFill>
                                  <a:prstDash val="solid"/>
                                  <a:headEnd/>
                                  <a:tailEnd type="triangle"/>
                                </a:ln>
                              </wps:spPr>
                              <wps:bodyPr/>
                            </wps:wsp>
                            <wpg:grpSp>
                              <wpg:cNvPr id="329" name="组合 329"/>
                              <wpg:cNvGrpSpPr/>
                              <wpg:grpSpPr>
                                <a:xfrm>
                                  <a:off x="9322" y="417373"/>
                                  <a:ext cx="3188" cy="3818"/>
                                  <a:chOff x="0" y="0"/>
                                  <a:chExt cx="2738" cy="4056"/>
                                </a:xfrm>
                              </wpg:grpSpPr>
                              <wps:wsp xmlns:wps="http://schemas.microsoft.com/office/word/2010/wordprocessingShape">
                                <wps:cNvPr id="318" name="直接箭头连接符 318"/>
                                <wps:cNvCnPr/>
                                <wps:spPr>
                                  <a:xfrm>
                                    <a:off x="400" y="1359"/>
                                    <a:ext cx="1" cy="1584"/>
                                  </a:xfrm>
                                  <a:prstGeom prst="straightConnector1">
                                    <a:avLst/>
                                  </a:prstGeom>
                                  <a:ln w="6350">
                                    <a:solidFill>
                                      <a:srgbClr val="000000"/>
                                    </a:solidFill>
                                    <a:prstDash val="solid"/>
                                    <a:headEnd/>
                                    <a:tailEnd type="triangle"/>
                                  </a:ln>
                                </wps:spPr>
                                <wps:bodyPr/>
                              </wps:wsp>
                              <wps:wsp xmlns:wps="http://schemas.microsoft.com/office/word/2010/wordprocessingShape">
                                <wps:cNvPr id="319" name="直接箭头连接符 319"/>
                                <wps:cNvCnPr/>
                                <wps:spPr>
                                  <a:xfrm>
                                    <a:off x="1262" y="1359"/>
                                    <a:ext cx="1" cy="1584"/>
                                  </a:xfrm>
                                  <a:prstGeom prst="straightConnector1">
                                    <a:avLst/>
                                  </a:prstGeom>
                                  <a:ln w="6350">
                                    <a:solidFill>
                                      <a:srgbClr val="000000"/>
                                    </a:solidFill>
                                    <a:prstDash val="solid"/>
                                    <a:headEnd/>
                                    <a:tailEnd type="triangle"/>
                                  </a:ln>
                                </wps:spPr>
                                <wps:bodyPr/>
                              </wps:wsp>
                              <wps:wsp xmlns:wps="http://schemas.microsoft.com/office/word/2010/wordprocessingShape">
                                <wps:cNvPr id="320" name="文本框 320"/>
                                <wps:cNvSpPr txBox="1"/>
                                <wps:spPr>
                                  <a:xfrm>
                                    <a:off x="1061" y="1801"/>
                                    <a:ext cx="454" cy="776"/>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废气</w:t>
                                      </w:r>
                                    </w:p>
                                  </w:txbxContent>
                                </wps:txbx>
                                <wps:bodyPr upright="1"/>
                              </wps:wsp>
                              <wps:wsp xmlns:wps="http://schemas.microsoft.com/office/word/2010/wordprocessingShape">
                                <wps:cNvPr id="321" name="文本框 321"/>
                                <wps:cNvSpPr txBox="1"/>
                                <wps:spPr>
                                  <a:xfrm>
                                    <a:off x="2036" y="1788"/>
                                    <a:ext cx="454" cy="776"/>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污泥</w:t>
                                      </w:r>
                                    </w:p>
                                  </w:txbxContent>
                                </wps:txbx>
                                <wps:bodyPr upright="1"/>
                              </wps:wsp>
                              <wps:wsp xmlns:wps="http://schemas.microsoft.com/office/word/2010/wordprocessingShape">
                                <wps:cNvPr id="322" name="文本框 322"/>
                                <wps:cNvSpPr txBox="1"/>
                                <wps:spPr>
                                  <a:xfrm>
                                    <a:off x="170" y="1790"/>
                                    <a:ext cx="454" cy="776"/>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废水</w:t>
                                      </w:r>
                                    </w:p>
                                  </w:txbxContent>
                                </wps:txbx>
                                <wps:bodyPr upright="1"/>
                              </wps:wsp>
                              <wps:wsp xmlns:wps="http://schemas.microsoft.com/office/word/2010/wordprocessingShape">
                                <wps:cNvPr id="323" name="文本框 323"/>
                                <wps:cNvSpPr txBox="1"/>
                                <wps:spPr>
                                  <a:xfrm>
                                    <a:off x="212" y="882"/>
                                    <a:ext cx="2142" cy="478"/>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污水处理站</w:t>
                                      </w:r>
                                    </w:p>
                                  </w:txbxContent>
                                </wps:txbx>
                                <wps:bodyPr upright="1"/>
                              </wps:wsp>
                              <wps:wsp xmlns:wps="http://schemas.microsoft.com/office/word/2010/wordprocessingShape">
                                <wps:cNvPr id="324" name="文本框 324"/>
                                <wps:cNvSpPr txBox="1"/>
                                <wps:spPr>
                                  <a:xfrm>
                                    <a:off x="106" y="0"/>
                                    <a:ext cx="2351" cy="469"/>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Times New Roman" w:eastAsia="宋体" w:hAnsi="Times New Roman" w:cs="Times New Roman" w:hint="eastAsia"/>
                                        </w:rPr>
                                      </w:pPr>
                                      <w:r>
                                        <w:rPr>
                                          <w:rFonts w:ascii="Calibri" w:eastAsia="宋体" w:hAnsi="Calibri" w:cs="Times New Roman" w:hint="eastAsia"/>
                                          <w:sz w:val="21"/>
                                        </w:rPr>
                                        <w:t>化粪池</w:t>
                                      </w:r>
                                    </w:p>
                                  </w:txbxContent>
                                </wps:txbx>
                                <wps:bodyPr upright="1"/>
                              </wps:wsp>
                              <wps:wsp xmlns:wps="http://schemas.microsoft.com/office/word/2010/wordprocessingShape">
                                <wps:cNvPr id="325" name="直接箭头连接符 325"/>
                                <wps:cNvCnPr/>
                                <wps:spPr>
                                  <a:xfrm>
                                    <a:off x="1272" y="471"/>
                                    <a:ext cx="1" cy="422"/>
                                  </a:xfrm>
                                  <a:prstGeom prst="straightConnector1">
                                    <a:avLst/>
                                  </a:prstGeom>
                                  <a:ln w="6350">
                                    <a:solidFill>
                                      <a:srgbClr val="000000"/>
                                    </a:solidFill>
                                    <a:prstDash val="solid"/>
                                    <a:headEnd/>
                                    <a:tailEnd type="triangle"/>
                                  </a:ln>
                                </wps:spPr>
                                <wps:bodyPr/>
                              </wps:wsp>
                              <wps:wsp xmlns:wps="http://schemas.microsoft.com/office/word/2010/wordprocessingShape">
                                <wps:cNvPr id="326" name="文本框 326"/>
                                <wps:cNvSpPr txBox="1"/>
                                <wps:spPr>
                                  <a:xfrm>
                                    <a:off x="0" y="2892"/>
                                    <a:ext cx="801" cy="1164"/>
                                  </a:xfrm>
                                  <a:prstGeom prst="rect">
                                    <a:avLst/>
                                  </a:prstGeom>
                                  <a:noFill/>
                                  <a:ln>
                                    <a:noFill/>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市政污水管网</w:t>
                                      </w:r>
                                    </w:p>
                                  </w:txbxContent>
                                </wps:txbx>
                                <wps:bodyPr upright="1"/>
                              </wps:wsp>
                              <wps:wsp xmlns:wps="http://schemas.microsoft.com/office/word/2010/wordprocessingShape">
                                <wps:cNvPr id="327" name="文本框 327"/>
                                <wps:cNvSpPr txBox="1"/>
                                <wps:spPr>
                                  <a:xfrm>
                                    <a:off x="1788" y="2785"/>
                                    <a:ext cx="950" cy="1164"/>
                                  </a:xfrm>
                                  <a:prstGeom prst="rect">
                                    <a:avLst/>
                                  </a:prstGeom>
                                  <a:noFill/>
                                  <a:ln>
                                    <a:noFill/>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委托有资质单位处理</w:t>
                                      </w:r>
                                    </w:p>
                                    <w:p>
                                      <w:pPr>
                                        <w:spacing w:beforeLines="0" w:afterLines="0" w:line="300" w:lineRule="exact"/>
                                        <w:jc w:val="center"/>
                                        <w:rPr>
                                          <w:rFonts w:ascii="Times New Roman" w:eastAsia="Times New Roman" w:hAnsi="Times New Roman" w:cs="Times New Roman" w:hint="eastAsia"/>
                                        </w:rPr>
                                      </w:pPr>
                                    </w:p>
                                  </w:txbxContent>
                                </wps:txbx>
                                <wps:bodyPr upright="1"/>
                              </wps:wsp>
                              <wps:wsp xmlns:wps="http://schemas.microsoft.com/office/word/2010/wordprocessingShape">
                                <wps:cNvPr id="328" name="文本框 328"/>
                                <wps:cNvSpPr txBox="1"/>
                                <wps:spPr>
                                  <a:xfrm>
                                    <a:off x="862" y="2882"/>
                                    <a:ext cx="801" cy="1164"/>
                                  </a:xfrm>
                                  <a:prstGeom prst="rect">
                                    <a:avLst/>
                                  </a:prstGeom>
                                  <a:noFill/>
                                  <a:ln>
                                    <a:noFill/>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排放</w:t>
                                      </w:r>
                                    </w:p>
                                  </w:txbxContent>
                                </wps:txbx>
                                <wps:bodyPr upright="1"/>
                              </wps:wsp>
                            </wpg:grpSp>
                            <wps:wsp xmlns:wps="http://schemas.microsoft.com/office/word/2010/wordprocessingShape">
                              <wps:cNvPr id="330" name="直接连接符 330"/>
                              <wps:cNvCnPr>
                                <a:cxnSpLocks noChangeAspect="1"/>
                              </wps:cNvCnPr>
                              <wps:spPr>
                                <a:xfrm>
                                  <a:off x="10284" y="415124"/>
                                  <a:ext cx="10" cy="2291"/>
                                </a:xfrm>
                                <a:prstGeom prst="line">
                                  <a:avLst/>
                                </a:prstGeom>
                                <a:ln w="3175">
                                  <a:solidFill>
                                    <a:srgbClr val="000000"/>
                                  </a:solidFill>
                                  <a:prstDash val="solid"/>
                                  <a:headEnd/>
                                  <a:tailEnd type="triangle"/>
                                </a:ln>
                              </wps:spPr>
                              <wps:bodyPr upright="1"/>
                            </wps:wsp>
                            <wps:wsp xmlns:wps="http://schemas.microsoft.com/office/word/2010/wordprocessingShape">
                              <wps:cNvPr id="331" name="文本框 331"/>
                              <wps:cNvSpPr txBox="1"/>
                              <wps:spPr>
                                <a:xfrm>
                                  <a:off x="9258" y="415481"/>
                                  <a:ext cx="489" cy="1343"/>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医疗废水</w:t>
                                    </w:r>
                                  </w:p>
                                </w:txbxContent>
                              </wps:txbx>
                              <wps:bodyPr upright="1"/>
                            </wps:wsp>
                            <wps:wsp xmlns:wps="http://schemas.microsoft.com/office/word/2010/wordprocessingShape">
                              <wps:cNvPr id="332" name="文本框 332"/>
                              <wps:cNvSpPr txBox="1"/>
                              <wps:spPr>
                                <a:xfrm>
                                  <a:off x="9978" y="415482"/>
                                  <a:ext cx="465" cy="1409"/>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生活</w:t>
                                    </w:r>
                                  </w:p>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废水</w:t>
                                    </w:r>
                                  </w:p>
                                </w:txbxContent>
                              </wps:txbx>
                              <wps:bodyPr upright="1"/>
                            </wps:wsp>
                            <wps:wsp xmlns:wps="http://schemas.microsoft.com/office/word/2010/wordprocessingShape">
                              <wps:cNvPr id="333" name="直接箭头连接符 333"/>
                              <wps:cNvCnPr>
                                <a:cxnSpLocks noChangeAspect="1"/>
                              </wps:cNvCnPr>
                              <wps:spPr>
                                <a:xfrm>
                                  <a:off x="8744" y="415116"/>
                                  <a:ext cx="2" cy="2635"/>
                                </a:xfrm>
                                <a:prstGeom prst="straightConnector1">
                                  <a:avLst/>
                                </a:prstGeom>
                                <a:ln w="6350">
                                  <a:solidFill>
                                    <a:srgbClr val="000000"/>
                                  </a:solidFill>
                                  <a:prstDash val="solid"/>
                                  <a:headEnd/>
                                  <a:tailEnd type="triangle"/>
                                </a:ln>
                              </wps:spPr>
                              <wps:bodyPr/>
                            </wps:wsp>
                            <wps:wsp xmlns:wps="http://schemas.microsoft.com/office/word/2010/wordprocessingShape">
                              <wps:cNvPr id="334" name="直接连接符 334"/>
                              <wps:cNvCnPr/>
                              <wps:spPr>
                                <a:xfrm flipV="1">
                                  <a:off x="7189" y="415121"/>
                                  <a:ext cx="3706" cy="10"/>
                                </a:xfrm>
                                <a:prstGeom prst="line">
                                  <a:avLst/>
                                </a:prstGeom>
                                <a:ln w="6350">
                                  <a:solidFill>
                                    <a:srgbClr val="000000"/>
                                  </a:solidFill>
                                  <a:prstDash val="solid"/>
                                  <a:headEnd/>
                                  <a:tailEnd/>
                                </a:ln>
                              </wps:spPr>
                              <wps:bodyPr upright="1"/>
                            </wps:wsp>
                            <wps:wsp xmlns:wps="http://schemas.microsoft.com/office/word/2010/wordprocessingShape">
                              <wps:cNvPr id="335" name="文本框 335"/>
                              <wps:cNvSpPr txBox="1"/>
                              <wps:spPr>
                                <a:xfrm>
                                  <a:off x="8527" y="415494"/>
                                  <a:ext cx="405" cy="1447"/>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医疗废物</w:t>
                                    </w:r>
                                  </w:p>
                                </w:txbxContent>
                              </wps:txbx>
                              <wps:bodyPr upright="1"/>
                            </wps:wsp>
                            <wps:wsp xmlns:wps="http://schemas.microsoft.com/office/word/2010/wordprocessingShape">
                              <wps:cNvPr id="336" name="直接箭头连接符 336"/>
                              <wps:cNvCnPr/>
                              <wps:spPr>
                                <a:xfrm>
                                  <a:off x="8360" y="414742"/>
                                  <a:ext cx="1" cy="364"/>
                                </a:xfrm>
                                <a:prstGeom prst="straightConnector1">
                                  <a:avLst/>
                                </a:prstGeom>
                                <a:ln w="6350">
                                  <a:solidFill>
                                    <a:srgbClr val="000000"/>
                                  </a:solidFill>
                                  <a:prstDash val="solid"/>
                                  <a:headEnd/>
                                  <a:tailEnd/>
                                </a:ln>
                              </wps:spPr>
                              <wps:bodyPr/>
                            </wps:wsp>
                            <wps:wsp xmlns:wps="http://schemas.microsoft.com/office/word/2010/wordprocessingShape">
                              <wps:cNvPr id="337" name="文本框 337"/>
                              <wps:cNvSpPr txBox="1"/>
                              <wps:spPr>
                                <a:xfrm>
                                  <a:off x="8361" y="417737"/>
                                  <a:ext cx="935" cy="1113"/>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医疗废物暂存间</w:t>
                                    </w:r>
                                  </w:p>
                                </w:txbxContent>
                              </wps:txbx>
                              <wps:bodyPr upright="1"/>
                            </wps:wsp>
                            <wps:wsp xmlns:wps="http://schemas.microsoft.com/office/word/2010/wordprocessingShape">
                              <wps:cNvPr id="338" name="文本框 338"/>
                              <wps:cNvSpPr txBox="1"/>
                              <wps:spPr>
                                <a:xfrm>
                                  <a:off x="7942" y="419113"/>
                                  <a:ext cx="1149" cy="2017"/>
                                </a:xfrm>
                                <a:prstGeom prst="rect">
                                  <a:avLst/>
                                </a:prstGeom>
                                <a:noFill/>
                                <a:ln>
                                  <a:noFill/>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委托</w:t>
                                    </w:r>
                                    <w:r>
                                      <w:rPr>
                                        <w:rFonts w:ascii="Calibri" w:eastAsia="宋体" w:hAnsi="Calibri" w:cs="Times New Roman" w:hint="eastAsia"/>
                                        <w:sz w:val="21"/>
                                        <w:lang w:eastAsia="zh-CN"/>
                                      </w:rPr>
                                      <w:t>有资质单位</w:t>
                                    </w:r>
                                    <w:r>
                                      <w:rPr>
                                        <w:rFonts w:ascii="Calibri" w:eastAsia="宋体" w:hAnsi="Calibri" w:cs="Times New Roman" w:hint="eastAsia"/>
                                        <w:sz w:val="21"/>
                                      </w:rPr>
                                      <w:t>处理</w:t>
                                    </w:r>
                                  </w:p>
                                </w:txbxContent>
                              </wps:txbx>
                              <wps:bodyPr upright="1"/>
                            </wps:wsp>
                            <wpg:grpSp>
                              <wpg:cNvPr id="342" name="组合 342"/>
                              <wpg:cNvGrpSpPr/>
                              <wpg:grpSpPr>
                                <a:xfrm>
                                  <a:off x="6837" y="415125"/>
                                  <a:ext cx="842" cy="4332"/>
                                  <a:chOff x="0" y="0"/>
                                  <a:chExt cx="842" cy="4333"/>
                                </a:xfrm>
                              </wpg:grpSpPr>
                              <wps:wsp xmlns:wps="http://schemas.microsoft.com/office/word/2010/wordprocessingShape">
                                <wps:cNvPr id="339" name="文本框 339"/>
                                <wps:cNvSpPr txBox="1"/>
                                <wps:spPr>
                                  <a:xfrm>
                                    <a:off x="0" y="2586"/>
                                    <a:ext cx="842" cy="1747"/>
                                  </a:xfrm>
                                  <a:prstGeom prst="rect">
                                    <a:avLst/>
                                  </a:prstGeom>
                                  <a:noFill/>
                                  <a:ln>
                                    <a:noFill/>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集中收集交由环卫部门</w:t>
                                      </w:r>
                                    </w:p>
                                  </w:txbxContent>
                                </wps:txbx>
                                <wps:bodyPr upright="1"/>
                              </wps:wsp>
                              <wps:wsp xmlns:wps="http://schemas.microsoft.com/office/word/2010/wordprocessingShape">
                                <wps:cNvPr id="340" name="直接箭头连接符 340"/>
                                <wps:cNvCnPr>
                                  <a:cxnSpLocks noChangeAspect="1"/>
                                </wps:cNvCnPr>
                                <wps:spPr>
                                  <a:xfrm>
                                    <a:off x="353" y="0"/>
                                    <a:ext cx="2" cy="2635"/>
                                  </a:xfrm>
                                  <a:prstGeom prst="straightConnector1">
                                    <a:avLst/>
                                  </a:prstGeom>
                                  <a:ln w="6350">
                                    <a:solidFill>
                                      <a:srgbClr val="000000"/>
                                    </a:solidFill>
                                    <a:prstDash val="solid"/>
                                    <a:headEnd/>
                                    <a:tailEnd type="triangle"/>
                                  </a:ln>
                                </wps:spPr>
                                <wps:bodyPr/>
                              </wps:wsp>
                              <wps:wsp xmlns:wps="http://schemas.microsoft.com/office/word/2010/wordprocessingShape">
                                <wps:cNvPr id="341" name="文本框 341"/>
                                <wps:cNvSpPr txBox="1"/>
                                <wps:spPr>
                                  <a:xfrm>
                                    <a:off x="114" y="321"/>
                                    <a:ext cx="472" cy="1428"/>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生活垃圾</w:t>
                                      </w:r>
                                    </w:p>
                                  </w:txbxContent>
                                </wps:txbx>
                                <wps:bodyPr upright="1"/>
                              </wps:wsp>
                            </wpg:grpSp>
                            <wps:wsp xmlns:wps="http://schemas.microsoft.com/office/word/2010/wordprocessingShape">
                              <wps:cNvPr id="343" name="文本框 343"/>
                              <wps:cNvSpPr txBox="1"/>
                              <wps:spPr>
                                <a:xfrm>
                                  <a:off x="7389" y="417422"/>
                                  <a:ext cx="1122" cy="1655"/>
                                </a:xfrm>
                                <a:prstGeom prst="rect">
                                  <a:avLst/>
                                </a:prstGeom>
                                <a:noFill/>
                                <a:ln>
                                  <a:noFill/>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lang w:val="en-US" w:eastAsia="zh-CN"/>
                                      </w:rPr>
                                      <w:t>委托有资质的单位处置</w:t>
                                    </w:r>
                                  </w:p>
                                </w:txbxContent>
                              </wps:txbx>
                              <wps:bodyPr upright="1"/>
                            </wps:wsp>
                            <wpg:grpSp>
                              <wpg:cNvPr id="350" name="组合 350"/>
                              <wpg:cNvGrpSpPr/>
                              <wpg:grpSpPr>
                                <a:xfrm>
                                  <a:off x="5690" y="413031"/>
                                  <a:ext cx="6603" cy="1259"/>
                                  <a:chOff x="0" y="0"/>
                                  <a:chExt cx="7268" cy="1259"/>
                                </a:xfrm>
                              </wpg:grpSpPr>
                              <wps:wsp xmlns:wps="http://schemas.microsoft.com/office/word/2010/wordprocessingShape">
                                <wps:cNvPr id="344" name="文本框 344"/>
                                <wps:cNvSpPr txBox="1"/>
                                <wps:spPr>
                                  <a:xfrm>
                                    <a:off x="3434" y="0"/>
                                    <a:ext cx="1127" cy="515"/>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运营期</w:t>
                                      </w:r>
                                    </w:p>
                                  </w:txbxContent>
                                </wps:txbx>
                                <wps:bodyPr upright="1"/>
                              </wps:wsp>
                              <wps:wsp xmlns:wps="http://schemas.microsoft.com/office/word/2010/wordprocessingShape">
                                <wps:cNvPr id="345" name="直接连接符 345"/>
                                <wps:cNvCnPr/>
                                <wps:spPr>
                                  <a:xfrm>
                                    <a:off x="3999" y="551"/>
                                    <a:ext cx="1" cy="330"/>
                                  </a:xfrm>
                                  <a:prstGeom prst="line">
                                    <a:avLst/>
                                  </a:prstGeom>
                                  <a:ln w="9525">
                                    <a:solidFill>
                                      <a:srgbClr val="000000"/>
                                    </a:solidFill>
                                    <a:prstDash val="solid"/>
                                    <a:headEnd/>
                                    <a:tailEnd type="triangle"/>
                                  </a:ln>
                                </wps:spPr>
                                <wps:bodyPr upright="1"/>
                              </wps:wsp>
                              <wps:wsp xmlns:wps="http://schemas.microsoft.com/office/word/2010/wordprocessingShape">
                                <wps:cNvPr id="346" name="直接连接符 346"/>
                                <wps:cNvCnPr/>
                                <wps:spPr>
                                  <a:xfrm flipV="1">
                                    <a:off x="0" y="929"/>
                                    <a:ext cx="7268" cy="1"/>
                                  </a:xfrm>
                                  <a:prstGeom prst="line">
                                    <a:avLst/>
                                  </a:prstGeom>
                                  <a:ln w="9525">
                                    <a:solidFill>
                                      <a:srgbClr val="000000"/>
                                    </a:solidFill>
                                    <a:prstDash val="solid"/>
                                    <a:headEnd/>
                                    <a:tailEnd/>
                                  </a:ln>
                                </wps:spPr>
                                <wps:bodyPr upright="1"/>
                              </wps:wsp>
                              <wps:wsp xmlns:wps="http://schemas.microsoft.com/office/word/2010/wordprocessingShape">
                                <wps:cNvPr id="347" name="直接连接符 347"/>
                                <wps:cNvCnPr/>
                                <wps:spPr>
                                  <a:xfrm>
                                    <a:off x="0" y="929"/>
                                    <a:ext cx="1" cy="330"/>
                                  </a:xfrm>
                                  <a:prstGeom prst="line">
                                    <a:avLst/>
                                  </a:prstGeom>
                                  <a:ln w="9525">
                                    <a:solidFill>
                                      <a:srgbClr val="000000"/>
                                    </a:solidFill>
                                    <a:prstDash val="solid"/>
                                    <a:headEnd/>
                                    <a:tailEnd type="triangle"/>
                                  </a:ln>
                                </wps:spPr>
                                <wps:bodyPr upright="1"/>
                              </wps:wsp>
                              <wps:wsp xmlns:wps="http://schemas.microsoft.com/office/word/2010/wordprocessingShape">
                                <wps:cNvPr id="348" name="直接连接符 348"/>
                                <wps:cNvCnPr/>
                                <wps:spPr>
                                  <a:xfrm>
                                    <a:off x="3315" y="929"/>
                                    <a:ext cx="1" cy="330"/>
                                  </a:xfrm>
                                  <a:prstGeom prst="line">
                                    <a:avLst/>
                                  </a:prstGeom>
                                  <a:ln w="9525">
                                    <a:solidFill>
                                      <a:srgbClr val="000000"/>
                                    </a:solidFill>
                                    <a:prstDash val="solid"/>
                                    <a:headEnd/>
                                    <a:tailEnd type="triangle"/>
                                  </a:ln>
                                </wps:spPr>
                                <wps:bodyPr upright="1"/>
                              </wps:wsp>
                              <wps:wsp xmlns:wps="http://schemas.microsoft.com/office/word/2010/wordprocessingShape">
                                <wps:cNvPr id="349" name="直接连接符 349"/>
                                <wps:cNvCnPr/>
                                <wps:spPr>
                                  <a:xfrm>
                                    <a:off x="7249" y="914"/>
                                    <a:ext cx="1" cy="330"/>
                                  </a:xfrm>
                                  <a:prstGeom prst="line">
                                    <a:avLst/>
                                  </a:prstGeom>
                                  <a:ln w="9525">
                                    <a:solidFill>
                                      <a:srgbClr val="000000"/>
                                    </a:solidFill>
                                    <a:prstDash val="solid"/>
                                    <a:headEnd/>
                                    <a:tailEnd type="triangle"/>
                                  </a:ln>
                                </wps:spPr>
                                <wps:bodyPr upright="1"/>
                              </wps:wsp>
                            </wpg:grpSp>
                            <wps:wsp xmlns:wps="http://schemas.microsoft.com/office/word/2010/wordprocessingShape">
                              <wps:cNvPr id="351" name="文本框 351"/>
                              <wps:cNvSpPr txBox="1"/>
                              <wps:spPr>
                                <a:xfrm>
                                  <a:off x="11516" y="414279"/>
                                  <a:ext cx="1656" cy="469"/>
                                </a:xfrm>
                                <a:prstGeom prst="rect">
                                  <a:avLst/>
                                </a:prstGeom>
                                <a:solidFill>
                                  <a:srgbClr val="FFFFFF"/>
                                </a:solidFill>
                                <a:ln w="6350">
                                  <a:solidFill>
                                    <a:srgbClr val="000000"/>
                                  </a:solidFill>
                                  <a:prstDash val="solid"/>
                                  <a:miter lim="0"/>
                                  <a:headEnd/>
                                  <a:tailEnd/>
                                </a:ln>
                              </wps:spPr>
                              <wps:txb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员工办公</w:t>
                                    </w:r>
                                  </w:p>
                                </w:txbxContent>
                              </wps:txbx>
                              <wps:bodyPr upright="1"/>
                            </wps:wsp>
                            <wps:wsp xmlns:wps="http://schemas.microsoft.com/office/word/2010/wordprocessingShape">
                              <wps:cNvPr id="352" name="直接箭头连接符 352"/>
                              <wps:cNvCnPr/>
                              <wps:spPr>
                                <a:xfrm>
                                  <a:off x="12335" y="414781"/>
                                  <a:ext cx="1" cy="364"/>
                                </a:xfrm>
                                <a:prstGeom prst="straightConnector1">
                                  <a:avLst/>
                                </a:prstGeom>
                                <a:ln w="6350">
                                  <a:solidFill>
                                    <a:srgbClr val="000000"/>
                                  </a:solidFill>
                                  <a:prstDash val="solid"/>
                                  <a:headEnd/>
                                  <a:tailEnd/>
                                </a:ln>
                              </wps:spPr>
                              <wps:bodyPr/>
                            </wps:wsp>
                            <wps:wsp xmlns:wps="http://schemas.microsoft.com/office/word/2010/wordprocessingShape">
                              <wps:cNvPr id="353" name="文本框 353"/>
                              <wps:cNvSpPr txBox="1"/>
                              <wps:spPr>
                                <a:xfrm>
                                  <a:off x="11339" y="415468"/>
                                  <a:ext cx="484" cy="1500"/>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生活废水</w:t>
                                    </w:r>
                                  </w:p>
                                </w:txbxContent>
                              </wps:txbx>
                              <wps:bodyPr upright="1"/>
                            </wps:wsp>
                            <wps:wsp xmlns:wps="http://schemas.microsoft.com/office/word/2010/wordprocessingShape">
                              <wps:cNvPr id="354" name="直接连接符 354"/>
                              <wps:cNvCnPr>
                                <a:cxnSpLocks noChangeAspect="1"/>
                              </wps:cNvCnPr>
                              <wps:spPr>
                                <a:xfrm>
                                  <a:off x="10905" y="415132"/>
                                  <a:ext cx="18" cy="2271"/>
                                </a:xfrm>
                                <a:prstGeom prst="line">
                                  <a:avLst/>
                                </a:prstGeom>
                                <a:ln w="9525">
                                  <a:solidFill>
                                    <a:srgbClr val="000000"/>
                                  </a:solidFill>
                                  <a:prstDash val="solid"/>
                                  <a:headEnd/>
                                  <a:tailEnd type="triangle"/>
                                </a:ln>
                              </wps:spPr>
                              <wps:bodyPr upright="1"/>
                            </wps:wsp>
                            <wps:wsp xmlns:wps="http://schemas.microsoft.com/office/word/2010/wordprocessingShape">
                              <wps:cNvPr id="355" name="文本框 355"/>
                              <wps:cNvSpPr txBox="1"/>
                              <wps:spPr>
                                <a:xfrm>
                                  <a:off x="10695" y="415497"/>
                                  <a:ext cx="484" cy="1500"/>
                                </a:xfrm>
                                <a:prstGeom prst="rect">
                                  <a:avLst/>
                                </a:prstGeom>
                                <a:solidFill>
                                  <a:srgbClr val="FFFFFF"/>
                                </a:solidFill>
                                <a:ln w="12700">
                                  <a:solidFill>
                                    <a:srgbClr val="000000"/>
                                  </a:solidFill>
                                  <a:prstDash val="lgDashDot"/>
                                  <a:miter lim="0"/>
                                  <a:headEnd/>
                                  <a:tailEnd/>
                                </a:ln>
                              </wps:spPr>
                              <wps:txb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清洁废水</w:t>
                                    </w:r>
                                  </w:p>
                                </w:txbxContent>
                              </wps:txbx>
                              <wps:bodyPr upright="1"/>
                            </wps:wsp>
                          </wpg:wgp>
                        </a:graphicData>
                      </a:graphic>
                    </wp:anchor>
                  </w:drawing>
                </mc:Choice>
                <mc:Fallback>
                  <w:pict>
                    <v:group id="组合 356" o:spid="_x0000_s1074" style="width:400.5pt;height:408.35pt;margin-top:10.65pt;margin-left:34.6pt;mso-wrap-distance-bottom:0;mso-wrap-distance-left:9pt;mso-wrap-distance-right:9pt;mso-wrap-distance-top:0;position:absolute;z-index:251758592" coordorigin="14183,1093317" coordsize="21600,21600">
                      <v:line id="_x0000_s1075" style="position:absolute;v-text-anchor:top" from="25776,1098852" to="25781,1104837" fillcolor="this" stroked="t" strokecolor="black" strokeweight="0.25pt">
                        <v:stroke endarrow="block"/>
                      </v:line>
                      <v:line id="_x0000_s1076" style="flip:y;position:absolute;v-text-anchor:top" from="31167,1098897" to="34292,1098924" fillcolor="this" stroked="t" strokecolor="black" strokeweight="0.75pt"/>
                      <v:line id="_x0000_s1077" style="position:absolute;v-text-anchor:top" from="34354,1098884" to="34381,1109123" fillcolor="this" stroked="t" strokecolor="black" strokeweight="0.75pt">
                        <v:stroke endarrow="block"/>
                      </v:line>
                      <v:shape id="_x0000_s1078" type="#_x0000_t202" style="width:1275;height:5336;left:33665;position:absolute;top:1099763;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办公生活垃圾</w:t>
                              </w:r>
                            </w:p>
                          </w:txbxContent>
                        </v:textbox>
                      </v:shape>
                      <v:shape id="_x0000_s1079" type="#_x0000_t202" style="width:2436;height:4619;left:33347;position:absolute;top:1109131;v-text-anchor:top" filled="f" fillcolor="this" stroked="f">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集中收集交由环卫部门</w:t>
                              </w:r>
                            </w:p>
                          </w:txbxContent>
                        </v:textbox>
                      </v:shape>
                      <v:shape id="_x0000_s1080" type="#_x0000_t32" style="width:5;height:6154;left:21514;position:absolute;top:1098821;v-text-anchor:top" fillcolor="this" stroked="t" strokecolor="black" strokeweight="0.5pt">
                        <v:stroke endarrow="block"/>
                      </v:shape>
                      <v:group id="_x0000_s1081" style="width:3571;height:12820;left:14183;position:absolute;top:1096621" coordorigin="0,0" coordsize="21600,21600">
                        <v:line id="_x0000_s1082" style="position:absolute;v-text-anchor:top" from="9297,2247" to="9575,15108" fillcolor="this" stroked="t" strokecolor="black" strokeweight="0.75pt">
                          <v:stroke endarrow="block"/>
                        </v:line>
                        <v:shape id="_x0000_s1083" type="#_x0000_t202" style="width:8415;height:6435;left:5098;position:absolute;top:4941;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机械设备</w:t>
                                </w:r>
                              </w:p>
                            </w:txbxContent>
                          </v:textbox>
                        </v:shape>
                        <v:shape id="_x0000_s1084" type="#_x0000_t202" style="width:7418;height:6292;left:5931;position:absolute;top:15308;v-text-anchor:top" fillcolor="white" stroked="t" strokecolor="black" strokeweight="0.5pt">
                          <v:stroke joinstyle="miter"/>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设备噪声</w:t>
                                </w:r>
                              </w:p>
                            </w:txbxContent>
                          </v:textbox>
                        </v:shape>
                        <v:shape id="_x0000_s1085" type="#_x0000_t202" style="width:21600;height:2091;position:absolute;v-text-anchor:top" fillcolor="white" stroked="t" strokecolor="black" strokeweight="0.5pt">
                          <v:stroke joinstyle="miter"/>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配套设施</w:t>
                                </w:r>
                              </w:p>
                            </w:txbxContent>
                          </v:textbox>
                        </v:shape>
                      </v:group>
                      <v:shape id="_x0000_s1086" type="#_x0000_t202" style="width:1089;height:3690;left:21006;position:absolute;top:1099845;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宋体" w:eastAsia="宋体" w:hAnsi="宋体" w:cs="Times New Roman" w:hint="eastAsia"/>
                                  <w:sz w:val="21"/>
                                </w:rPr>
                                <w:t>检验废液</w:t>
                              </w:r>
                            </w:p>
                          </w:txbxContent>
                        </v:textbox>
                      </v:shape>
                      <v:line id="_x0000_s1087" style="position:absolute;v-text-anchor:top" from="31191,1098842" to="31240,1104933" fillcolor="this" stroked="t" strokecolor="black" strokeweight="0.75pt">
                        <v:stroke endarrow="block"/>
                      </v:line>
                      <v:shape id="_x0000_s1088" type="#_x0000_t32" style="width:3;height:964;left:23631;position:absolute;top:1108435;v-text-anchor:top" fillcolor="this" stroked="t" strokecolor="black" strokeweight="0.5pt">
                        <v:stroke endarrow="block"/>
                      </v:shape>
                      <v:shape id="_x0000_s1089" type="#_x0000_t202" style="width:5383;height:1241;left:19958;position:absolute;top:1096616;v-text-anchor:top" fillcolor="white" stroked="t" strokecolor="black" strokeweight="0.5pt">
                        <v:stroke joinstyle="miter"/>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医疗、医技活动</w:t>
                              </w:r>
                            </w:p>
                          </w:txbxContent>
                        </v:textbox>
                      </v:shape>
                      <v:shape id="_x0000_s1090" type="#_x0000_t32" style="width:3;height:3947;left:32177;position:absolute;top:1108196;v-text-anchor:top" fillcolor="this" stroked="t" strokecolor="black" strokeweight="0.5pt">
                        <v:stroke endarrow="block"/>
                      </v:shape>
                      <v:group id="_x0000_s1091" style="width:8611;height:10106;left:25179;position:absolute;top:1104811" coordorigin="0,0" coordsize="21600,21600">
                        <v:shape id="_x0000_s1092" type="#_x0000_t32" style="width:8;height:8436;left:3156;position:absolute;top:7237;v-text-anchor:top" fillcolor="this" stroked="t" strokecolor="black" strokeweight="0.5pt">
                          <v:stroke endarrow="block"/>
                        </v:shape>
                        <v:shape id="_x0000_s1093" type="#_x0000_t32" style="width:8;height:8436;left:9956;position:absolute;top:7237;v-text-anchor:top" fillcolor="this" stroked="t" strokecolor="black" strokeweight="0.5pt">
                          <v:stroke endarrow="block"/>
                        </v:shape>
                        <v:shape id="_x0000_s1094" type="#_x0000_t202" style="width:3582;height:4133;left:8370;position:absolute;top:9591;v-text-anchor:top" fillcolor="white" stroked="t" strokecolor="black" strokeweight="0.5pt">
                          <v:stroke joinstyle="miter"/>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废气</w:t>
                                </w:r>
                              </w:p>
                            </w:txbxContent>
                          </v:textbox>
                        </v:shape>
                        <v:shape id="_x0000_s1095" type="#_x0000_t202" style="width:3582;height:4133;left:16062;position:absolute;top:9522;v-text-anchor:top" fillcolor="white" stroked="t" strokecolor="black" strokeweight="0.5pt">
                          <v:stroke joinstyle="miter"/>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污泥</w:t>
                                </w:r>
                              </w:p>
                            </w:txbxContent>
                          </v:textbox>
                        </v:shape>
                        <v:shape id="_x0000_s1096" type="#_x0000_t202" style="width:3582;height:4133;left:1341;position:absolute;top:9533;v-text-anchor:top" fillcolor="white" stroked="t" strokecolor="black" strokeweight="0.5pt">
                          <v:stroke joinstyle="miter"/>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废水</w:t>
                                </w:r>
                              </w:p>
                            </w:txbxContent>
                          </v:textbox>
                        </v:shape>
                        <v:shape id="_x0000_s1097" type="#_x0000_t202" style="width:16898;height:2546;left:1672;position:absolute;top:4697;v-text-anchor:top" fillcolor="white" stroked="t" strokecolor="black" strokeweight="0.5pt">
                          <v:stroke joinstyle="miter"/>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污水处理站</w:t>
                                </w:r>
                              </w:p>
                            </w:txbxContent>
                          </v:textbox>
                        </v:shape>
                        <v:shape id="_x0000_s1098" type="#_x0000_t202" style="width:18547;height:2498;left:836;position:absolute;v-text-anchor:top" fillcolor="white" stroked="t" strokecolor="black" strokeweight="0.5pt">
                          <v:stroke joinstyle="miter"/>
                          <v:textbox>
                            <w:txbxContent>
                              <w:p>
                                <w:pPr>
                                  <w:spacing w:beforeLines="0" w:afterLines="0" w:line="300" w:lineRule="exact"/>
                                  <w:jc w:val="center"/>
                                  <w:rPr>
                                    <w:rFonts w:ascii="Times New Roman" w:eastAsia="宋体" w:hAnsi="Times New Roman" w:cs="Times New Roman" w:hint="eastAsia"/>
                                  </w:rPr>
                                </w:pPr>
                                <w:r>
                                  <w:rPr>
                                    <w:rFonts w:ascii="Calibri" w:eastAsia="宋体" w:hAnsi="Calibri" w:cs="Times New Roman" w:hint="eastAsia"/>
                                    <w:sz w:val="21"/>
                                  </w:rPr>
                                  <w:t>化粪池</w:t>
                                </w:r>
                              </w:p>
                            </w:txbxContent>
                          </v:textbox>
                        </v:shape>
                        <v:shape id="_x0000_s1099" type="#_x0000_t32" style="width:8;height:2247;left:10035;position:absolute;top:2508;v-text-anchor:top" fillcolor="this" stroked="t" strokecolor="black" strokeweight="0.5pt">
                          <v:stroke endarrow="block"/>
                        </v:shape>
                        <v:shape id="_x0000_s1100" type="#_x0000_t202" style="width:6319;height:6199;position:absolute;top:15401;v-text-anchor:top" filled="f" fillcolor="this" stroked="f">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市政污水管网</w:t>
                                </w:r>
                              </w:p>
                            </w:txbxContent>
                          </v:textbox>
                        </v:shape>
                        <v:shape id="_x0000_s1101" type="#_x0000_t202" style="width:7495;height:6199;left:14105;position:absolute;top:14831;v-text-anchor:top" filled="f" fillcolor="this" stroked="f">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委托有资质单位处理</w:t>
                                </w:r>
                              </w:p>
                              <w:p>
                                <w:pPr>
                                  <w:spacing w:beforeLines="0" w:afterLines="0" w:line="300" w:lineRule="exact"/>
                                  <w:jc w:val="center"/>
                                  <w:rPr>
                                    <w:rFonts w:ascii="Times New Roman" w:eastAsia="Times New Roman" w:hAnsi="Times New Roman" w:cs="Times New Roman" w:hint="eastAsia"/>
                                  </w:rPr>
                                </w:pPr>
                              </w:p>
                            </w:txbxContent>
                          </v:textbox>
                        </v:shape>
                        <v:shape id="_x0000_s1102" type="#_x0000_t202" style="width:6319;height:6199;left:6800;position:absolute;top:15348;v-text-anchor:top" filled="f" fillcolor="this" stroked="f">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排放</w:t>
                                </w:r>
                              </w:p>
                            </w:txbxContent>
                          </v:textbox>
                        </v:shape>
                      </v:group>
                      <v:line id="_x0000_s1103" style="position:absolute;v-text-anchor:top" from="27777,1098858" to="27804,1104922" fillcolor="this" stroked="t" strokecolor="black" strokeweight="0.25pt">
                        <v:stroke endarrow="block"/>
                      </v:line>
                      <v:shape id="_x0000_s1104" type="#_x0000_t202" style="width:1321;height:3555;left:25006;position:absolute;top:1099803;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医疗废水</w:t>
                              </w:r>
                            </w:p>
                          </w:txbxContent>
                        </v:textbox>
                      </v:shape>
                      <v:shape id="_x0000_s1105" type="#_x0000_t202" style="width:1256;height:3730;left:26951;position:absolute;top:1099805;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生活</w:t>
                              </w:r>
                            </w:p>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废水</w:t>
                              </w:r>
                            </w:p>
                          </w:txbxContent>
                        </v:textbox>
                      </v:shape>
                      <v:shape id="_x0000_s1106" type="#_x0000_t32" style="width:5;height:6975;left:23618;position:absolute;top:1098836;v-text-anchor:top" fillcolor="this" stroked="t" strokecolor="black" strokeweight="0.5pt">
                        <v:stroke endarrow="block"/>
                      </v:shape>
                      <v:line id="_x0000_s1107" style="flip:y;position:absolute;v-text-anchor:top" from="19418,1098850" to="29428,1098876" fillcolor="this" stroked="t" strokecolor="black" strokeweight="0.5pt"/>
                      <v:shape id="_x0000_s1108" type="#_x0000_t202" style="width:1094;height:3830;left:23032;position:absolute;top:1099837;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医疗废物</w:t>
                              </w:r>
                            </w:p>
                          </w:txbxContent>
                        </v:textbox>
                      </v:shape>
                      <v:shape id="_x0000_s1109" type="#_x0000_t32" style="width:3;height:964;left:22580;position:absolute;top:1097846;v-text-anchor:top" fillcolor="this" stroked="t" strokecolor="black" strokeweight="0.5pt"/>
                      <v:shape id="_x0000_s1110" type="#_x0000_t202" style="width:2525;height:2946;left:22583;position:absolute;top:1105774;v-text-anchor:top" fillcolor="white" stroked="t" strokecolor="black" strokeweight="0.5pt">
                        <v:stroke joinstyle="miter"/>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医疗废物暂存间</w:t>
                              </w:r>
                            </w:p>
                          </w:txbxContent>
                        </v:textbox>
                      </v:shape>
                      <v:shape id="_x0000_s1111" type="#_x0000_t202" style="width:3103;height:5339;left:21451;position:absolute;top:1109417;v-text-anchor:top" filled="f" fillcolor="this" stroked="f">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委托</w:t>
                              </w:r>
                              <w:r>
                                <w:rPr>
                                  <w:rFonts w:ascii="Calibri" w:eastAsia="宋体" w:hAnsi="Calibri" w:cs="Times New Roman" w:hint="eastAsia"/>
                                  <w:sz w:val="21"/>
                                  <w:lang w:eastAsia="zh-CN"/>
                                </w:rPr>
                                <w:t>有资质单位</w:t>
                              </w:r>
                              <w:r>
                                <w:rPr>
                                  <w:rFonts w:ascii="Calibri" w:eastAsia="宋体" w:hAnsi="Calibri" w:cs="Times New Roman" w:hint="eastAsia"/>
                                  <w:sz w:val="21"/>
                                </w:rPr>
                                <w:t>处理</w:t>
                              </w:r>
                            </w:p>
                          </w:txbxContent>
                        </v:textbox>
                      </v:shape>
                      <v:group id="_x0000_s1112" style="width:2274;height:11467;left:18467;position:absolute;top:1098860" coordorigin="0,0" coordsize="21600,21600">
                        <v:shape id="_x0000_s1113" type="#_x0000_t202" style="width:21600;height:8709;position:absolute;top:12891;v-text-anchor:top" filled="f" fillcolor="this" stroked="f">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集中收集交由环卫部门</w:t>
                                </w:r>
                              </w:p>
                            </w:txbxContent>
                          </v:textbox>
                        </v:shape>
                        <v:shape id="_x0000_s1114" type="#_x0000_t32" style="width:51;height:13135;left:9056;position:absolute;v-text-anchor:top" fillcolor="this" stroked="t" strokecolor="black" strokeweight="0.5pt">
                          <v:stroke endarrow="block"/>
                        </v:shape>
                        <v:shape id="_x0000_s1115" type="#_x0000_t202" style="width:12108;height:7119;left:2924;position:absolute;top:1600;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生活垃圾</w:t>
                                </w:r>
                              </w:p>
                            </w:txbxContent>
                          </v:textbox>
                        </v:shape>
                      </v:group>
                      <v:shape id="_x0000_s1116" type="#_x0000_t202" style="width:3031;height:4381;left:19958;position:absolute;top:1104941;v-text-anchor:top" filled="f" fillcolor="this" stroked="f">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lang w:val="en-US" w:eastAsia="zh-CN"/>
                                </w:rPr>
                                <w:t>委托有资质的单位处置</w:t>
                              </w:r>
                            </w:p>
                          </w:txbxContent>
                        </v:textbox>
                      </v:shape>
                      <v:group id="_x0000_s1117" style="width:17835;height:3333;left:15369;position:absolute;top:1093317" coordorigin="0,0" coordsize="21600,21600">
                        <v:shape id="_x0000_s1118" type="#_x0000_t202" style="width:3349;height:8836;left:10206;position:absolute;v-text-anchor:top" fillcolor="white" stroked="t" strokecolor="black" strokeweight="0.5pt">
                          <v:stroke joinstyle="miter"/>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运营期</w:t>
                                </w:r>
                              </w:p>
                            </w:txbxContent>
                          </v:textbox>
                        </v:shape>
                        <v:line id="_x0000_s1119" style="position:absolute;v-text-anchor:top" from="11885,9453" to="11888,15115" fillcolor="this" stroked="t" strokecolor="black" strokeweight="0.75pt">
                          <v:stroke endarrow="block"/>
                        </v:line>
                        <v:line id="_x0000_s1120" style="flip:y;position:absolute;v-text-anchor:top" from="0,15938" to="21600,15956" fillcolor="this" stroked="t" strokecolor="black" strokeweight="0.75pt"/>
                        <v:line id="_x0000_s1121" style="position:absolute;v-text-anchor:top" from="0,15938" to="3,21600" fillcolor="this" stroked="t" strokecolor="black" strokeweight="0.75pt">
                          <v:stroke endarrow="block"/>
                        </v:line>
                        <v:line id="_x0000_s1122" style="position:absolute;v-text-anchor:top" from="9852,15938" to="9855,21600" fillcolor="this" stroked="t" strokecolor="black" strokeweight="0.75pt">
                          <v:stroke endarrow="block"/>
                        </v:line>
                        <v:line id="_x0000_s1123" style="position:absolute;v-text-anchor:top" from="21544,15681" to="21547,21343" fillcolor="this" stroked="t" strokecolor="black" strokeweight="0.75pt">
                          <v:stroke endarrow="block"/>
                        </v:line>
                      </v:group>
                      <v:shape id="_x0000_s1124" type="#_x0000_t202" style="width:4473;height:1241;left:31105;position:absolute;top:1096621;v-text-anchor:top" fillcolor="white" stroked="t" strokecolor="black" strokeweight="0.5pt">
                        <v:stroke joinstyle="miter"/>
                        <v:textbox>
                          <w:txbxContent>
                            <w:p>
                              <w:pPr>
                                <w:spacing w:beforeLines="0" w:afterLines="0" w:line="300" w:lineRule="exact"/>
                                <w:jc w:val="center"/>
                                <w:rPr>
                                  <w:rFonts w:ascii="Calibri" w:eastAsia="宋体" w:hAnsi="Calibri" w:cs="Times New Roman" w:hint="default"/>
                                </w:rPr>
                              </w:pPr>
                              <w:r>
                                <w:rPr>
                                  <w:rFonts w:ascii="Calibri" w:eastAsia="宋体" w:hAnsi="Calibri" w:cs="Times New Roman" w:hint="eastAsia"/>
                                  <w:sz w:val="21"/>
                                </w:rPr>
                                <w:t>员工办公</w:t>
                              </w:r>
                            </w:p>
                          </w:txbxContent>
                        </v:textbox>
                      </v:shape>
                      <v:shape id="_x0000_s1125" type="#_x0000_t32" style="width:3;height:964;left:33317;position:absolute;top:1097950;v-text-anchor:top" fillcolor="this" stroked="t" strokecolor="black" strokeweight="0.5pt"/>
                      <v:shape id="_x0000_s1126" type="#_x0000_t202" style="width:1307;height:3971;left:30627;position:absolute;top:1099768;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生活废水</w:t>
                              </w:r>
                            </w:p>
                          </w:txbxContent>
                        </v:textbox>
                      </v:shape>
                      <v:line id="_x0000_s1127" style="position:absolute;v-text-anchor:top" from="29455,1098879" to="29503,1104890" fillcolor="this" stroked="t" strokecolor="black" strokeweight="0.75pt">
                        <v:stroke endarrow="block"/>
                      </v:line>
                      <v:shape id="_x0000_s1128" type="#_x0000_t202" style="width:1307;height:3971;left:28887;position:absolute;top:1099845;v-text-anchor:top" fillcolor="white" stroked="t" strokecolor="black" strokeweight="1pt">
                        <v:stroke joinstyle="miter" dashstyle="longDashDot"/>
                        <v:textbox>
                          <w:txbxContent>
                            <w:p>
                              <w:pPr>
                                <w:spacing w:beforeLines="0" w:afterLines="0" w:line="300" w:lineRule="exact"/>
                                <w:jc w:val="center"/>
                                <w:rPr>
                                  <w:rFonts w:ascii="Times New Roman" w:eastAsia="Times New Roman" w:hAnsi="Times New Roman" w:cs="Times New Roman" w:hint="eastAsia"/>
                                </w:rPr>
                              </w:pPr>
                              <w:r>
                                <w:rPr>
                                  <w:rFonts w:ascii="Calibri" w:eastAsia="宋体" w:hAnsi="Calibri" w:cs="Times New Roman" w:hint="eastAsia"/>
                                  <w:sz w:val="21"/>
                                </w:rPr>
                                <w:t>清洁废水</w:t>
                              </w:r>
                            </w:p>
                          </w:txbxContent>
                        </v:textbox>
                      </v:shape>
                    </v:group>
                  </w:pict>
                </mc:Fallback>
              </mc:AlternateContent>
            </w:r>
          </w:p>
          <w:p>
            <w:pPr>
              <w:widowControl w:val="0"/>
              <w:adjustRightInd w:val="0"/>
              <w:snapToGrid w:val="0"/>
              <w:spacing w:beforeLines="0" w:after="0" w:afterLines="0" w:line="600" w:lineRule="exact"/>
              <w:jc w:val="both"/>
              <w:textAlignment w:val="baseline"/>
              <w:rPr>
                <w:rFonts w:ascii="Times New Roman" w:eastAsia="Times New Roman" w:hAnsi="Times New Roman" w:cs="Times New Roman" w:hint="default"/>
                <w:color w:val="000000" w:themeColor="text1"/>
                <w:kern w:val="0"/>
                <w:szCs w:val="21"/>
                <w:highlight w:val="none"/>
                <w14:textFill>
                  <w14:solidFill>
                    <w14:schemeClr w14:val="tx1"/>
                  </w14:solidFill>
                </w14:textFill>
              </w:rPr>
            </w:pPr>
          </w:p>
          <w:p>
            <w:pPr>
              <w:widowControl w:val="0"/>
              <w:adjustRightInd w:val="0"/>
              <w:snapToGrid w:val="0"/>
              <w:spacing w:beforeLines="0" w:after="0" w:afterLines="0" w:line="600" w:lineRule="exact"/>
              <w:jc w:val="both"/>
              <w:textAlignment w:val="baseline"/>
              <w:rPr>
                <w:rFonts w:ascii="Times New Roman" w:eastAsia="Times New Roman" w:hAnsi="Times New Roman" w:cs="Times New Roman" w:hint="default"/>
                <w:color w:val="000000" w:themeColor="text1"/>
                <w:kern w:val="0"/>
                <w:szCs w:val="21"/>
                <w:highlight w:val="none"/>
                <w14:textFill>
                  <w14:solidFill>
                    <w14:schemeClr w14:val="tx1"/>
                  </w14:solidFill>
                </w14:textFill>
              </w:rPr>
            </w:pPr>
          </w:p>
          <w:p>
            <w:pPr>
              <w:widowControl w:val="0"/>
              <w:adjustRightInd w:val="0"/>
              <w:snapToGrid w:val="0"/>
              <w:spacing w:beforeLines="0" w:after="0" w:afterLines="0" w:line="600" w:lineRule="exact"/>
              <w:jc w:val="both"/>
              <w:textAlignment w:val="baseline"/>
              <w:rPr>
                <w:rFonts w:ascii="Times New Roman" w:eastAsia="Times New Roman" w:hAnsi="Times New Roman" w:cs="Times New Roman" w:hint="default"/>
                <w:color w:val="000000" w:themeColor="text1"/>
                <w:kern w:val="0"/>
                <w:szCs w:val="21"/>
                <w:highlight w:val="none"/>
                <w14:textFill>
                  <w14:solidFill>
                    <w14:schemeClr w14:val="tx1"/>
                  </w14:solidFill>
                </w14:textFill>
              </w:rPr>
            </w:pPr>
          </w:p>
          <w:p>
            <w:pPr>
              <w:widowControl w:val="0"/>
              <w:adjustRightInd w:val="0"/>
              <w:snapToGrid w:val="0"/>
              <w:spacing w:beforeLines="0" w:after="0" w:afterLines="0" w:line="600" w:lineRule="exact"/>
              <w:jc w:val="both"/>
              <w:textAlignment w:val="baseline"/>
              <w:rPr>
                <w:rFonts w:ascii="Times New Roman" w:eastAsia="Times New Roman" w:hAnsi="Times New Roman" w:cs="Times New Roman" w:hint="default"/>
                <w:color w:val="000000" w:themeColor="text1"/>
                <w:kern w:val="0"/>
                <w:szCs w:val="21"/>
                <w:highlight w:val="none"/>
                <w14:textFill>
                  <w14:solidFill>
                    <w14:schemeClr w14:val="tx1"/>
                  </w14:solidFill>
                </w14:textFill>
              </w:rPr>
            </w:pPr>
          </w:p>
          <w:p>
            <w:pPr>
              <w:widowControl w:val="0"/>
              <w:spacing w:after="0" w:line="480" w:lineRule="exact"/>
              <w:ind w:firstLine="420" w:firstLineChars="200"/>
              <w:jc w:val="left"/>
              <w:rPr>
                <w:rFonts w:ascii="Times New Roman" w:eastAsia="楷体_GB2312" w:hAnsi="Times New Roman" w:cs="Times New Roman" w:hint="default"/>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p>
            <w:pPr>
              <w:keepNext w:val="0"/>
              <w:keepLines w:val="0"/>
              <w:widowControl w:val="0"/>
              <w:suppressLineNumbers w:val="0"/>
              <w:spacing w:before="0" w:beforeAutospacing="0" w:after="0" w:afterAutospacing="0" w:line="240" w:lineRule="auto"/>
              <w:ind w:left="0" w:right="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图3 项目运营期产污节点图</w:t>
            </w:r>
          </w:p>
          <w:p>
            <w:pPr>
              <w:pStyle w:val="Default"/>
              <w:tabs>
                <w:tab w:val="left" w:pos="769"/>
              </w:tabs>
              <w:adjustRightInd/>
              <w:spacing w:line="360" w:lineRule="auto"/>
              <w:ind w:firstLine="420" w:firstLineChars="200"/>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2、项目产污</w:t>
            </w:r>
          </w:p>
          <w:p>
            <w:pPr>
              <w:pStyle w:val="NormalIndent"/>
              <w:spacing w:line="360" w:lineRule="auto"/>
              <w:ind w:firstLine="420" w:firstLineChars="200"/>
              <w:rPr>
                <w:rFonts w:eastAsia="宋体" w:hAnsi="Times New Roman" w:cs="Times New Roman" w:hint="default"/>
                <w:color w:val="000000" w:themeColor="text1"/>
                <w:kern w:val="0"/>
                <w:szCs w:val="21"/>
                <w:highlight w:val="none"/>
                <w:lang w:val="en-US" w:eastAsia="zh-CN"/>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14:textFill>
                  <w14:solidFill>
                    <w14:schemeClr w14:val="tx1"/>
                  </w14:solidFill>
                </w14:textFill>
              </w:rPr>
              <w:t>项目运营期产污见下表。</w:t>
            </w:r>
          </w:p>
          <w:p>
            <w:pPr>
              <w:pStyle w:val="Default"/>
              <w:adjustRightInd/>
              <w:jc w:val="center"/>
              <w:rPr>
                <w:rFonts w:ascii="Times New Roman" w:hAnsi="Times New Roman" w:cs="Times New Roman" w:hint="default"/>
                <w:b/>
                <w:bCs/>
                <w:color w:themeColor="text1"/>
                <w:sz w:val="21"/>
                <w:szCs w:val="21"/>
                <w:highlight w:val="none"/>
                <w14:textFill>
                  <w14:solidFill>
                    <w14:schemeClr w14:val="tx1"/>
                  </w14:solidFill>
                </w14:textFill>
              </w:rPr>
            </w:pPr>
          </w:p>
          <w:p>
            <w:pPr>
              <w:pStyle w:val="Default"/>
              <w:adjustRightInd/>
              <w:jc w:val="center"/>
              <w:rPr>
                <w:rFonts w:ascii="Times New Roman" w:hAnsi="Times New Roman" w:cs="Times New Roman" w:hint="default"/>
                <w:b/>
                <w:bCs/>
                <w:color w:themeColor="text1"/>
                <w:sz w:val="21"/>
                <w:szCs w:val="21"/>
                <w:highlight w:val="none"/>
                <w14:textFill>
                  <w14:solidFill>
                    <w14:schemeClr w14:val="tx1"/>
                  </w14:solidFill>
                </w14:textFill>
              </w:rPr>
            </w:pPr>
            <w:r>
              <w:rPr>
                <w:rFonts w:ascii="Times New Roman" w:hAnsi="Times New Roman" w:cs="Times New Roman" w:hint="eastAsia"/>
                <w:b/>
                <w:bCs/>
                <w:color w:val="000000" w:themeColor="text1"/>
                <w:sz w:val="21"/>
                <w:szCs w:val="21"/>
                <w:highlight w:val="none"/>
                <w:lang w:eastAsia="zh-CN"/>
                <w14:textFill>
                  <w14:solidFill>
                    <w14:schemeClr w14:val="tx1"/>
                  </w14:solidFill>
                </w14:textFill>
              </w:rPr>
              <w:t>表2-</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7</w:t>
            </w:r>
            <w:r>
              <w:rPr>
                <w:rFonts w:ascii="Times New Roman" w:hAnsi="Times New Roman" w:cs="Times New Roman" w:hint="default"/>
                <w:b/>
                <w:bCs/>
                <w:color w:val="000000" w:themeColor="text1"/>
                <w:sz w:val="21"/>
                <w:szCs w:val="21"/>
                <w:highlight w:val="none"/>
                <w14:textFill>
                  <w14:solidFill>
                    <w14:schemeClr w14:val="tx1"/>
                  </w14:solidFill>
                </w14:textFill>
              </w:rPr>
              <w:t xml:space="preserve">  项目运营期产污分析一览表</w:t>
            </w:r>
          </w:p>
          <w:tbl>
            <w:tblPr>
              <w:tblStyle w:val="TableNormal"/>
              <w:tblW w:w="90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1184"/>
              <w:gridCol w:w="1154"/>
              <w:gridCol w:w="3919"/>
              <w:gridCol w:w="2760"/>
            </w:tblGrid>
            <w:tr>
              <w:tblPrEx>
                <w:tblW w:w="90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9"/>
                <w:jc w:val="center"/>
              </w:trPr>
              <w:tc>
                <w:tcPr>
                  <w:tcW w:w="1184" w:type="dxa"/>
                  <w:tcBorders>
                    <w:tl2br w:val="nil"/>
                    <w:tr2bl w:val="nil"/>
                  </w:tcBorders>
                  <w:noWrap w:val="0"/>
                  <w:vAlign w:val="center"/>
                </w:tcPr>
                <w:p>
                  <w:pPr>
                    <w:pStyle w:val="Default"/>
                    <w:jc w:val="center"/>
                    <w:rPr>
                      <w:rFonts w:ascii="Times New Roman" w:hAnsi="Times New Roman" w:cs="Times New Roman" w:hint="default"/>
                      <w:b/>
                      <w:bCs/>
                      <w:color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类别</w:t>
                  </w:r>
                </w:p>
              </w:tc>
              <w:tc>
                <w:tcPr>
                  <w:tcW w:w="1154" w:type="dxa"/>
                  <w:tcBorders>
                    <w:tl2br w:val="nil"/>
                    <w:tr2bl w:val="nil"/>
                  </w:tcBorders>
                  <w:noWrap w:val="0"/>
                  <w:vAlign w:val="center"/>
                </w:tcPr>
                <w:p>
                  <w:pPr>
                    <w:pStyle w:val="Default"/>
                    <w:jc w:val="center"/>
                    <w:rPr>
                      <w:rFonts w:ascii="Times New Roman" w:hAnsi="Times New Roman" w:cs="Times New Roman" w:hint="default"/>
                      <w:b/>
                      <w:bCs/>
                      <w:color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产污环节</w:t>
                  </w:r>
                </w:p>
              </w:tc>
              <w:tc>
                <w:tcPr>
                  <w:tcW w:w="3919" w:type="dxa"/>
                  <w:tcBorders>
                    <w:tl2br w:val="nil"/>
                    <w:tr2bl w:val="nil"/>
                  </w:tcBorders>
                  <w:noWrap w:val="0"/>
                  <w:vAlign w:val="center"/>
                </w:tcPr>
                <w:p>
                  <w:pPr>
                    <w:pStyle w:val="Default"/>
                    <w:jc w:val="center"/>
                    <w:rPr>
                      <w:rFonts w:ascii="Times New Roman" w:hAnsi="Times New Roman" w:cs="Times New Roman" w:hint="default"/>
                      <w:b/>
                      <w:bCs/>
                      <w:color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污染物</w:t>
                  </w:r>
                </w:p>
              </w:tc>
              <w:tc>
                <w:tcPr>
                  <w:tcW w:w="2760" w:type="dxa"/>
                  <w:tcBorders>
                    <w:tl2br w:val="nil"/>
                    <w:tr2bl w:val="nil"/>
                  </w:tcBorders>
                  <w:noWrap w:val="0"/>
                  <w:vAlign w:val="center"/>
                </w:tcPr>
                <w:p>
                  <w:pPr>
                    <w:pStyle w:val="Default"/>
                    <w:jc w:val="center"/>
                    <w:rPr>
                      <w:rFonts w:ascii="Times New Roman" w:hAnsi="Times New Roman" w:cs="Times New Roman" w:hint="default"/>
                      <w:b/>
                      <w:bCs/>
                      <w:color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主要污染因子</w:t>
                  </w:r>
                </w:p>
              </w:tc>
            </w:tr>
            <w:tr>
              <w:tblPrEx>
                <w:tblW w:w="9017" w:type="dxa"/>
                <w:jc w:val="center"/>
                <w:tblLayout w:type="fixed"/>
                <w:tblCellMar>
                  <w:top w:w="0" w:type="dxa"/>
                  <w:left w:w="108" w:type="dxa"/>
                  <w:bottom w:w="0" w:type="dxa"/>
                  <w:right w:w="108" w:type="dxa"/>
                </w:tblCellMar>
              </w:tblPrEx>
              <w:trPr>
                <w:trHeight w:val="96"/>
                <w:jc w:val="center"/>
              </w:trPr>
              <w:tc>
                <w:tcPr>
                  <w:tcW w:w="1184" w:type="dxa"/>
                  <w:vMerge w:val="restart"/>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废水</w:t>
                  </w:r>
                </w:p>
              </w:tc>
              <w:tc>
                <w:tcPr>
                  <w:tcW w:w="115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生活过程</w:t>
                  </w:r>
                </w:p>
              </w:tc>
              <w:tc>
                <w:tcPr>
                  <w:tcW w:w="3919"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生活污水</w:t>
                  </w:r>
                </w:p>
              </w:tc>
              <w:tc>
                <w:tcPr>
                  <w:tcW w:w="2760"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COD、BOD</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5</w:t>
                  </w:r>
                  <w:r>
                    <w:rPr>
                      <w:rFonts w:ascii="Times New Roman" w:eastAsia="宋体" w:hAnsi="Times New Roman" w:cs="Times New Roman" w:hint="default"/>
                      <w:color w:val="000000" w:themeColor="text1"/>
                      <w:sz w:val="21"/>
                      <w:szCs w:val="21"/>
                      <w:highlight w:val="none"/>
                      <w14:textFill>
                        <w14:solidFill>
                          <w14:schemeClr w14:val="tx1"/>
                        </w14:solidFill>
                      </w14:textFill>
                    </w:rPr>
                    <w:t>、SS、 NH</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-N</w:t>
                  </w:r>
                </w:p>
              </w:tc>
            </w:tr>
            <w:tr>
              <w:tblPrEx>
                <w:tblW w:w="9017" w:type="dxa"/>
                <w:jc w:val="center"/>
                <w:tblLayout w:type="fixed"/>
                <w:tblCellMar>
                  <w:top w:w="0" w:type="dxa"/>
                  <w:left w:w="108" w:type="dxa"/>
                  <w:bottom w:w="0" w:type="dxa"/>
                  <w:right w:w="108" w:type="dxa"/>
                </w:tblCellMar>
              </w:tblPrEx>
              <w:trPr>
                <w:trHeight w:val="189"/>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医疗活动</w:t>
                  </w:r>
                </w:p>
              </w:tc>
              <w:tc>
                <w:tcPr>
                  <w:tcW w:w="3919"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医疗废水</w:t>
                  </w:r>
                </w:p>
              </w:tc>
              <w:tc>
                <w:tcPr>
                  <w:tcW w:w="2760"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bCs/>
                      <w:color w:val="000000" w:themeColor="text1"/>
                      <w:spacing w:val="-10"/>
                      <w:sz w:val="21"/>
                      <w:szCs w:val="21"/>
                      <w14:textFill>
                        <w14:solidFill>
                          <w14:schemeClr w14:val="tx1"/>
                        </w14:solidFill>
                      </w14:textFill>
                    </w:rPr>
                    <w:t>COD、BOD</w:t>
                  </w:r>
                  <w:r>
                    <w:rPr>
                      <w:rFonts w:ascii="Times New Roman" w:hAnsi="Times New Roman" w:cs="Times New Roman" w:hint="default"/>
                      <w:bCs/>
                      <w:color w:val="000000" w:themeColor="text1"/>
                      <w:spacing w:val="-10"/>
                      <w:sz w:val="21"/>
                      <w:szCs w:val="21"/>
                      <w:vertAlign w:val="subscript"/>
                      <w14:textFill>
                        <w14:solidFill>
                          <w14:schemeClr w14:val="tx1"/>
                        </w14:solidFill>
                      </w14:textFill>
                    </w:rPr>
                    <w:t>5</w:t>
                  </w:r>
                  <w:r>
                    <w:rPr>
                      <w:rFonts w:ascii="Times New Roman" w:hAnsi="Times New Roman" w:cs="Times New Roman" w:hint="default"/>
                      <w:bCs/>
                      <w:color w:val="000000" w:themeColor="text1"/>
                      <w:spacing w:val="-10"/>
                      <w:sz w:val="21"/>
                      <w:szCs w:val="21"/>
                      <w14:textFill>
                        <w14:solidFill>
                          <w14:schemeClr w14:val="tx1"/>
                        </w14:solidFill>
                      </w14:textFill>
                    </w:rPr>
                    <w:t>、SS、NH</w:t>
                  </w:r>
                  <w:r>
                    <w:rPr>
                      <w:rFonts w:ascii="Times New Roman" w:hAnsi="Times New Roman" w:cs="Times New Roman" w:hint="default"/>
                      <w:bCs/>
                      <w:color w:val="000000" w:themeColor="text1"/>
                      <w:spacing w:val="-10"/>
                      <w:sz w:val="21"/>
                      <w:szCs w:val="21"/>
                      <w:vertAlign w:val="subscript"/>
                      <w14:textFill>
                        <w14:solidFill>
                          <w14:schemeClr w14:val="tx1"/>
                        </w14:solidFill>
                      </w14:textFill>
                    </w:rPr>
                    <w:t>3</w:t>
                  </w:r>
                  <w:r>
                    <w:rPr>
                      <w:rFonts w:ascii="Times New Roman" w:hAnsi="Times New Roman" w:cs="Times New Roman" w:hint="default"/>
                      <w:bCs/>
                      <w:color w:val="000000" w:themeColor="text1"/>
                      <w:spacing w:val="-10"/>
                      <w:sz w:val="21"/>
                      <w:szCs w:val="21"/>
                      <w14:textFill>
                        <w14:solidFill>
                          <w14:schemeClr w14:val="tx1"/>
                        </w14:solidFill>
                      </w14:textFill>
                    </w:rPr>
                    <w:t>-N、粪大肠菌、总余氯</w:t>
                  </w:r>
                </w:p>
              </w:tc>
            </w:tr>
            <w:tr>
              <w:tblPrEx>
                <w:tblW w:w="9017" w:type="dxa"/>
                <w:jc w:val="center"/>
                <w:tblLayout w:type="fixed"/>
                <w:tblCellMar>
                  <w:top w:w="0" w:type="dxa"/>
                  <w:left w:w="108" w:type="dxa"/>
                  <w:bottom w:w="0" w:type="dxa"/>
                  <w:right w:w="108" w:type="dxa"/>
                </w:tblCellMar>
              </w:tblPrEx>
              <w:trPr>
                <w:trHeight w:val="134"/>
                <w:jc w:val="center"/>
              </w:trPr>
              <w:tc>
                <w:tcPr>
                  <w:tcW w:w="1184" w:type="dxa"/>
                  <w:vMerge w:val="restart"/>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废气</w:t>
                  </w:r>
                </w:p>
              </w:tc>
              <w:tc>
                <w:tcPr>
                  <w:tcW w:w="1154" w:type="dxa"/>
                  <w:vMerge w:val="restart"/>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污水处理站</w:t>
                  </w:r>
                </w:p>
              </w:tc>
              <w:tc>
                <w:tcPr>
                  <w:tcW w:w="391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污水处理站废气</w:t>
                  </w:r>
                </w:p>
              </w:tc>
              <w:tc>
                <w:tcPr>
                  <w:tcW w:w="276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NH</w:t>
                  </w:r>
                  <w:r>
                    <w:rPr>
                      <w:rFonts w:ascii="Times New Roman" w:eastAsia="宋体" w:hAnsi="Times New Roman" w:cs="Times New Roman" w:hint="default"/>
                      <w:color w:val="000000" w:themeColor="text1"/>
                      <w:sz w:val="21"/>
                      <w:szCs w:val="21"/>
                      <w:highlight w:val="none"/>
                      <w:vertAlign w:val="subscript"/>
                      <w:lang w:val="en-US" w:eastAsia="zh-CN" w:bidi="ar-SA"/>
                      <w14:textFill>
                        <w14:solidFill>
                          <w14:schemeClr w14:val="tx1"/>
                        </w14:solidFill>
                      </w14:textFill>
                    </w:rPr>
                    <w:t>3</w:t>
                  </w:r>
                </w:p>
              </w:tc>
            </w:tr>
            <w:tr>
              <w:tblPrEx>
                <w:tblW w:w="9017" w:type="dxa"/>
                <w:jc w:val="center"/>
                <w:tblLayout w:type="fixed"/>
                <w:tblCellMar>
                  <w:top w:w="0" w:type="dxa"/>
                  <w:left w:w="108" w:type="dxa"/>
                  <w:bottom w:w="0" w:type="dxa"/>
                  <w:right w:w="108" w:type="dxa"/>
                </w:tblCellMar>
              </w:tblPrEx>
              <w:trPr>
                <w:trHeight w:val="134"/>
                <w:jc w:val="center"/>
              </w:trPr>
              <w:tc>
                <w:tcPr>
                  <w:tcW w:w="1184" w:type="dxa"/>
                  <w:vMerge/>
                  <w:tcBorders>
                    <w:tl2br w:val="nil"/>
                    <w:tr2bl w:val="nil"/>
                  </w:tcBorders>
                  <w:noWrap w:val="0"/>
                  <w:vAlign w:val="center"/>
                </w:tcPr>
                <w:p>
                  <w:pPr>
                    <w:autoSpaceDE w:val="0"/>
                    <w:autoSpaceDN w:val="0"/>
                    <w:adjustRightInd w:val="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1154" w:type="dxa"/>
                  <w:vMerge/>
                  <w:tcBorders>
                    <w:tl2br w:val="nil"/>
                    <w:tr2bl w:val="nil"/>
                  </w:tcBorders>
                  <w:noWrap w:val="0"/>
                  <w:vAlign w:val="center"/>
                </w:tcPr>
                <w:p>
                  <w:pPr>
                    <w:autoSpaceDE w:val="0"/>
                    <w:autoSpaceDN w:val="0"/>
                    <w:adjustRightInd w:val="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3919" w:type="dxa"/>
                  <w:vMerge/>
                  <w:tcBorders>
                    <w:tl2br w:val="nil"/>
                    <w:tr2bl w:val="nil"/>
                  </w:tcBorders>
                  <w:noWrap w:val="0"/>
                  <w:vAlign w:val="center"/>
                </w:tcPr>
                <w:p>
                  <w:pPr>
                    <w:autoSpaceDE w:val="0"/>
                    <w:autoSpaceDN w:val="0"/>
                    <w:adjustRightInd w:val="0"/>
                    <w:jc w:val="center"/>
                    <w:rPr>
                      <w:rFonts w:ascii="Times New Roman" w:hAnsi="Times New Roman" w:cs="Times New Roman" w:hint="default"/>
                      <w:color w:val="000000" w:themeColor="text1"/>
                      <w:szCs w:val="21"/>
                      <w:highlight w:val="none"/>
                      <w14:textFill>
                        <w14:solidFill>
                          <w14:schemeClr w14:val="tx1"/>
                        </w14:solidFill>
                      </w14:textFill>
                    </w:rPr>
                  </w:pPr>
                </w:p>
              </w:tc>
              <w:tc>
                <w:tcPr>
                  <w:tcW w:w="276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H</w:t>
                  </w:r>
                  <w:r>
                    <w:rPr>
                      <w:rFonts w:ascii="Times New Roman" w:eastAsia="宋体" w:hAnsi="Times New Roman" w:cs="Times New Roman" w:hint="default"/>
                      <w:color w:val="000000" w:themeColor="text1"/>
                      <w:sz w:val="21"/>
                      <w:szCs w:val="21"/>
                      <w:highlight w:val="none"/>
                      <w:vertAlign w:val="subscript"/>
                      <w:lang w:val="en-US" w:eastAsia="zh-CN" w:bidi="ar-SA"/>
                      <w14:textFill>
                        <w14:solidFill>
                          <w14:schemeClr w14:val="tx1"/>
                        </w14:solidFill>
                      </w14:textFill>
                    </w:rPr>
                    <w:t>2</w:t>
                  </w: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S</w:t>
                  </w:r>
                </w:p>
              </w:tc>
            </w:tr>
          </w:tbl>
          <w:p/>
        </w:tc>
      </w:tr>
    </w:tbl>
    <w:p>
      <w:pPr>
        <w:sectPr>
          <w:footerReference w:type="default" r:id="rId25"/>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6"/>
          <w:cols w:num="1" w:space="425"/>
          <w:titlePg w:val="0"/>
          <w:docGrid w:type="lines" w:linePitch="312" w:charSpace="0"/>
        </w:sectPr>
      </w:pPr>
    </w:p>
    <w:tbl>
      <w:tblPr>
        <w:tblStyle w:val="TableNormal"/>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420"/>
        <w:gridCol w:w="9868"/>
      </w:tblGrid>
      <w:tr>
        <w:tblPrEx>
          <w:tblW w:w="102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90"/>
          <w:jc w:val="center"/>
        </w:trPr>
        <w:tc>
          <w:tcPr>
            <w:tcW w:w="420"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center"/>
          </w:tcPr>
          <w:p/>
        </w:tc>
        <w:tc>
          <w:tcPr>
            <w:tcW w:w="9868" w:type="dxa"/>
            <w:tcBorders>
              <w:top w:val="single" w:sz="4" w:space="0" w:color="auto"/>
              <w:left w:val="single" w:sz="4" w:space="0" w:color="auto"/>
              <w:bottom w:val="single" w:sz="4" w:space="0" w:color="auto"/>
              <w:right w:val="single" w:sz="4" w:space="0" w:color="auto"/>
            </w:tcBorders>
            <w:shd w:val="clear" w:color="auto" w:fill="auto"/>
            <w:tcMar>
              <w:left w:w="105" w:type="dxa"/>
              <w:right w:w="105" w:type="dxa"/>
            </w:tcMar>
            <w:vAlign w:val="top"/>
          </w:tcPr>
          <w:tbl>
            <w:tblPr>
              <w:tblStyle w:val="TableNormal"/>
              <w:tblW w:w="90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1184"/>
              <w:gridCol w:w="1154"/>
              <w:gridCol w:w="3919"/>
              <w:gridCol w:w="2760"/>
            </w:tblGrid>
            <w:tr>
              <w:tblPrEx>
                <w:tblW w:w="90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40"/>
                <w:jc w:val="center"/>
              </w:trPr>
              <w:tc>
                <w:tcPr>
                  <w:tcW w:w="1184" w:type="dxa"/>
                  <w:vMerge w:val="restart"/>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院区</w:t>
                  </w:r>
                </w:p>
              </w:tc>
              <w:tc>
                <w:tcPr>
                  <w:tcW w:w="391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含病原体废气及消毒异味</w:t>
                  </w:r>
                </w:p>
              </w:tc>
              <w:tc>
                <w:tcPr>
                  <w:tcW w:w="2760"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189"/>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备用发电机</w:t>
                  </w:r>
                </w:p>
              </w:tc>
              <w:tc>
                <w:tcPr>
                  <w:tcW w:w="391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发电机废气</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SO</w:t>
                  </w:r>
                  <w:r>
                    <w:rPr>
                      <w:rFonts w:ascii="Times New Roman" w:eastAsia="宋体" w:hAnsi="Times New Roman" w:cs="Times New Roman" w:hint="default"/>
                      <w:b w:val="0"/>
                      <w:bCs w:val="0"/>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NO</w:t>
                  </w:r>
                  <w:r>
                    <w:rPr>
                      <w:rFonts w:ascii="Times New Roman" w:eastAsia="宋体" w:hAnsi="Times New Roman" w:cs="Times New Roman" w:hint="default"/>
                      <w:b w:val="0"/>
                      <w:bCs w:val="0"/>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、烟尘</w:t>
                  </w:r>
                </w:p>
              </w:tc>
            </w:tr>
            <w:tr>
              <w:tblPrEx>
                <w:tblW w:w="9017" w:type="dxa"/>
                <w:jc w:val="center"/>
                <w:tblLayout w:type="fixed"/>
                <w:tblCellMar>
                  <w:top w:w="0" w:type="dxa"/>
                  <w:left w:w="108" w:type="dxa"/>
                  <w:bottom w:w="0" w:type="dxa"/>
                  <w:right w:w="108" w:type="dxa"/>
                </w:tblCellMar>
              </w:tblPrEx>
              <w:trPr>
                <w:trHeight w:val="96"/>
                <w:jc w:val="center"/>
              </w:trPr>
              <w:tc>
                <w:tcPr>
                  <w:tcW w:w="118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噪音</w:t>
                  </w:r>
                </w:p>
              </w:tc>
              <w:tc>
                <w:tcPr>
                  <w:tcW w:w="115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设备运行</w:t>
                  </w:r>
                </w:p>
              </w:tc>
              <w:tc>
                <w:tcPr>
                  <w:tcW w:w="3919"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设备噪声</w:t>
                  </w:r>
                </w:p>
              </w:tc>
              <w:tc>
                <w:tcPr>
                  <w:tcW w:w="2760"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L</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Aeq</w:t>
                  </w:r>
                </w:p>
              </w:tc>
            </w:tr>
            <w:tr>
              <w:tblPrEx>
                <w:tblW w:w="9017" w:type="dxa"/>
                <w:jc w:val="center"/>
                <w:tblLayout w:type="fixed"/>
                <w:tblCellMar>
                  <w:top w:w="0" w:type="dxa"/>
                  <w:left w:w="108" w:type="dxa"/>
                  <w:bottom w:w="0" w:type="dxa"/>
                  <w:right w:w="108" w:type="dxa"/>
                </w:tblCellMar>
              </w:tblPrEx>
              <w:trPr>
                <w:trHeight w:val="140"/>
                <w:jc w:val="center"/>
              </w:trPr>
              <w:tc>
                <w:tcPr>
                  <w:tcW w:w="1184" w:type="dxa"/>
                  <w:vMerge w:val="restart"/>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固体废物</w:t>
                  </w:r>
                </w:p>
              </w:tc>
              <w:tc>
                <w:tcPr>
                  <w:tcW w:w="1154" w:type="dxa"/>
                  <w:vMerge w:val="restart"/>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医疗活动</w:t>
                  </w:r>
                </w:p>
              </w:tc>
              <w:tc>
                <w:tcPr>
                  <w:tcW w:w="391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医疗废物</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140"/>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391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outlineLvl w:val="2"/>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检测废液</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140"/>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391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outlineLvl w:val="2"/>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医疗废水（化粪池污泥）</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140"/>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391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outlineLvl w:val="2"/>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污泥</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96"/>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3919" w:type="dxa"/>
                  <w:tcBorders>
                    <w:tl2br w:val="nil"/>
                    <w:tr2bl w:val="nil"/>
                  </w:tcBorders>
                  <w:noWrap w:val="0"/>
                  <w:vAlign w:val="center"/>
                </w:tcPr>
                <w:p>
                  <w:pPr>
                    <w:adjustRightInd w:val="0"/>
                    <w:snapToGrid w:val="0"/>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栅渣</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96"/>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3919" w:type="dxa"/>
                  <w:tcBorders>
                    <w:tl2br w:val="nil"/>
                    <w:tr2bl w:val="nil"/>
                  </w:tcBorders>
                  <w:noWrap w:val="0"/>
                  <w:vAlign w:val="center"/>
                </w:tcPr>
                <w:p>
                  <w:pPr>
                    <w:adjustRightInd w:val="0"/>
                    <w:snapToGrid w:val="0"/>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废活性炭</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r>
            <w:tr>
              <w:tblPrEx>
                <w:tblW w:w="9017" w:type="dxa"/>
                <w:jc w:val="center"/>
                <w:tblLayout w:type="fixed"/>
                <w:tblCellMar>
                  <w:top w:w="0" w:type="dxa"/>
                  <w:left w:w="108" w:type="dxa"/>
                  <w:bottom w:w="0" w:type="dxa"/>
                  <w:right w:w="108" w:type="dxa"/>
                </w:tblCellMar>
              </w:tblPrEx>
              <w:trPr>
                <w:trHeight w:val="102"/>
                <w:jc w:val="center"/>
              </w:trPr>
              <w:tc>
                <w:tcPr>
                  <w:tcW w:w="1184" w:type="dxa"/>
                  <w:vMerge/>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p>
              </w:tc>
              <w:tc>
                <w:tcPr>
                  <w:tcW w:w="1154"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生活过程</w:t>
                  </w:r>
                </w:p>
              </w:tc>
              <w:tc>
                <w:tcPr>
                  <w:tcW w:w="3919"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生活垃圾</w:t>
                  </w:r>
                </w:p>
              </w:tc>
              <w:tc>
                <w:tcPr>
                  <w:tcW w:w="2760" w:type="dxa"/>
                  <w:tcBorders>
                    <w:tl2br w:val="nil"/>
                    <w:tr2bl w:val="nil"/>
                  </w:tcBorders>
                  <w:noWrap w:val="0"/>
                  <w:vAlign w:val="center"/>
                </w:tcPr>
                <w:p>
                  <w:pPr>
                    <w:autoSpaceDE w:val="0"/>
                    <w:autoSpaceDN w:val="0"/>
                    <w:adjustRightInd w:val="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r>
          </w:tbl>
          <w:p>
            <w:pPr>
              <w:pStyle w:val="NormalIndent"/>
              <w:ind w:left="0" w:firstLine="0" w:leftChars="0" w:firstLineChars="0"/>
              <w:rPr>
                <w:rFonts w:hAnsi="Times New Roman" w:cs="Times New Roman" w:hint="default"/>
                <w:color w:val="000000" w:themeColor="text1"/>
                <w:szCs w:val="21"/>
                <w:highlight w:val="none"/>
                <w14:textFill>
                  <w14:solidFill>
                    <w14:schemeClr w14:val="tx1"/>
                  </w14:solidFill>
                </w14:textFill>
              </w:rPr>
            </w:pPr>
          </w:p>
        </w:tc>
      </w:tr>
      <w:tr>
        <w:tblPrEx>
          <w:tblW w:w="10288" w:type="dxa"/>
          <w:jc w:val="center"/>
          <w:shd w:val="clear" w:color="auto" w:fill="auto"/>
          <w:tblLayout w:type="fixed"/>
          <w:tblCellMar>
            <w:top w:w="0" w:type="dxa"/>
            <w:left w:w="0" w:type="dxa"/>
            <w:bottom w:w="0" w:type="dxa"/>
            <w:right w:w="0" w:type="dxa"/>
          </w:tblCellMar>
        </w:tblPrEx>
        <w:trPr>
          <w:trHeight w:val="90"/>
          <w:jc w:val="center"/>
        </w:trPr>
        <w:tc>
          <w:tcPr>
            <w:tcW w:w="420" w:type="dxa"/>
            <w:tcBorders>
              <w:top w:val="single" w:sz="4" w:space="0" w:color="auto"/>
              <w:left w:val="single" w:sz="6" w:space="0" w:color="auto"/>
              <w:bottom w:val="single" w:sz="6"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2"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与项目有关的原有环境污染问题</w:t>
            </w:r>
          </w:p>
        </w:tc>
        <w:tc>
          <w:tcPr>
            <w:tcW w:w="9868" w:type="dxa"/>
            <w:tcBorders>
              <w:top w:val="single" w:sz="4" w:space="0" w:color="auto"/>
              <w:left w:val="nil"/>
              <w:bottom w:val="single" w:sz="6" w:space="0" w:color="auto"/>
              <w:right w:val="single" w:sz="6" w:space="0" w:color="auto"/>
            </w:tcBorders>
            <w:shd w:val="clear" w:color="auto" w:fill="auto"/>
            <w:tcMar>
              <w:left w:w="105" w:type="dxa"/>
              <w:right w:w="105" w:type="dxa"/>
            </w:tcMar>
            <w:vAlign w:val="top"/>
          </w:tcPr>
          <w:p>
            <w:pPr>
              <w:keepNext w:val="0"/>
              <w:keepLines w:val="0"/>
              <w:pageBreakBefore w:val="0"/>
              <w:widowControl w:val="0"/>
              <w:kinsoku/>
              <w:wordWrap/>
              <w:overflowPunct/>
              <w:topLinePunct w:val="0"/>
              <w:bidi w:val="0"/>
              <w:adjustRightInd/>
              <w:snapToGrid/>
              <w:spacing w:before="0" w:beforeLines="0" w:beforeAutospacing="0" w:after="0" w:afterLines="0" w:afterAutospacing="0" w:line="360" w:lineRule="auto"/>
              <w:ind w:right="105" w:firstLine="420" w:rightChars="50" w:firstLineChars="200"/>
              <w:jc w:val="both"/>
              <w:textAlignment w:val="auto"/>
              <w:rPr>
                <w:rFonts w:ascii="Times New Roman" w:eastAsia="宋体" w:hAnsi="Times New Roman" w:cs="Times New Roman" w:hint="default"/>
                <w:b/>
                <w:bCs/>
                <w:color w:val="000000" w:themeColor="text1"/>
                <w:kern w:val="0"/>
                <w:szCs w:val="21"/>
                <w:highlight w:val="no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1、周边环境情况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本项目为新建项目，</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位于</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海南省三亚市吉阳区商品街十巷A01号，</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项目租赁商住楼进行装修建设</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项目北</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侧</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邻近商品街十巷</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东北侧24米为</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三亚潘崖口腔诊所、</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东北侧35米为</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农业局宿舍区</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东</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南</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侧</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邻近的是三亚市自规局及发改委宿舍（距离3米）</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东北侧发改委宿舍（距离40米），西侧邻近颐康旅（紧邻）及三亚市河东派出所（10米），项目周边</w:t>
            </w:r>
            <w:r>
              <w:rPr>
                <w:rFonts w:ascii="Times New Roman" w:eastAsia="宋体" w:hAnsi="Times New Roman" w:cs="Times New Roman" w:hint="default"/>
                <w:b w:val="0"/>
                <w:bCs w:val="0"/>
                <w:color w:val="000000" w:themeColor="text1"/>
                <w:sz w:val="21"/>
                <w:szCs w:val="21"/>
                <w:highlight w:val="none"/>
                <w:lang w:eastAsia="zh-CN"/>
                <w14:textFill>
                  <w14:solidFill>
                    <w14:schemeClr w14:val="tx1"/>
                  </w14:solidFill>
                </w14:textFill>
              </w:rPr>
              <w:t>多为商住两用楼。周围商业涉及餐饮、幼儿园、酒店、住宅等，</w:t>
            </w:r>
            <w:r>
              <w:rPr>
                <w:rFonts w:ascii="Times New Roman" w:eastAsia="宋体" w:hAnsi="Times New Roman" w:cs="Times New Roman" w:hint="default"/>
                <w:b w:val="0"/>
                <w:bCs w:val="0"/>
                <w:color w:val="000000" w:themeColor="text1"/>
                <w:kern w:val="0"/>
                <w:sz w:val="21"/>
                <w:szCs w:val="21"/>
                <w:highlight w:val="none"/>
                <w:lang w:val="en-US" w:eastAsia="zh-CN"/>
                <w14:textFill>
                  <w14:solidFill>
                    <w14:schemeClr w14:val="tx1"/>
                  </w14:solidFill>
                </w14:textFill>
              </w:rPr>
              <w:t>主要污染物为周边居民生</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活及商业活动的生活污水，生活垃圾，道路车辆运行产生的噪声和汽车尾气。</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lang w:val="en-US" w:eastAsia="zh-CN"/>
                <w14:textFill>
                  <w14:solidFill>
                    <w14:schemeClr w14:val="tx1"/>
                  </w14:solidFill>
                </w14:textFill>
              </w:rPr>
              <w:t>2、</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项目原有环境问题排查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经现场调查，项目地下室内的备用发电机房内有一部分废机油，项目尚未委托有资质单位处理，尚未建立危废暂存间，柴油发电机废气排放通道存在一定损坏。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整改措施：项目需委托有资质单位处理废机油等危废，建设危废暂存间，且详细检查柴油发电机废气排放通道损坏区域并维修，保证废气能排放至楼顶。</w:t>
            </w:r>
          </w:p>
          <w:p>
            <w:pPr>
              <w:pStyle w:val="Heading4"/>
              <w:rPr>
                <w:rFonts w:ascii="Times New Roman" w:hAnsi="Times New Roman" w:cs="Times New Roman" w:hint="eastAsia"/>
                <w:color w:val="000000" w:themeColor="text1"/>
                <w:sz w:val="21"/>
                <w:szCs w:val="21"/>
                <w:highlight w:val="none"/>
                <w:lang w:val="en-US" w:eastAsia="zh-CN"/>
                <w14:textFill>
                  <w14:solidFill>
                    <w14:schemeClr w14:val="tx1"/>
                  </w14:solidFill>
                </w14:textFill>
              </w:rPr>
            </w:pPr>
          </w:p>
          <w:p>
            <w:pPr>
              <w:pStyle w:val="Heading4"/>
              <w:rPr>
                <w:rFonts w:ascii="Times New Roman" w:hAnsi="Times New Roman" w:cs="Times New Roman" w:hint="eastAsia"/>
                <w:color w:val="000000" w:themeColor="text1"/>
                <w:sz w:val="21"/>
                <w:szCs w:val="21"/>
                <w:highlight w:val="none"/>
                <w:lang w:val="en-US" w:eastAsia="zh-CN"/>
                <w14:textFill>
                  <w14:solidFill>
                    <w14:schemeClr w14:val="tx1"/>
                  </w14:solidFill>
                </w14:textFill>
              </w:rPr>
            </w:pPr>
          </w:p>
          <w:p>
            <w:pPr>
              <w:pStyle w:val="Heading4"/>
              <w:rPr>
                <w:rFonts w:ascii="Times New Roman" w:hAnsi="Times New Roman" w:cs="Times New Roman" w:hint="eastAsia"/>
                <w:color w:val="000000" w:themeColor="text1"/>
                <w:sz w:val="21"/>
                <w:szCs w:val="21"/>
                <w:highlight w:val="none"/>
                <w:lang w:val="en-US" w:eastAsia="zh-CN"/>
                <w14:textFill>
                  <w14:solidFill>
                    <w14:schemeClr w14:val="tx1"/>
                  </w14:solidFill>
                </w14:textFill>
              </w:rPr>
            </w:pPr>
          </w:p>
          <w:p>
            <w:pPr>
              <w:pStyle w:val="Heading4"/>
              <w:rPr>
                <w:rFonts w:ascii="Times New Roman" w:hAnsi="Times New Roman" w:cs="Times New Roman" w:hint="eastAsia"/>
                <w:color w:val="000000" w:themeColor="text1"/>
                <w:sz w:val="21"/>
                <w:szCs w:val="21"/>
                <w:highlight w:val="none"/>
                <w:lang w:val="en-US" w:eastAsia="zh-CN"/>
                <w14:textFill>
                  <w14:solidFill>
                    <w14:schemeClr w14:val="tx1"/>
                  </w14:solidFill>
                </w14:textFill>
              </w:rPr>
            </w:pPr>
          </w:p>
          <w:p>
            <w:pPr>
              <w:pStyle w:val="Heading4"/>
              <w:rPr>
                <w:rFonts w:ascii="Times New Roman" w:hAnsi="Times New Roman" w:cs="Times New Roman" w:hint="eastAsia"/>
                <w:color w:val="000000" w:themeColor="text1"/>
                <w:sz w:val="21"/>
                <w:szCs w:val="21"/>
                <w:highlight w:val="none"/>
                <w:lang w:val="en-US" w:eastAsia="zh-CN"/>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 xml:space="preserve"> </w:t>
            </w:r>
          </w:p>
        </w:tc>
      </w:tr>
    </w:tbl>
    <w:p>
      <w:pPr>
        <w:sectPr>
          <w:footerReference w:type="default" r:id="rId26"/>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7"/>
          <w:cols w:num="1" w:space="425"/>
          <w:titlePg w:val="0"/>
          <w:docGrid w:type="lines" w:linePitch="312" w:charSpace="0"/>
        </w:sectPr>
      </w:pPr>
    </w:p>
    <w:p>
      <w:pPr>
        <w:pStyle w:val="Heading1"/>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三、区域环境质量现状、环境保护目标及评价标准</w:t>
      </w: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501"/>
        </w:trPr>
        <w:tc>
          <w:tcPr>
            <w:tcW w:w="436"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区域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环境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质量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现状</w:t>
            </w:r>
          </w:p>
        </w:tc>
        <w:tc>
          <w:tcPr>
            <w:tcW w:w="9732" w:type="dxa"/>
            <w:tcBorders>
              <w:top w:val="single" w:sz="6" w:space="0" w:color="auto"/>
              <w:left w:val="nil"/>
              <w:bottom w:val="single" w:sz="4" w:space="0" w:color="auto"/>
              <w:right w:val="single" w:sz="6" w:space="0" w:color="auto"/>
            </w:tcBorders>
            <w:shd w:val="clear" w:color="auto" w:fill="auto"/>
            <w:tcMar>
              <w:left w:w="105" w:type="dxa"/>
              <w:right w:w="105" w:type="dxa"/>
            </w:tcMar>
            <w:vAlign w:val="center"/>
          </w:tcPr>
          <w:p>
            <w:pPr>
              <w:spacing w:line="360" w:lineRule="auto"/>
              <w:ind w:firstLine="420" w:firstLineChars="200"/>
              <w:rPr>
                <w:rFonts w:ascii="Times New Roman" w:eastAsia="宋体" w:hAnsi="Times New Roman" w:cs="Times New Roman" w:hint="default"/>
                <w:b/>
                <w:bCs/>
                <w:color w:val="000000" w:themeColor="text1"/>
                <w:kern w:val="0"/>
                <w:szCs w:val="21"/>
                <w:highlight w:val="no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14:textFill>
                  <w14:solidFill>
                    <w14:schemeClr w14:val="tx1"/>
                  </w14:solidFill>
                </w14:textFill>
              </w:rPr>
              <w:t>1、环境空气质量现状</w:t>
            </w:r>
          </w:p>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420" w:firstLineChars="200"/>
              <w:jc w:val="left"/>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本项目区域大气环境质量现状引用三亚市生态环境保护局发布的《三亚市 2020 年 环境质量年报》数据。 根据 2021 年 2 月 1 日三亚市生态环境局发布的《三亚市 2020 年环境质量年报》， 2020 年，三亚市环境空气质量优良率为 100%，市区二氧化硫（SO</w:t>
            </w:r>
            <w:r>
              <w:rPr>
                <w:rFonts w:ascii="Times New Roman" w:eastAsia="宋体" w:hAnsi="Times New Roman" w:cs="Times New Roman" w:hint="default"/>
                <w:b w:val="0"/>
                <w:bCs w:val="0"/>
                <w:color w:val="000000" w:themeColor="text1"/>
                <w:kern w:val="2"/>
                <w:sz w:val="21"/>
                <w:szCs w:val="21"/>
                <w:highlight w:val="none"/>
                <w:vertAlign w:val="subscript"/>
                <w:lang w:val="en-US" w:eastAsia="zh-CN" w:bidi="ar-SA"/>
                <w14:textFill>
                  <w14:solidFill>
                    <w14:schemeClr w14:val="tx1"/>
                  </w14:solidFill>
                </w14:textFill>
              </w:rPr>
              <w:t>2</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）日平均浓度范围 为 1～10 微克/立方米，年平均浓度为 4 微克/立方米；二氧化氮（NO</w:t>
            </w:r>
            <w:r>
              <w:rPr>
                <w:rFonts w:ascii="Times New Roman" w:eastAsia="宋体" w:hAnsi="Times New Roman" w:cs="Times New Roman" w:hint="default"/>
                <w:b w:val="0"/>
                <w:bCs w:val="0"/>
                <w:color w:val="000000" w:themeColor="text1"/>
                <w:kern w:val="2"/>
                <w:sz w:val="21"/>
                <w:szCs w:val="21"/>
                <w:highlight w:val="none"/>
                <w:vertAlign w:val="subscript"/>
                <w:lang w:val="en-US" w:eastAsia="zh-CN" w:bidi="ar-SA"/>
                <w14:textFill>
                  <w14:solidFill>
                    <w14:schemeClr w14:val="tx1"/>
                  </w14:solidFill>
                </w14:textFill>
              </w:rPr>
              <w:t>2</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）日平均浓度范 围为 2～28 微克/立方米，年平均浓度为 9 微克/立方米；可吸入颗粒物（PM</w:t>
            </w:r>
            <w:r>
              <w:rPr>
                <w:rFonts w:ascii="Times New Roman" w:eastAsia="宋体" w:hAnsi="Times New Roman" w:cs="Times New Roman" w:hint="default"/>
                <w:b w:val="0"/>
                <w:bCs w:val="0"/>
                <w:color w:val="000000" w:themeColor="text1"/>
                <w:kern w:val="2"/>
                <w:sz w:val="21"/>
                <w:szCs w:val="21"/>
                <w:highlight w:val="none"/>
                <w:vertAlign w:val="subscript"/>
                <w:lang w:val="en-US" w:eastAsia="zh-CN" w:bidi="ar-SA"/>
                <w14:textFill>
                  <w14:solidFill>
                    <w14:schemeClr w14:val="tx1"/>
                  </w14:solidFill>
                </w14:textFill>
              </w:rPr>
              <w:t>10</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）日平均 浓度范围为 4～76 微克/立方米，年平均浓度为 23 微克/立方米；细颗粒物（PM</w:t>
            </w:r>
            <w:r>
              <w:rPr>
                <w:rFonts w:ascii="Times New Roman" w:eastAsia="宋体" w:hAnsi="Times New Roman" w:cs="Times New Roman" w:hint="default"/>
                <w:b w:val="0"/>
                <w:bCs w:val="0"/>
                <w:color w:val="000000" w:themeColor="text1"/>
                <w:kern w:val="2"/>
                <w:sz w:val="21"/>
                <w:szCs w:val="21"/>
                <w:highlight w:val="none"/>
                <w:vertAlign w:val="subscript"/>
                <w:lang w:val="en-US" w:eastAsia="zh-CN" w:bidi="ar-SA"/>
                <w14:textFill>
                  <w14:solidFill>
                    <w14:schemeClr w14:val="tx1"/>
                  </w14:solidFill>
                </w14:textFill>
              </w:rPr>
              <w:t>2.5</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）日平均浓度范围为 2～50 微克/立方米，年平均浓度为 11 微克/立方米；一氧化碳（CO） 日平均浓度范围为 0.2～0.8 毫克/立方米，日平均浓度第 95 百分位数为 0.6 毫克/立方米； 臭氧（O</w:t>
            </w:r>
            <w:r>
              <w:rPr>
                <w:rFonts w:ascii="Times New Roman" w:eastAsia="宋体" w:hAnsi="Times New Roman" w:cs="Times New Roman" w:hint="default"/>
                <w:b w:val="0"/>
                <w:bCs w:val="0"/>
                <w:color w:val="000000" w:themeColor="text1"/>
                <w:kern w:val="2"/>
                <w:sz w:val="21"/>
                <w:szCs w:val="21"/>
                <w:highlight w:val="none"/>
                <w:vertAlign w:val="subscript"/>
                <w:lang w:val="en-US" w:eastAsia="zh-CN" w:bidi="ar-SA"/>
                <w14:textFill>
                  <w14:solidFill>
                    <w14:schemeClr w14:val="tx1"/>
                  </w14:solidFill>
                </w14:textFill>
              </w:rPr>
              <w:t>3</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）日最大 8 小时平均浓度范围为 16～145 微克/立方米，日最大 8 小时平均浓 度第 90 百分位数为 99 微克/立方米。各污染物平均浓度均优于《环境空气质量标准》 （GB3095-2012）及其修改单中二级标准限值。项目所在区域空气质量现状评价表详见 表 3-1。</w:t>
            </w:r>
          </w:p>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firstLine="420" w:firstLineChars="20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 xml:space="preserve">表3-1 </w:t>
            </w:r>
            <w:r>
              <w:rPr>
                <w:rFonts w:ascii="Times New Roman" w:eastAsia="宋体" w:hAnsi="Times New Roman" w:cs="Times New Roman" w:hint="default"/>
                <w:b/>
                <w:color w:val="000000" w:themeColor="text1"/>
                <w:kern w:val="2"/>
                <w:sz w:val="21"/>
                <w:szCs w:val="21"/>
                <w:highlight w:val="none"/>
                <w:lang w:val="en-US" w:eastAsia="zh-CN" w:bidi="ar-SA"/>
                <w14:textFill>
                  <w14:solidFill>
                    <w14:schemeClr w14:val="tx1"/>
                  </w14:solidFill>
                </w14:textFill>
              </w:rPr>
              <w:t>环境空气质量汇总表</w:t>
            </w:r>
          </w:p>
          <w:tbl>
            <w:tblPr>
              <w:tblStyle w:val="TableNormal"/>
              <w:tblW w:w="9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9"/>
              <w:gridCol w:w="3615"/>
              <w:gridCol w:w="3390"/>
              <w:gridCol w:w="777"/>
            </w:tblGrid>
            <w:tr>
              <w:tblPrEx>
                <w:tblW w:w="9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5"/>
                <w:jc w:val="center"/>
              </w:trPr>
              <w:tc>
                <w:tcPr>
                  <w:tcW w:w="1489" w:type="dxa"/>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监测指标</w:t>
                  </w:r>
                </w:p>
              </w:tc>
              <w:tc>
                <w:tcPr>
                  <w:tcW w:w="3615" w:type="dxa"/>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年均浓度</w:t>
                  </w:r>
                </w:p>
              </w:tc>
              <w:tc>
                <w:tcPr>
                  <w:tcW w:w="3390" w:type="dxa"/>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二</w:t>
                  </w:r>
                  <w:r>
                    <w:rPr>
                      <w:rFonts w:ascii="Times New Roman" w:eastAsia="宋体" w:hAnsi="Times New Roman" w:cs="Times New Roman" w:hint="default"/>
                      <w:b/>
                      <w:bCs/>
                      <w:color w:val="000000" w:themeColor="text1"/>
                      <w:sz w:val="21"/>
                      <w:szCs w:val="21"/>
                      <w:highlight w:val="none"/>
                      <w14:textFill>
                        <w14:solidFill>
                          <w14:schemeClr w14:val="tx1"/>
                        </w14:solidFill>
                      </w14:textFill>
                    </w:rPr>
                    <w:t>级标准限值（年平均）</w:t>
                  </w:r>
                </w:p>
              </w:tc>
              <w:tc>
                <w:tcPr>
                  <w:tcW w:w="777" w:type="dxa"/>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达标情况</w:t>
                  </w:r>
                </w:p>
              </w:tc>
            </w:tr>
            <w:tr>
              <w:tblPrEx>
                <w:tblW w:w="9271" w:type="dxa"/>
                <w:jc w:val="center"/>
                <w:tblLayout w:type="fixed"/>
                <w:tblCellMar>
                  <w:top w:w="0" w:type="dxa"/>
                  <w:left w:w="108" w:type="dxa"/>
                  <w:bottom w:w="0" w:type="dxa"/>
                  <w:right w:w="108" w:type="dxa"/>
                </w:tblCellMar>
              </w:tblPrEx>
              <w:trPr>
                <w:jc w:val="center"/>
              </w:trPr>
              <w:tc>
                <w:tcPr>
                  <w:tcW w:w="1489"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SO</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color w:val="000000" w:themeColor="text1"/>
                      <w:sz w:val="21"/>
                      <w:szCs w:val="21"/>
                      <w:highlight w:val="none"/>
                      <w14:textFill>
                        <w14:solidFill>
                          <w14:schemeClr w14:val="tx1"/>
                        </w14:solidFill>
                      </w14:textFill>
                    </w:rPr>
                    <w:t>（μg/m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3615"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4</w:t>
                  </w:r>
                </w:p>
              </w:tc>
              <w:tc>
                <w:tcPr>
                  <w:tcW w:w="3390"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60</w:t>
                  </w:r>
                </w:p>
              </w:tc>
              <w:tc>
                <w:tcPr>
                  <w:tcW w:w="777"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达标</w:t>
                  </w:r>
                </w:p>
              </w:tc>
            </w:tr>
            <w:tr>
              <w:tblPrEx>
                <w:tblW w:w="9271" w:type="dxa"/>
                <w:jc w:val="center"/>
                <w:tblLayout w:type="fixed"/>
                <w:tblCellMar>
                  <w:top w:w="0" w:type="dxa"/>
                  <w:left w:w="108" w:type="dxa"/>
                  <w:bottom w:w="0" w:type="dxa"/>
                  <w:right w:w="108" w:type="dxa"/>
                </w:tblCellMar>
              </w:tblPrEx>
              <w:trPr>
                <w:jc w:val="center"/>
              </w:trPr>
              <w:tc>
                <w:tcPr>
                  <w:tcW w:w="1489" w:type="dxa"/>
                  <w:noWrap w:val="0"/>
                  <w:vAlign w:val="center"/>
                </w:tcPr>
                <w:p>
                  <w:pPr>
                    <w:spacing w:line="240" w:lineRule="auto"/>
                    <w:jc w:val="center"/>
                    <w:rPr>
                      <w:rFonts w:ascii="Times New Roman" w:eastAsia="宋体" w:hAnsi="Times New Roman" w:cs="Times New Roman" w:hint="default"/>
                      <w:color w:val="000000" w:themeColor="text1"/>
                      <w:szCs w:val="21"/>
                      <w:highlight w:val="none"/>
                      <w:vertAlign w:val="subscript"/>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NO</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color w:val="000000" w:themeColor="text1"/>
                      <w:sz w:val="21"/>
                      <w:szCs w:val="21"/>
                      <w:highlight w:val="none"/>
                      <w14:textFill>
                        <w14:solidFill>
                          <w14:schemeClr w14:val="tx1"/>
                        </w14:solidFill>
                      </w14:textFill>
                    </w:rPr>
                    <w:t>（μg/m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3615"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9</w:t>
                  </w:r>
                </w:p>
              </w:tc>
              <w:tc>
                <w:tcPr>
                  <w:tcW w:w="3390"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40</w:t>
                  </w:r>
                </w:p>
              </w:tc>
              <w:tc>
                <w:tcPr>
                  <w:tcW w:w="777"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达标</w:t>
                  </w:r>
                </w:p>
              </w:tc>
            </w:tr>
            <w:tr>
              <w:tblPrEx>
                <w:tblW w:w="9271" w:type="dxa"/>
                <w:jc w:val="center"/>
                <w:tblLayout w:type="fixed"/>
                <w:tblCellMar>
                  <w:top w:w="0" w:type="dxa"/>
                  <w:left w:w="108" w:type="dxa"/>
                  <w:bottom w:w="0" w:type="dxa"/>
                  <w:right w:w="108" w:type="dxa"/>
                </w:tblCellMar>
              </w:tblPrEx>
              <w:trPr>
                <w:jc w:val="center"/>
              </w:trPr>
              <w:tc>
                <w:tcPr>
                  <w:tcW w:w="1489" w:type="dxa"/>
                  <w:noWrap w:val="0"/>
                  <w:vAlign w:val="center"/>
                </w:tcPr>
                <w:p>
                  <w:pPr>
                    <w:spacing w:line="240" w:lineRule="auto"/>
                    <w:jc w:val="center"/>
                    <w:rPr>
                      <w:rFonts w:ascii="Times New Roman" w:eastAsia="宋体" w:hAnsi="Times New Roman" w:cs="Times New Roman" w:hint="default"/>
                      <w:color w:val="000000" w:themeColor="text1"/>
                      <w:szCs w:val="21"/>
                      <w:highlight w:val="none"/>
                      <w:vertAlign w:val="subscript"/>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PM</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10</w:t>
                  </w:r>
                  <w:r>
                    <w:rPr>
                      <w:rFonts w:ascii="Times New Roman" w:eastAsia="宋体" w:hAnsi="Times New Roman" w:cs="Times New Roman" w:hint="default"/>
                      <w:color w:val="000000" w:themeColor="text1"/>
                      <w:sz w:val="21"/>
                      <w:szCs w:val="21"/>
                      <w:highlight w:val="none"/>
                      <w14:textFill>
                        <w14:solidFill>
                          <w14:schemeClr w14:val="tx1"/>
                        </w14:solidFill>
                      </w14:textFill>
                    </w:rPr>
                    <w:t>（μg/m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3615"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23</w:t>
                  </w:r>
                </w:p>
              </w:tc>
              <w:tc>
                <w:tcPr>
                  <w:tcW w:w="3390"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7</w:t>
                  </w:r>
                  <w:r>
                    <w:rPr>
                      <w:rFonts w:ascii="Times New Roman" w:eastAsia="宋体" w:hAnsi="Times New Roman" w:cs="Times New Roman" w:hint="default"/>
                      <w:color w:val="000000" w:themeColor="text1"/>
                      <w:sz w:val="21"/>
                      <w:szCs w:val="21"/>
                      <w:highlight w:val="none"/>
                      <w14:textFill>
                        <w14:solidFill>
                          <w14:schemeClr w14:val="tx1"/>
                        </w14:solidFill>
                      </w14:textFill>
                    </w:rPr>
                    <w:t>0</w:t>
                  </w:r>
                </w:p>
              </w:tc>
              <w:tc>
                <w:tcPr>
                  <w:tcW w:w="777"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达标</w:t>
                  </w:r>
                </w:p>
              </w:tc>
            </w:tr>
            <w:tr>
              <w:tblPrEx>
                <w:tblW w:w="9271" w:type="dxa"/>
                <w:jc w:val="center"/>
                <w:tblLayout w:type="fixed"/>
                <w:tblCellMar>
                  <w:top w:w="0" w:type="dxa"/>
                  <w:left w:w="108" w:type="dxa"/>
                  <w:bottom w:w="0" w:type="dxa"/>
                  <w:right w:w="108" w:type="dxa"/>
                </w:tblCellMar>
              </w:tblPrEx>
              <w:trPr>
                <w:jc w:val="center"/>
              </w:trPr>
              <w:tc>
                <w:tcPr>
                  <w:tcW w:w="1489" w:type="dxa"/>
                  <w:noWrap w:val="0"/>
                  <w:vAlign w:val="center"/>
                </w:tcPr>
                <w:p>
                  <w:pPr>
                    <w:spacing w:line="240" w:lineRule="auto"/>
                    <w:jc w:val="center"/>
                    <w:rPr>
                      <w:rFonts w:ascii="Times New Roman" w:eastAsia="宋体" w:hAnsi="Times New Roman" w:cs="Times New Roman" w:hint="default"/>
                      <w:color w:val="000000" w:themeColor="text1"/>
                      <w:szCs w:val="21"/>
                      <w:highlight w:val="none"/>
                      <w:vertAlign w:val="subscript"/>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PM</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2.5</w:t>
                  </w:r>
                  <w:r>
                    <w:rPr>
                      <w:rFonts w:ascii="Times New Roman" w:eastAsia="宋体" w:hAnsi="Times New Roman" w:cs="Times New Roman" w:hint="default"/>
                      <w:color w:val="000000" w:themeColor="text1"/>
                      <w:sz w:val="21"/>
                      <w:szCs w:val="21"/>
                      <w:highlight w:val="none"/>
                      <w14:textFill>
                        <w14:solidFill>
                          <w14:schemeClr w14:val="tx1"/>
                        </w14:solidFill>
                      </w14:textFill>
                    </w:rPr>
                    <w:t>（μg/m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3615"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11</w:t>
                  </w:r>
                </w:p>
              </w:tc>
              <w:tc>
                <w:tcPr>
                  <w:tcW w:w="3390"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5</w:t>
                  </w:r>
                </w:p>
              </w:tc>
              <w:tc>
                <w:tcPr>
                  <w:tcW w:w="777"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达标</w:t>
                  </w:r>
                </w:p>
              </w:tc>
            </w:tr>
            <w:tr>
              <w:tblPrEx>
                <w:tblW w:w="9271" w:type="dxa"/>
                <w:jc w:val="center"/>
                <w:tblLayout w:type="fixed"/>
                <w:tblCellMar>
                  <w:top w:w="0" w:type="dxa"/>
                  <w:left w:w="108" w:type="dxa"/>
                  <w:bottom w:w="0" w:type="dxa"/>
                  <w:right w:w="108" w:type="dxa"/>
                </w:tblCellMar>
              </w:tblPrEx>
              <w:trPr>
                <w:jc w:val="center"/>
              </w:trPr>
              <w:tc>
                <w:tcPr>
                  <w:tcW w:w="1489" w:type="dxa"/>
                  <w:noWrap w:val="0"/>
                  <w:vAlign w:val="center"/>
                </w:tcPr>
                <w:p>
                  <w:pPr>
                    <w:spacing w:line="240" w:lineRule="auto"/>
                    <w:jc w:val="center"/>
                    <w:rPr>
                      <w:rFonts w:ascii="Times New Roman" w:eastAsia="宋体" w:hAnsi="Times New Roman" w:cs="Times New Roman" w:hint="default"/>
                      <w:color w:val="000000" w:themeColor="text1"/>
                      <w:szCs w:val="21"/>
                      <w:highlight w:val="none"/>
                      <w:vertAlign w:val="subscript"/>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O</w:t>
                  </w:r>
                  <w:r>
                    <w:rPr>
                      <w:rFonts w:ascii="Times New Roman" w:eastAsia="宋体" w:hAnsi="Times New Roman" w:cs="Times New Roman" w:hint="default"/>
                      <w:color w:val="000000" w:themeColor="text1"/>
                      <w:sz w:val="21"/>
                      <w:szCs w:val="21"/>
                      <w:highlight w:val="none"/>
                      <w:vertAlign w:val="subscript"/>
                      <w:lang w:val="en-US" w:eastAsia="zh-CN"/>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（μg/m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3615"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99（</w:t>
                  </w:r>
                  <w:r>
                    <w:rPr>
                      <w:rFonts w:ascii="Times New Roman" w:hAnsi="Times New Roman" w:cs="Times New Roman" w:hint="default"/>
                      <w:color w:val="000000" w:themeColor="text1"/>
                      <w:kern w:val="0"/>
                      <w:sz w:val="21"/>
                      <w:szCs w:val="21"/>
                      <w:highlight w:val="none"/>
                      <w:u w:val="none"/>
                      <w14:textFill>
                        <w14:solidFill>
                          <w14:schemeClr w14:val="tx1"/>
                        </w14:solidFill>
                      </w14:textFill>
                    </w:rPr>
                    <w:t>第90百分位数日最大8小时均值浓度</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3390"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160（</w:t>
                  </w:r>
                  <w:r>
                    <w:rPr>
                      <w:rFonts w:ascii="Times New Roman" w:hAnsi="Times New Roman" w:cs="Times New Roman" w:hint="default"/>
                      <w:color w:val="000000" w:themeColor="text1"/>
                      <w:kern w:val="0"/>
                      <w:sz w:val="21"/>
                      <w:szCs w:val="21"/>
                      <w:highlight w:val="none"/>
                      <w:u w:val="none"/>
                      <w14:textFill>
                        <w14:solidFill>
                          <w14:schemeClr w14:val="tx1"/>
                        </w14:solidFill>
                      </w14:textFill>
                    </w:rPr>
                    <w:t>第90百分位数日最大8小时均值浓度</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77"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达标</w:t>
                  </w:r>
                </w:p>
              </w:tc>
            </w:tr>
            <w:tr>
              <w:tblPrEx>
                <w:tblW w:w="9271" w:type="dxa"/>
                <w:jc w:val="center"/>
                <w:tblLayout w:type="fixed"/>
                <w:tblCellMar>
                  <w:top w:w="0" w:type="dxa"/>
                  <w:left w:w="108" w:type="dxa"/>
                  <w:bottom w:w="0" w:type="dxa"/>
                  <w:right w:w="108" w:type="dxa"/>
                </w:tblCellMar>
              </w:tblPrEx>
              <w:trPr>
                <w:jc w:val="center"/>
              </w:trPr>
              <w:tc>
                <w:tcPr>
                  <w:tcW w:w="1489" w:type="dxa"/>
                  <w:noWrap w:val="0"/>
                  <w:vAlign w:val="center"/>
                </w:tcPr>
                <w:p>
                  <w:pPr>
                    <w:spacing w:line="240" w:lineRule="auto"/>
                    <w:jc w:val="center"/>
                    <w:rPr>
                      <w:rFonts w:ascii="Times New Roman" w:eastAsia="宋体" w:hAnsi="Times New Roman" w:cs="Times New Roman" w:hint="default"/>
                      <w:color w:val="000000" w:themeColor="text1"/>
                      <w:szCs w:val="21"/>
                      <w:highlight w:val="none"/>
                      <w:vertAlign w:val="subscript"/>
                      <w14:textFill>
                        <w14:solidFill>
                          <w14:schemeClr w14:val="tx1"/>
                        </w14:solidFill>
                      </w14:textFill>
                    </w:rPr>
                  </w:pPr>
                  <w:r>
                    <w:rPr>
                      <w:rFonts w:ascii="Times New Roman" w:hAnsi="Times New Roman" w:cs="Times New Roman" w:hint="default"/>
                      <w:color w:val="000000" w:themeColor="text1"/>
                      <w:kern w:val="0"/>
                      <w:sz w:val="21"/>
                      <w:szCs w:val="21"/>
                      <w:highlight w:val="none"/>
                      <w:u w:val="none"/>
                      <w14:textFill>
                        <w14:solidFill>
                          <w14:schemeClr w14:val="tx1"/>
                        </w14:solidFill>
                      </w14:textFill>
                    </w:rPr>
                    <w:t>CO</w:t>
                  </w:r>
                  <w:r>
                    <w:rPr>
                      <w:rFonts w:ascii="Times New Roman" w:eastAsia="宋体" w:hAnsi="Times New Roman" w:cs="Times New Roman" w:hint="default"/>
                      <w:color w:val="000000" w:themeColor="text1"/>
                      <w:sz w:val="21"/>
                      <w:szCs w:val="21"/>
                      <w:highlight w:val="none"/>
                      <w14:textFill>
                        <w14:solidFill>
                          <w14:schemeClr w14:val="tx1"/>
                        </w14:solidFill>
                      </w14:textFill>
                    </w:rPr>
                    <w:t>（μg/m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3615"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600（</w:t>
                  </w:r>
                  <w:r>
                    <w:rPr>
                      <w:rFonts w:ascii="Times New Roman" w:hAnsi="Times New Roman" w:cs="Times New Roman" w:hint="default"/>
                      <w:color w:val="000000" w:themeColor="text1"/>
                      <w:kern w:val="0"/>
                      <w:sz w:val="21"/>
                      <w:szCs w:val="21"/>
                      <w:highlight w:val="none"/>
                      <w:u w:val="none"/>
                      <w14:textFill>
                        <w14:solidFill>
                          <w14:schemeClr w14:val="tx1"/>
                        </w14:solidFill>
                      </w14:textFill>
                    </w:rPr>
                    <w:t>95百分位数浓度24小时均值</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3390"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4000</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kern w:val="0"/>
                      <w:sz w:val="21"/>
                      <w:szCs w:val="21"/>
                      <w:highlight w:val="none"/>
                      <w:u w:val="none"/>
                      <w14:textFill>
                        <w14:solidFill>
                          <w14:schemeClr w14:val="tx1"/>
                        </w14:solidFill>
                      </w14:textFill>
                    </w:rPr>
                    <w:t>95百分位数浓度24小时均值</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p>
              </w:tc>
              <w:tc>
                <w:tcPr>
                  <w:tcW w:w="777" w:type="dxa"/>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outlineLvl w:val="9"/>
              <w:rPr>
                <w:rFonts w:ascii="Times New Roman" w:eastAsia="宋体" w:hAnsi="Times New Roman" w:cs="Times New Roman" w:hint="default"/>
                <w:b w:val="0"/>
                <w:color w:val="000000" w:themeColor="text1"/>
                <w:szCs w:val="21"/>
                <w:highlight w:val="none"/>
                <w14:textFill>
                  <w14:solidFill>
                    <w14:schemeClr w14:val="tx1"/>
                  </w14:solidFill>
                </w14:textFill>
              </w:rPr>
            </w:pP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综上所述，执行《环境空气质量标准》（GB3095-2012）中的二级标准</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及修改单</w:t>
            </w: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，区域环境中PM</w:t>
            </w:r>
            <w:r>
              <w:rPr>
                <w:rFonts w:ascii="Times New Roman" w:eastAsia="宋体" w:hAnsi="Times New Roman" w:cs="Times New Roman" w:hint="default"/>
                <w:b w:val="0"/>
                <w:color w:val="000000" w:themeColor="text1"/>
                <w:kern w:val="2"/>
                <w:sz w:val="21"/>
                <w:szCs w:val="21"/>
                <w:highlight w:val="none"/>
                <w:vertAlign w:val="subscript"/>
                <w:lang w:val="en-US" w:eastAsia="zh-CN" w:bidi="ar-SA"/>
                <w14:textFill>
                  <w14:solidFill>
                    <w14:schemeClr w14:val="tx1"/>
                  </w14:solidFill>
                </w14:textFill>
              </w:rPr>
              <w:t>10</w:t>
            </w: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、PM</w:t>
            </w:r>
            <w:r>
              <w:rPr>
                <w:rFonts w:ascii="Times New Roman" w:eastAsia="宋体" w:hAnsi="Times New Roman" w:cs="Times New Roman" w:hint="default"/>
                <w:b w:val="0"/>
                <w:color w:val="000000" w:themeColor="text1"/>
                <w:kern w:val="2"/>
                <w:sz w:val="21"/>
                <w:szCs w:val="21"/>
                <w:highlight w:val="none"/>
                <w:vertAlign w:val="subscript"/>
                <w:lang w:val="en-US" w:eastAsia="zh-CN" w:bidi="ar-SA"/>
                <w14:textFill>
                  <w14:solidFill>
                    <w14:schemeClr w14:val="tx1"/>
                  </w14:solidFill>
                </w14:textFill>
              </w:rPr>
              <w:t>2.5</w:t>
            </w: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、O</w:t>
            </w:r>
            <w:r>
              <w:rPr>
                <w:rFonts w:ascii="Times New Roman" w:eastAsia="宋体" w:hAnsi="Times New Roman" w:cs="Times New Roman" w:hint="default"/>
                <w:b w:val="0"/>
                <w:color w:val="000000" w:themeColor="text1"/>
                <w:kern w:val="2"/>
                <w:sz w:val="21"/>
                <w:szCs w:val="21"/>
                <w:highlight w:val="none"/>
                <w:vertAlign w:val="subscript"/>
                <w:lang w:val="en-US" w:eastAsia="zh-CN" w:bidi="ar-SA"/>
                <w14:textFill>
                  <w14:solidFill>
                    <w14:schemeClr w14:val="tx1"/>
                  </w14:solidFill>
                </w14:textFill>
              </w:rPr>
              <w:t>3</w:t>
            </w: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、SO</w:t>
            </w:r>
            <w:r>
              <w:rPr>
                <w:rFonts w:ascii="Times New Roman" w:eastAsia="宋体" w:hAnsi="Times New Roman" w:cs="Times New Roman" w:hint="default"/>
                <w:b w:val="0"/>
                <w:color w:val="000000" w:themeColor="text1"/>
                <w:kern w:val="2"/>
                <w:sz w:val="21"/>
                <w:szCs w:val="21"/>
                <w:highlight w:val="none"/>
                <w:vertAlign w:val="subscript"/>
                <w:lang w:val="en-US" w:eastAsia="zh-CN" w:bidi="ar-SA"/>
                <w14:textFill>
                  <w14:solidFill>
                    <w14:schemeClr w14:val="tx1"/>
                  </w14:solidFill>
                </w14:textFill>
              </w:rPr>
              <w:t>2</w:t>
            </w: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、NO</w:t>
            </w:r>
            <w:r>
              <w:rPr>
                <w:rFonts w:ascii="Times New Roman" w:eastAsia="宋体" w:hAnsi="Times New Roman" w:cs="Times New Roman" w:hint="default"/>
                <w:b w:val="0"/>
                <w:color w:val="000000" w:themeColor="text1"/>
                <w:kern w:val="2"/>
                <w:sz w:val="21"/>
                <w:szCs w:val="21"/>
                <w:highlight w:val="none"/>
                <w:vertAlign w:val="subscript"/>
                <w:lang w:val="en-US" w:eastAsia="zh-CN" w:bidi="ar-SA"/>
                <w14:textFill>
                  <w14:solidFill>
                    <w14:schemeClr w14:val="tx1"/>
                  </w14:solidFill>
                </w14:textFill>
              </w:rPr>
              <w:t>2</w:t>
            </w:r>
            <w:r>
              <w:rPr>
                <w:rFonts w:ascii="Times New Roman" w:eastAsia="宋体" w:hAnsi="Times New Roman" w:cs="Times New Roman" w:hint="default"/>
                <w:b w:val="0"/>
                <w:color w:val="000000" w:themeColor="text1"/>
                <w:kern w:val="2"/>
                <w:sz w:val="21"/>
                <w:szCs w:val="21"/>
                <w:highlight w:val="none"/>
                <w:lang w:val="en-US" w:eastAsia="zh-CN" w:bidi="ar-SA"/>
                <w14:textFill>
                  <w14:solidFill>
                    <w14:schemeClr w14:val="tx1"/>
                  </w14:solidFill>
                </w14:textFill>
              </w:rPr>
              <w:t>、CO六项污染物全部达标，因此项目所在区域属于达标区。</w:t>
            </w:r>
          </w:p>
          <w:p>
            <w:pPr>
              <w:pStyle w:val="Default"/>
              <w:spacing w:line="360" w:lineRule="auto"/>
              <w:ind w:firstLine="420" w:firstLineChars="200"/>
              <w:jc w:val="left"/>
              <w:rPr>
                <w:rFonts w:ascii="Times New Roman" w:hAnsi="Times New Roman" w:cs="Times New Roman" w:hint="default"/>
                <w:b/>
                <w:bCs/>
                <w:color w:themeColor="text1"/>
                <w:kern w:val="2"/>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特征污染物因子现状质量状况为了解项目特征污染物因子环境质量状况，本项目委托海南省海宏环境科技研究院有限公司于12月10号至12日进行监测，监测因子为氨气</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硫化氢</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氯气</w:t>
            </w: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等因子，监测结果及评价如下：</w:t>
            </w:r>
          </w:p>
          <w:p>
            <w:pPr>
              <w:pStyle w:val="11"/>
              <w:rPr>
                <w:rFonts w:ascii="Times New Roman" w:hAnsi="Times New Roman" w:cs="Times New Roman" w:hint="default"/>
                <w:color w:val="000000" w:themeColor="text1"/>
                <w:szCs w:val="21"/>
                <w:highlight w:val="none"/>
                <w:lang w:val="en-US" w:eastAsia="zh-CN"/>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表3-</w:t>
            </w:r>
            <w:r>
              <w:rPr>
                <w:rFonts w:ascii="Times New Roman" w:hAnsi="Times New Roman" w:cs="Times New Roman" w:hint="default"/>
                <w:b/>
                <w:bCs/>
                <w:color w:val="000000" w:themeColor="text1"/>
                <w:kern w:val="2"/>
                <w:sz w:val="21"/>
                <w:szCs w:val="21"/>
                <w:highlight w:val="none"/>
                <w:lang w:val="en-US" w:eastAsia="zh-CN" w:bidi="ar-SA"/>
                <w14:textFill>
                  <w14:solidFill>
                    <w14:schemeClr w14:val="tx1"/>
                  </w14:solidFill>
                </w14:textFill>
              </w:rPr>
              <w:t>2</w:t>
            </w: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 xml:space="preserve"> </w:t>
            </w:r>
            <w:r>
              <w:rPr>
                <w:rFonts w:ascii="Times New Roman" w:hAnsi="Times New Roman" w:cs="Times New Roman" w:hint="default"/>
                <w:b/>
                <w:color w:val="000000" w:themeColor="text1"/>
                <w:kern w:val="2"/>
                <w:sz w:val="21"/>
                <w:szCs w:val="21"/>
                <w:highlight w:val="none"/>
                <w:lang w:val="en-US" w:eastAsia="zh-CN" w:bidi="ar-SA"/>
                <w14:textFill>
                  <w14:solidFill>
                    <w14:schemeClr w14:val="tx1"/>
                  </w14:solidFill>
                </w14:textFill>
              </w:rPr>
              <w:t>特征因子监测结果及评价</w:t>
            </w:r>
          </w:p>
          <w:tbl>
            <w:tblPr>
              <w:tblStyle w:val="TableGrid8"/>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42"/>
              <w:gridCol w:w="1752"/>
              <w:gridCol w:w="2174"/>
              <w:gridCol w:w="1191"/>
              <w:gridCol w:w="1191"/>
              <w:gridCol w:w="1195"/>
            </w:tblGrid>
            <w:tr>
              <w:tblPrEx>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center"/>
              </w:trPr>
              <w:tc>
                <w:tcPr>
                  <w:tcW w:w="184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监测点位</w:t>
                  </w:r>
                </w:p>
              </w:tc>
              <w:tc>
                <w:tcPr>
                  <w:tcW w:w="175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监测时间</w:t>
                  </w:r>
                </w:p>
              </w:tc>
              <w:tc>
                <w:tcPr>
                  <w:tcW w:w="217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监测频次</w:t>
                  </w:r>
                </w:p>
              </w:tc>
              <w:tc>
                <w:tcPr>
                  <w:tcW w:w="357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 xml:space="preserve">   监测结果（单位：mg/m</w:t>
                  </w:r>
                  <w:r>
                    <w:rPr>
                      <w:rFonts w:ascii="Times New Roman" w:eastAsia="宋体" w:hAnsi="Times New Roman" w:cs="Times New Roman" w:hint="default"/>
                      <w:b/>
                      <w:bCs/>
                      <w:color w:val="000000" w:themeColor="text1"/>
                      <w:sz w:val="21"/>
                      <w:szCs w:val="21"/>
                      <w:highlight w:val="none"/>
                      <w:vertAlign w:val="superscript"/>
                      <w:lang w:val="en-US" w:eastAsia="zh-CN"/>
                      <w14:textFill>
                        <w14:solidFill>
                          <w14:schemeClr w14:val="tx1"/>
                        </w14:solidFill>
                      </w14:textFill>
                    </w:rPr>
                    <w:t>3</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w:t>
                  </w:r>
                </w:p>
              </w:tc>
            </w:tr>
            <w:tr>
              <w:tblPrEx>
                <w:tblW w:w="9345" w:type="dxa"/>
                <w:jc w:val="center"/>
                <w:tblLayout w:type="fixed"/>
                <w:tblCellMar>
                  <w:top w:w="0" w:type="dxa"/>
                  <w:left w:w="108" w:type="dxa"/>
                  <w:bottom w:w="0" w:type="dxa"/>
                  <w:right w:w="108" w:type="dxa"/>
                </w:tblCellMar>
              </w:tblPrEx>
              <w:trPr>
                <w:trHeight w:val="397"/>
                <w:jc w:val="center"/>
              </w:trPr>
              <w:tc>
                <w:tcPr>
                  <w:tcW w:w="1842" w:type="dxa"/>
                  <w:vMerg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p>
              </w:tc>
              <w:tc>
                <w:tcPr>
                  <w:tcW w:w="1752" w:type="dxa"/>
                  <w:vMerg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p>
              </w:tc>
              <w:tc>
                <w:tcPr>
                  <w:tcW w:w="2174" w:type="dxa"/>
                  <w:vMerg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p>
              </w:tc>
              <w:tc>
                <w:tcPr>
                  <w:tcW w:w="119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硫化氢</w:t>
                  </w:r>
                </w:p>
              </w:tc>
              <w:tc>
                <w:tcPr>
                  <w:tcW w:w="119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氨气</w:t>
                  </w:r>
                </w:p>
              </w:tc>
              <w:tc>
                <w:tcPr>
                  <w:tcW w:w="119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氯气</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val="restart"/>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项目下风向</w:t>
                  </w:r>
                </w:p>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G1</w:t>
                  </w:r>
                </w:p>
              </w:tc>
              <w:tc>
                <w:tcPr>
                  <w:tcW w:w="1752" w:type="dxa"/>
                  <w:vMerge w:val="restart"/>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2021年12月10日</w:t>
                  </w: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第1次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0.07</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第2次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第3次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bl>
          <w:p/>
        </w:tc>
      </w:tr>
    </w:tbl>
    <w:p>
      <w:pPr>
        <w:sectPr>
          <w:footerReference w:type="default" r:id="rId27"/>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8"/>
          <w:cols w:num="1" w:space="425"/>
          <w:titlePg w:val="0"/>
          <w:docGrid w:type="lines" w:linePitch="312" w:charSpace="0"/>
        </w:sectPr>
      </w:pP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501"/>
        </w:trPr>
        <w:tc>
          <w:tcPr>
            <w:tcW w:w="436"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732" w:type="dxa"/>
            <w:tcBorders>
              <w:top w:val="single" w:sz="6" w:space="0" w:color="auto"/>
              <w:left w:val="nil"/>
              <w:bottom w:val="single" w:sz="4" w:space="0" w:color="auto"/>
              <w:right w:val="single" w:sz="6" w:space="0" w:color="auto"/>
            </w:tcBorders>
            <w:shd w:val="clear" w:color="auto" w:fill="auto"/>
            <w:tcMar>
              <w:left w:w="105" w:type="dxa"/>
              <w:right w:w="105" w:type="dxa"/>
            </w:tcMar>
            <w:vAlign w:val="center"/>
          </w:tcPr>
          <w:tbl>
            <w:tblPr>
              <w:tblStyle w:val="TableGrid9"/>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42"/>
              <w:gridCol w:w="1752"/>
              <w:gridCol w:w="2174"/>
              <w:gridCol w:w="1191"/>
              <w:gridCol w:w="1191"/>
              <w:gridCol w:w="1195"/>
            </w:tblGrid>
            <w:tr>
              <w:tblPrEx>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9"/>
                <w:jc w:val="center"/>
              </w:trPr>
              <w:tc>
                <w:tcPr>
                  <w:tcW w:w="1842" w:type="dxa"/>
                  <w:vMerge w:val="restart"/>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val="restart"/>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第4次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val="restart"/>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2021年12月11日</w:t>
                  </w: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第1次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0.07</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第2次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第3次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第4次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val="restart"/>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2021年12月12日</w:t>
                  </w: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第1次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第2次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第3次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184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1752" w:type="dxa"/>
                  <w:vMerge/>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p>
              </w:tc>
              <w:tc>
                <w:tcPr>
                  <w:tcW w:w="2174"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第4次</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0.025L</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0.08</w:t>
                  </w:r>
                </w:p>
              </w:tc>
            </w:tr>
            <w:tr>
              <w:tblPrEx>
                <w:tblW w:w="9345" w:type="dxa"/>
                <w:jc w:val="center"/>
                <w:tblLayout w:type="fixed"/>
                <w:tblCellMar>
                  <w:top w:w="0" w:type="dxa"/>
                  <w:left w:w="108" w:type="dxa"/>
                  <w:bottom w:w="0" w:type="dxa"/>
                  <w:right w:w="108" w:type="dxa"/>
                </w:tblCellMar>
              </w:tblPrEx>
              <w:trPr>
                <w:trHeight w:val="369"/>
                <w:jc w:val="center"/>
              </w:trPr>
              <w:tc>
                <w:tcPr>
                  <w:tcW w:w="5768" w:type="dxa"/>
                  <w:gridSpan w:val="3"/>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标准</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0.01</w:t>
                  </w:r>
                </w:p>
              </w:tc>
              <w:tc>
                <w:tcPr>
                  <w:tcW w:w="1191"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0.2</w:t>
                  </w:r>
                </w:p>
              </w:tc>
              <w:tc>
                <w:tcPr>
                  <w:tcW w:w="1195" w:type="dxa"/>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0.1</w:t>
                  </w:r>
                </w:p>
              </w:tc>
            </w:tr>
            <w:tr>
              <w:tblPrEx>
                <w:tblW w:w="9345" w:type="dxa"/>
                <w:jc w:val="center"/>
                <w:tblLayout w:type="fixed"/>
                <w:tblCellMar>
                  <w:top w:w="0" w:type="dxa"/>
                  <w:left w:w="108" w:type="dxa"/>
                  <w:bottom w:w="0" w:type="dxa"/>
                  <w:right w:w="108" w:type="dxa"/>
                </w:tblCellMar>
              </w:tblPrEx>
              <w:trPr>
                <w:trHeight w:val="369"/>
                <w:jc w:val="center"/>
              </w:trPr>
              <w:tc>
                <w:tcPr>
                  <w:tcW w:w="5768" w:type="dxa"/>
                  <w:gridSpan w:val="3"/>
                  <w:noWrap w:val="0"/>
                  <w:vAlign w:val="center"/>
                </w:tcPr>
                <w:p>
                  <w:pPr>
                    <w:pStyle w:val="Default"/>
                    <w:keepNext w:val="0"/>
                    <w:keepLines w:val="0"/>
                    <w:pageBreakBefore w:val="0"/>
                    <w:widowControl w:val="0"/>
                    <w:kinsoku/>
                    <w:wordWrap/>
                    <w:overflowPunct/>
                    <w:topLinePunct w:val="0"/>
                    <w:bidi w:val="0"/>
                    <w:snapToGrid/>
                    <w:spacing w:line="320" w:lineRule="exact"/>
                    <w:jc w:val="center"/>
                    <w:textAlignment w:val="auto"/>
                    <w:rPr>
                      <w:rFonts w:ascii="Times New Roman" w:hAnsi="Times New Roman" w:cs="Times New Roman" w:hint="default"/>
                      <w:b w:val="0"/>
                      <w:bCs w:val="0"/>
                      <w:color w:themeColor="text1"/>
                      <w:kern w:val="2"/>
                      <w:sz w:val="2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达标情况</w:t>
                  </w:r>
                </w:p>
              </w:tc>
              <w:tc>
                <w:tcPr>
                  <w:tcW w:w="1191" w:type="dxa"/>
                  <w:noWrap w:val="0"/>
                  <w:vAlign w:val="center"/>
                </w:tcPr>
                <w:p>
                  <w:pPr>
                    <w:keepNext w:val="0"/>
                    <w:keepLines w:val="0"/>
                    <w:pageBreakBefore w:val="0"/>
                    <w:widowControl w:val="0"/>
                    <w:kinsoku/>
                    <w:wordWrap/>
                    <w:overflowPunct/>
                    <w:topLinePunct w:val="0"/>
                    <w:bidi w:val="0"/>
                    <w:snapToGrid/>
                    <w:spacing w:line="320" w:lineRule="exact"/>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达标</w:t>
                  </w:r>
                </w:p>
              </w:tc>
              <w:tc>
                <w:tcPr>
                  <w:tcW w:w="1191" w:type="dxa"/>
                  <w:noWrap w:val="0"/>
                  <w:vAlign w:val="center"/>
                </w:tcPr>
                <w:p>
                  <w:pPr>
                    <w:keepNext w:val="0"/>
                    <w:keepLines w:val="0"/>
                    <w:pageBreakBefore w:val="0"/>
                    <w:widowControl w:val="0"/>
                    <w:kinsoku/>
                    <w:wordWrap/>
                    <w:overflowPunct/>
                    <w:topLinePunct w:val="0"/>
                    <w:bidi w:val="0"/>
                    <w:snapToGrid/>
                    <w:spacing w:line="320" w:lineRule="exact"/>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达标</w:t>
                  </w:r>
                </w:p>
              </w:tc>
              <w:tc>
                <w:tcPr>
                  <w:tcW w:w="1195" w:type="dxa"/>
                  <w:noWrap w:val="0"/>
                  <w:vAlign w:val="center"/>
                </w:tcPr>
                <w:p>
                  <w:pPr>
                    <w:keepNext w:val="0"/>
                    <w:keepLines w:val="0"/>
                    <w:pageBreakBefore w:val="0"/>
                    <w:widowControl w:val="0"/>
                    <w:kinsoku/>
                    <w:wordWrap/>
                    <w:overflowPunct/>
                    <w:topLinePunct w:val="0"/>
                    <w:bidi w:val="0"/>
                    <w:snapToGrid/>
                    <w:spacing w:line="320" w:lineRule="exact"/>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达标</w:t>
                  </w:r>
                </w:p>
              </w:tc>
            </w:tr>
          </w:tbl>
          <w:p>
            <w:pPr>
              <w:pStyle w:val="11"/>
              <w:spacing w:line="360" w:lineRule="auto"/>
              <w:ind w:firstLine="420" w:firstLineChars="200"/>
              <w:jc w:val="left"/>
              <w:rPr>
                <w:rFonts w:ascii="Times New Roman" w:hAnsi="Times New Roman" w:cs="Times New Roman" w:hint="default"/>
                <w:b w:val="0"/>
                <w:bCs w:val="0"/>
                <w:color w:val="000000" w:themeColor="text1"/>
                <w:szCs w:val="21"/>
                <w:highlight w:val="none"/>
                <w:lang w:val="en-US" w:eastAsia="zh-CN"/>
                <w14:textFill>
                  <w14:solidFill>
                    <w14:schemeClr w14:val="tx1"/>
                  </w14:solidFill>
                </w14:textFill>
              </w:rPr>
            </w:pP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根据监测结果可知，项目特征因子均满足《环境影响评价技术导则-大气环境》 HJ 2.2-2018 附录D中的标准限值。说明项目区域环境质量状况良好。</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360" w:lineRule="auto"/>
              <w:ind w:left="0" w:right="0" w:firstLine="420" w:leftChars="0" w:rightChars="0" w:firstLineChars="200"/>
              <w:jc w:val="left"/>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val="en-US" w:eastAsia="zh-CN" w:bidi="ar-SA"/>
                <w14:textFill>
                  <w14:solidFill>
                    <w14:schemeClr w14:val="tx1"/>
                  </w14:solidFill>
                </w14:textFill>
              </w:rPr>
              <w:t>声环境质量现状</w:t>
            </w:r>
          </w:p>
          <w:p>
            <w:pPr>
              <w:spacing w:line="360" w:lineRule="auto"/>
              <w:ind w:firstLine="420" w:firstLineChars="200"/>
              <w:rPr>
                <w:rFonts w:ascii="Times New Roman" w:eastAsia="宋体" w:hAnsi="Times New Roman" w:cs="Times New Roman" w:hint="default"/>
                <w:color w:val="000000" w:themeColor="text1"/>
                <w:szCs w:val="21"/>
                <w:highlight w:val="none"/>
                <w:lang w:bidi="ar"/>
                <w14:textFill>
                  <w14:solidFill>
                    <w14:schemeClr w14:val="tx1"/>
                  </w14:solidFill>
                </w14:textFill>
              </w:rPr>
            </w:pPr>
            <w:r>
              <w:rPr>
                <w:rFonts w:ascii="Times New Roman" w:eastAsia="宋体" w:hAnsi="Times New Roman" w:cs="Times New Roman" w:hint="default"/>
                <w:color w:val="000000" w:themeColor="text1"/>
                <w:kern w:val="2"/>
                <w:sz w:val="21"/>
                <w:szCs w:val="21"/>
                <w:highlight w:val="none"/>
                <w:lang w:val="en-US" w:eastAsia="zh-CN" w:bidi="ar"/>
                <w14:textFill>
                  <w14:solidFill>
                    <w14:schemeClr w14:val="tx1"/>
                  </w14:solidFill>
                </w14:textFill>
              </w:rPr>
              <w:t>为了解项目区域声环境质量状况，本项目委托海南省海宏环境科技研究院有限公司于12月10日至11日对本项目50m范围内的敏感点进行监测，监测结果如下：</w:t>
            </w:r>
          </w:p>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表3-</w:t>
            </w:r>
            <w:r>
              <w:rPr>
                <w:rFonts w:ascii="Times New Roman" w:hAnsi="Times New Roman" w:cs="Times New Roman" w:hint="default"/>
                <w:b/>
                <w:bCs/>
                <w:color w:val="000000" w:themeColor="text1"/>
                <w:kern w:val="2"/>
                <w:sz w:val="21"/>
                <w:szCs w:val="21"/>
                <w:highlight w:val="none"/>
                <w:lang w:val="en-US" w:eastAsia="zh-CN" w:bidi="ar-SA"/>
                <w14:textFill>
                  <w14:solidFill>
                    <w14:schemeClr w14:val="tx1"/>
                  </w14:solidFill>
                </w14:textFill>
              </w:rPr>
              <w:t>3</w:t>
            </w: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 xml:space="preserve"> </w:t>
            </w:r>
            <w:r>
              <w:rPr>
                <w:rFonts w:ascii="Times New Roman" w:hAnsi="Times New Roman" w:cs="Times New Roman" w:hint="default"/>
                <w:b/>
                <w:color w:val="000000" w:themeColor="text1"/>
                <w:kern w:val="2"/>
                <w:sz w:val="21"/>
                <w:szCs w:val="21"/>
                <w:highlight w:val="none"/>
                <w:lang w:val="en-US" w:eastAsia="zh-CN" w:bidi="ar-SA"/>
                <w14:textFill>
                  <w14:solidFill>
                    <w14:schemeClr w14:val="tx1"/>
                  </w14:solidFill>
                </w14:textFill>
              </w:rPr>
              <w:t>特征因子监测结果及评价</w:t>
            </w:r>
          </w:p>
          <w:tbl>
            <w:tblPr>
              <w:tblStyle w:val="TableNormal"/>
              <w:tblW w:w="95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516"/>
              <w:gridCol w:w="1161"/>
              <w:gridCol w:w="1159"/>
              <w:gridCol w:w="862"/>
              <w:gridCol w:w="1161"/>
              <w:gridCol w:w="1161"/>
              <w:gridCol w:w="827"/>
              <w:gridCol w:w="827"/>
              <w:gridCol w:w="827"/>
            </w:tblGrid>
            <w:tr>
              <w:tblPrEx>
                <w:tblW w:w="95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397"/>
                <w:jc w:val="center"/>
              </w:trPr>
              <w:tc>
                <w:tcPr>
                  <w:tcW w:w="1516" w:type="dxa"/>
                  <w:vMerge w:val="restart"/>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测点位置</w:t>
                  </w:r>
                </w:p>
              </w:tc>
              <w:tc>
                <w:tcPr>
                  <w:tcW w:w="2320" w:type="dxa"/>
                  <w:gridSpan w:val="2"/>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昼间监测结</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dB(A)</w:t>
                  </w:r>
                </w:p>
              </w:tc>
              <w:tc>
                <w:tcPr>
                  <w:tcW w:w="862" w:type="dxa"/>
                  <w:vMerge w:val="restart"/>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主要声源</w:t>
                  </w:r>
                </w:p>
              </w:tc>
              <w:tc>
                <w:tcPr>
                  <w:tcW w:w="2322" w:type="dxa"/>
                  <w:gridSpan w:val="2"/>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夜间监测结</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dB(A)</w:t>
                  </w:r>
                </w:p>
              </w:tc>
              <w:tc>
                <w:tcPr>
                  <w:tcW w:w="827" w:type="dxa"/>
                  <w:vMerge w:val="restart"/>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主要声源</w:t>
                  </w:r>
                </w:p>
              </w:tc>
              <w:tc>
                <w:tcPr>
                  <w:tcW w:w="827" w:type="dxa"/>
                  <w:vMerge w:val="restart"/>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标准</w:t>
                  </w:r>
                </w:p>
              </w:tc>
              <w:tc>
                <w:tcPr>
                  <w:tcW w:w="827" w:type="dxa"/>
                  <w:vMerge w:val="restart"/>
                  <w:tcBorders>
                    <w:top w:val="single" w:sz="4" w:space="0" w:color="auto"/>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达标情况</w:t>
                  </w:r>
                </w:p>
              </w:tc>
            </w:tr>
            <w:tr>
              <w:tblPrEx>
                <w:tblW w:w="9501" w:type="dxa"/>
                <w:jc w:val="center"/>
                <w:tblLayout w:type="fixed"/>
                <w:tblCellMar>
                  <w:top w:w="0" w:type="dxa"/>
                  <w:left w:w="108" w:type="dxa"/>
                  <w:bottom w:w="0" w:type="dxa"/>
                  <w:right w:w="108" w:type="dxa"/>
                </w:tblCellMar>
              </w:tblPrEx>
              <w:trPr>
                <w:trHeight w:val="397"/>
                <w:jc w:val="center"/>
              </w:trPr>
              <w:tc>
                <w:tcPr>
                  <w:tcW w:w="1516" w:type="dxa"/>
                  <w:vMerge/>
                  <w:tcBorders>
                    <w:left w:val="single" w:sz="4" w:space="0" w:color="auto"/>
                    <w:right w:val="single" w:sz="4" w:space="0" w:color="auto"/>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p>
              </w:tc>
              <w:tc>
                <w:tcPr>
                  <w:tcW w:w="1161" w:type="dxa"/>
                  <w:tcBorders>
                    <w:top w:val="single" w:sz="4" w:space="0" w:color="auto"/>
                    <w:left w:val="single" w:sz="4" w:space="0" w:color="auto"/>
                    <w:right w:val="single" w:sz="4" w:space="0" w:color="auto"/>
                  </w:tcBorders>
                  <w:noWrap w:val="0"/>
                  <w:vAlign w:val="center"/>
                </w:tcPr>
                <w:p>
                  <w:pPr>
                    <w:pStyle w:val="p0"/>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kern w:val="2"/>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2021.12.10</w:t>
                  </w:r>
                </w:p>
              </w:tc>
              <w:tc>
                <w:tcPr>
                  <w:tcW w:w="1159" w:type="dxa"/>
                  <w:tcBorders>
                    <w:top w:val="single" w:sz="4" w:space="0" w:color="auto"/>
                    <w:left w:val="single" w:sz="4" w:space="0" w:color="auto"/>
                    <w:right w:val="single" w:sz="4" w:space="0" w:color="auto"/>
                  </w:tcBorders>
                  <w:noWrap w:val="0"/>
                  <w:vAlign w:val="center"/>
                </w:tcPr>
                <w:p>
                  <w:pPr>
                    <w:pStyle w:val="p0"/>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kern w:val="2"/>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2021.12.11</w:t>
                  </w:r>
                </w:p>
              </w:tc>
              <w:tc>
                <w:tcPr>
                  <w:tcW w:w="862" w:type="dxa"/>
                  <w:vMerge/>
                  <w:tcBorders>
                    <w:left w:val="single" w:sz="4" w:space="0" w:color="auto"/>
                    <w:right w:val="single" w:sz="4" w:space="0" w:color="auto"/>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c>
                <w:tcPr>
                  <w:tcW w:w="1161" w:type="dxa"/>
                  <w:tcBorders>
                    <w:left w:val="single" w:sz="4" w:space="0" w:color="auto"/>
                    <w:right w:val="single" w:sz="4" w:space="0" w:color="auto"/>
                  </w:tcBorders>
                  <w:noWrap w:val="0"/>
                  <w:vAlign w:val="center"/>
                </w:tcPr>
                <w:p>
                  <w:pPr>
                    <w:pStyle w:val="p0"/>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val="0"/>
                      <w:bCs w:val="0"/>
                      <w:color w:val="000000" w:themeColor="text1"/>
                      <w:kern w:val="2"/>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2021.12.10</w:t>
                  </w:r>
                </w:p>
              </w:tc>
              <w:tc>
                <w:tcPr>
                  <w:tcW w:w="1161" w:type="dxa"/>
                  <w:tcBorders>
                    <w:left w:val="single" w:sz="4" w:space="0" w:color="auto"/>
                    <w:right w:val="single" w:sz="4" w:space="0" w:color="auto"/>
                  </w:tcBorders>
                  <w:noWrap w:val="0"/>
                  <w:vAlign w:val="center"/>
                </w:tcPr>
                <w:p>
                  <w:pPr>
                    <w:pStyle w:val="p0"/>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eastAsia="宋体" w:hAnsi="Times New Roman" w:cs="Times New Roman" w:hint="default"/>
                      <w:b w:val="0"/>
                      <w:bCs w:val="0"/>
                      <w:color w:val="000000" w:themeColor="text1"/>
                      <w:kern w:val="2"/>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2021.12.11</w:t>
                  </w:r>
                </w:p>
              </w:tc>
              <w:tc>
                <w:tcPr>
                  <w:tcW w:w="827" w:type="dxa"/>
                  <w:vMerge/>
                  <w:tcBorders>
                    <w:left w:val="single" w:sz="4" w:space="0" w:color="auto"/>
                    <w:right w:val="single" w:sz="4" w:space="0" w:color="auto"/>
                  </w:tcBorders>
                  <w:noWrap w:val="0"/>
                  <w:vAlign w:val="center"/>
                </w:tcPr>
                <w:p>
                  <w:pPr>
                    <w:widowControl/>
                    <w:snapToGrid w:val="0"/>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c>
                <w:tcPr>
                  <w:tcW w:w="827" w:type="dxa"/>
                  <w:vMerge/>
                  <w:tcBorders>
                    <w:left w:val="single" w:sz="4" w:space="0" w:color="auto"/>
                    <w:right w:val="single" w:sz="4" w:space="0" w:color="auto"/>
                  </w:tcBorders>
                  <w:noWrap w:val="0"/>
                  <w:vAlign w:val="center"/>
                </w:tcPr>
                <w:p>
                  <w:pPr>
                    <w:widowControl/>
                    <w:snapToGrid w:val="0"/>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c>
                <w:tcPr>
                  <w:tcW w:w="827" w:type="dxa"/>
                  <w:vMerge/>
                  <w:tcBorders>
                    <w:left w:val="single" w:sz="4" w:space="0" w:color="auto"/>
                    <w:right w:val="single" w:sz="4" w:space="0" w:color="auto"/>
                  </w:tcBorders>
                  <w:noWrap w:val="0"/>
                  <w:vAlign w:val="center"/>
                </w:tcPr>
                <w:p>
                  <w:pPr>
                    <w:widowControl/>
                    <w:snapToGrid w:val="0"/>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r>
            <w:tr>
              <w:tblPrEx>
                <w:tblW w:w="9501" w:type="dxa"/>
                <w:jc w:val="center"/>
                <w:tblLayout w:type="fixed"/>
                <w:tblCellMar>
                  <w:top w:w="0" w:type="dxa"/>
                  <w:left w:w="108" w:type="dxa"/>
                  <w:bottom w:w="0" w:type="dxa"/>
                  <w:right w:w="108" w:type="dxa"/>
                </w:tblCellMar>
              </w:tblPrEx>
              <w:trPr>
                <w:trHeight w:val="575"/>
                <w:jc w:val="center"/>
              </w:trPr>
              <w:tc>
                <w:tcPr>
                  <w:tcW w:w="1516"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三亚市河东派出所N1</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62</w:t>
                  </w:r>
                </w:p>
              </w:tc>
              <w:tc>
                <w:tcPr>
                  <w:tcW w:w="1159"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64</w:t>
                  </w:r>
                </w:p>
              </w:tc>
              <w:tc>
                <w:tcPr>
                  <w:tcW w:w="862"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交通噪声</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52</w:t>
                  </w:r>
                </w:p>
              </w:tc>
              <w:tc>
                <w:tcPr>
                  <w:tcW w:w="1161"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53</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交通噪声</w:t>
                  </w:r>
                </w:p>
              </w:tc>
              <w:tc>
                <w:tcPr>
                  <w:tcW w:w="827" w:type="dxa"/>
                  <w:vMerge w:val="restart"/>
                  <w:tcBorders>
                    <w:left w:val="single" w:sz="4" w:space="0" w:color="auto"/>
                  </w:tcBorders>
                  <w:noWrap w:val="0"/>
                  <w:vAlign w:val="center"/>
                </w:tcPr>
                <w:p>
                  <w:pPr>
                    <w:pStyle w:val="Default"/>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2类：</w:t>
                  </w:r>
                </w:p>
                <w:p>
                  <w:pPr>
                    <w:pStyle w:val="11"/>
                    <w:rPr>
                      <w:rFonts w:ascii="Times New Roman" w:hAnsi="Times New Roman" w:cs="Times New Roman" w:hint="default"/>
                      <w:b w:val="0"/>
                      <w:bCs w:val="0"/>
                      <w:color w:val="000000" w:themeColor="text1"/>
                      <w:kern w:val="2"/>
                      <w:szCs w:val="21"/>
                      <w:highlight w:val="none"/>
                      <w:lang w:val="en-US" w:eastAsia="zh-CN" w:bidi="ar-SA"/>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昼：60</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夜：50</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eastAsia"/>
                      <w:b/>
                      <w:bCs/>
                      <w:color w:val="000000" w:themeColor="text1"/>
                      <w:kern w:val="2"/>
                      <w:sz w:val="21"/>
                      <w:szCs w:val="21"/>
                      <w:highlight w:val="none"/>
                      <w:lang w:val="en-US" w:eastAsia="zh-CN" w:bidi="ar-SA"/>
                      <w14:textFill>
                        <w14:solidFill>
                          <w14:schemeClr w14:val="tx1"/>
                        </w14:solidFill>
                      </w14:textFill>
                    </w:rPr>
                    <w:t>超标</w:t>
                  </w:r>
                </w:p>
              </w:tc>
            </w:tr>
            <w:tr>
              <w:tblPrEx>
                <w:tblW w:w="9501" w:type="dxa"/>
                <w:jc w:val="center"/>
                <w:tblLayout w:type="fixed"/>
                <w:tblCellMar>
                  <w:top w:w="0" w:type="dxa"/>
                  <w:left w:w="108" w:type="dxa"/>
                  <w:bottom w:w="0" w:type="dxa"/>
                  <w:right w:w="108" w:type="dxa"/>
                </w:tblCellMar>
              </w:tblPrEx>
              <w:trPr>
                <w:trHeight w:val="340"/>
                <w:jc w:val="center"/>
              </w:trPr>
              <w:tc>
                <w:tcPr>
                  <w:tcW w:w="1516"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颐康旅租</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N2</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64</w:t>
                  </w:r>
                </w:p>
              </w:tc>
              <w:tc>
                <w:tcPr>
                  <w:tcW w:w="1159"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65</w:t>
                  </w:r>
                </w:p>
              </w:tc>
              <w:tc>
                <w:tcPr>
                  <w:tcW w:w="862"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交通噪声</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53</w:t>
                  </w:r>
                </w:p>
              </w:tc>
              <w:tc>
                <w:tcPr>
                  <w:tcW w:w="1161"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52</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交通噪声</w:t>
                  </w:r>
                </w:p>
              </w:tc>
              <w:tc>
                <w:tcPr>
                  <w:tcW w:w="827" w:type="dxa"/>
                  <w:vMerge/>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eastAsia"/>
                      <w:b/>
                      <w:bCs/>
                      <w:color w:val="000000" w:themeColor="text1"/>
                      <w:kern w:val="2"/>
                      <w:sz w:val="21"/>
                      <w:szCs w:val="21"/>
                      <w:highlight w:val="none"/>
                      <w:lang w:val="en-US" w:eastAsia="zh-CN" w:bidi="ar-SA"/>
                      <w14:textFill>
                        <w14:solidFill>
                          <w14:schemeClr w14:val="tx1"/>
                        </w14:solidFill>
                      </w14:textFill>
                    </w:rPr>
                    <w:t>超标</w:t>
                  </w:r>
                </w:p>
              </w:tc>
            </w:tr>
            <w:tr>
              <w:tblPrEx>
                <w:tblW w:w="9501" w:type="dxa"/>
                <w:jc w:val="center"/>
                <w:tblLayout w:type="fixed"/>
                <w:tblCellMar>
                  <w:top w:w="0" w:type="dxa"/>
                  <w:left w:w="108" w:type="dxa"/>
                  <w:bottom w:w="0" w:type="dxa"/>
                  <w:right w:w="108" w:type="dxa"/>
                </w:tblCellMar>
              </w:tblPrEx>
              <w:trPr>
                <w:trHeight w:val="540"/>
                <w:jc w:val="center"/>
              </w:trPr>
              <w:tc>
                <w:tcPr>
                  <w:tcW w:w="1516"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三亚市自然资源与规划局N3</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64</w:t>
                  </w:r>
                </w:p>
              </w:tc>
              <w:tc>
                <w:tcPr>
                  <w:tcW w:w="1159"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64</w:t>
                  </w:r>
                </w:p>
              </w:tc>
              <w:tc>
                <w:tcPr>
                  <w:tcW w:w="862"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交通噪声</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54</w:t>
                  </w:r>
                </w:p>
              </w:tc>
              <w:tc>
                <w:tcPr>
                  <w:tcW w:w="1161"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52</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交通噪声</w:t>
                  </w:r>
                </w:p>
              </w:tc>
              <w:tc>
                <w:tcPr>
                  <w:tcW w:w="827" w:type="dxa"/>
                  <w:vMerge/>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eastAsia"/>
                      <w:b/>
                      <w:bCs/>
                      <w:color w:val="000000" w:themeColor="text1"/>
                      <w:kern w:val="2"/>
                      <w:sz w:val="21"/>
                      <w:szCs w:val="21"/>
                      <w:highlight w:val="none"/>
                      <w:lang w:val="en-US" w:eastAsia="zh-CN" w:bidi="ar-SA"/>
                      <w14:textFill>
                        <w14:solidFill>
                          <w14:schemeClr w14:val="tx1"/>
                        </w14:solidFill>
                      </w14:textFill>
                    </w:rPr>
                    <w:t>超标</w:t>
                  </w:r>
                </w:p>
              </w:tc>
            </w:tr>
            <w:tr>
              <w:tblPrEx>
                <w:tblW w:w="9501" w:type="dxa"/>
                <w:jc w:val="center"/>
                <w:tblLayout w:type="fixed"/>
                <w:tblCellMar>
                  <w:top w:w="0" w:type="dxa"/>
                  <w:left w:w="108" w:type="dxa"/>
                  <w:bottom w:w="0" w:type="dxa"/>
                  <w:right w:w="108" w:type="dxa"/>
                </w:tblCellMar>
              </w:tblPrEx>
              <w:trPr>
                <w:trHeight w:val="286"/>
                <w:jc w:val="center"/>
              </w:trPr>
              <w:tc>
                <w:tcPr>
                  <w:tcW w:w="1516"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发改委宿舍区</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N4</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57</w:t>
                  </w:r>
                </w:p>
              </w:tc>
              <w:tc>
                <w:tcPr>
                  <w:tcW w:w="1159"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56</w:t>
                  </w:r>
                </w:p>
              </w:tc>
              <w:tc>
                <w:tcPr>
                  <w:tcW w:w="862"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社会噪声</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48</w:t>
                  </w:r>
                </w:p>
              </w:tc>
              <w:tc>
                <w:tcPr>
                  <w:tcW w:w="1161"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47</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社会噪声</w:t>
                  </w:r>
                </w:p>
              </w:tc>
              <w:tc>
                <w:tcPr>
                  <w:tcW w:w="827" w:type="dxa"/>
                  <w:vMerge/>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达标</w:t>
                  </w:r>
                </w:p>
              </w:tc>
            </w:tr>
            <w:tr>
              <w:tblPrEx>
                <w:tblW w:w="9501" w:type="dxa"/>
                <w:jc w:val="center"/>
                <w:tblLayout w:type="fixed"/>
                <w:tblCellMar>
                  <w:top w:w="0" w:type="dxa"/>
                  <w:left w:w="108" w:type="dxa"/>
                  <w:bottom w:w="0" w:type="dxa"/>
                  <w:right w:w="108" w:type="dxa"/>
                </w:tblCellMar>
              </w:tblPrEx>
              <w:trPr>
                <w:trHeight w:val="286"/>
                <w:jc w:val="center"/>
              </w:trPr>
              <w:tc>
                <w:tcPr>
                  <w:tcW w:w="1516"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农业局宿舍区</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N5</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56</w:t>
                  </w:r>
                </w:p>
              </w:tc>
              <w:tc>
                <w:tcPr>
                  <w:tcW w:w="1159"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56</w:t>
                  </w:r>
                </w:p>
              </w:tc>
              <w:tc>
                <w:tcPr>
                  <w:tcW w:w="862"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社会噪声</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48</w:t>
                  </w:r>
                </w:p>
              </w:tc>
              <w:tc>
                <w:tcPr>
                  <w:tcW w:w="1161"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47</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社会噪声</w:t>
                  </w:r>
                </w:p>
              </w:tc>
              <w:tc>
                <w:tcPr>
                  <w:tcW w:w="827" w:type="dxa"/>
                  <w:vMerge/>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达标</w:t>
                  </w:r>
                </w:p>
              </w:tc>
            </w:tr>
            <w:tr>
              <w:tblPrEx>
                <w:tblW w:w="9501" w:type="dxa"/>
                <w:jc w:val="center"/>
                <w:tblLayout w:type="fixed"/>
                <w:tblCellMar>
                  <w:top w:w="0" w:type="dxa"/>
                  <w:left w:w="108" w:type="dxa"/>
                  <w:bottom w:w="0" w:type="dxa"/>
                  <w:right w:w="108" w:type="dxa"/>
                </w:tblCellMar>
              </w:tblPrEx>
              <w:trPr>
                <w:trHeight w:val="286"/>
                <w:jc w:val="center"/>
              </w:trPr>
              <w:tc>
                <w:tcPr>
                  <w:tcW w:w="1516"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三亚潘崖口腔诊所N6</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55</w:t>
                  </w:r>
                </w:p>
              </w:tc>
              <w:tc>
                <w:tcPr>
                  <w:tcW w:w="1159"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right="0" w:right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57</w:t>
                  </w:r>
                </w:p>
              </w:tc>
              <w:tc>
                <w:tcPr>
                  <w:tcW w:w="862"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社会噪声</w:t>
                  </w:r>
                </w:p>
              </w:tc>
              <w:tc>
                <w:tcPr>
                  <w:tcW w:w="1161" w:type="dxa"/>
                  <w:tcBorders>
                    <w:left w:val="single" w:sz="4" w:space="0" w:color="auto"/>
                    <w:righ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47</w:t>
                  </w:r>
                </w:p>
              </w:tc>
              <w:tc>
                <w:tcPr>
                  <w:tcW w:w="1161"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46</w:t>
                  </w: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lang w:val="en-US" w:eastAsia="zh-CN" w:bidi="ar-SA"/>
                      <w14:textFill>
                        <w14:solidFill>
                          <w14:schemeClr w14:val="tx1"/>
                        </w14:solidFill>
                      </w14:textFill>
                    </w:rPr>
                    <w:t>社会噪声</w:t>
                  </w:r>
                </w:p>
              </w:tc>
              <w:tc>
                <w:tcPr>
                  <w:tcW w:w="827" w:type="dxa"/>
                  <w:vMerge/>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p>
              </w:tc>
              <w:tc>
                <w:tcPr>
                  <w:tcW w:w="827" w:type="dxa"/>
                  <w:tcBorders>
                    <w:left w:val="single" w:sz="4" w:space="0" w:color="auto"/>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right="0" w:firstLine="0" w:leftChars="0" w:rightChars="0" w:firstLineChars="0"/>
                    <w:jc w:val="center"/>
                    <w:textAlignment w:val="auto"/>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达标</w:t>
                  </w:r>
                </w:p>
              </w:tc>
            </w:tr>
          </w:tbl>
          <w:p>
            <w:pPr>
              <w:spacing w:line="360" w:lineRule="auto"/>
              <w:ind w:firstLine="420" w:firstLineChars="200"/>
              <w:rPr>
                <w:rFonts w:ascii="Times New Roman" w:eastAsia="宋体" w:hAnsi="Times New Roman" w:cs="Times New Roman" w:hint="default"/>
                <w:color w:val="000000" w:themeColor="text1"/>
                <w:szCs w:val="21"/>
                <w:highlight w:val="none"/>
                <w:lang w:bidi="ar"/>
                <w14:textFill>
                  <w14:solidFill>
                    <w14:schemeClr w14:val="tx1"/>
                  </w14:solidFill>
                </w14:textFill>
              </w:rPr>
            </w:pPr>
            <w:r>
              <w:rPr>
                <w:rFonts w:ascii="Times New Roman" w:eastAsia="宋体" w:hAnsi="Times New Roman" w:cs="Times New Roman" w:hint="default"/>
                <w:color w:val="000000" w:themeColor="text1"/>
                <w:kern w:val="2"/>
                <w:sz w:val="21"/>
                <w:szCs w:val="21"/>
                <w:highlight w:val="none"/>
                <w:lang w:val="en-US" w:eastAsia="zh-CN" w:bidi="ar"/>
                <w14:textFill>
                  <w14:solidFill>
                    <w14:schemeClr w14:val="tx1"/>
                  </w14:solidFill>
                </w14:textFill>
              </w:rPr>
              <w:t>根据监测结果</w:t>
            </w:r>
            <w:r>
              <w:rPr>
                <w:rFonts w:ascii="Times New Roman" w:eastAsia="宋体" w:hAnsi="Times New Roman" w:cs="Times New Roman" w:hint="eastAsia"/>
                <w:color w:val="000000" w:themeColor="text1"/>
                <w:kern w:val="2"/>
                <w:sz w:val="21"/>
                <w:szCs w:val="21"/>
                <w:highlight w:val="none"/>
                <w:lang w:val="en-US" w:eastAsia="zh-CN" w:bidi="ar"/>
                <w14:textFill>
                  <w14:solidFill>
                    <w14:schemeClr w14:val="tx1"/>
                  </w14:solidFill>
                </w14:textFill>
              </w:rPr>
              <w:t>可知</w:t>
            </w:r>
            <w:r>
              <w:rPr>
                <w:rFonts w:ascii="Times New Roman" w:eastAsia="宋体" w:hAnsi="Times New Roman" w:cs="Times New Roman" w:hint="default"/>
                <w:color w:val="000000" w:themeColor="text1"/>
                <w:kern w:val="2"/>
                <w:sz w:val="21"/>
                <w:szCs w:val="21"/>
                <w:highlight w:val="none"/>
                <w:lang w:val="en-US" w:eastAsia="zh-CN" w:bidi="ar"/>
                <w14:textFill>
                  <w14:solidFill>
                    <w14:schemeClr w14:val="tx1"/>
                  </w14:solidFill>
                </w14:textFill>
              </w:rPr>
              <w:t>发改委宿舍区</w:t>
            </w:r>
            <w:r>
              <w:rPr>
                <w:rFonts w:ascii="Times New Roman" w:eastAsia="宋体" w:hAnsi="Times New Roman" w:cs="Times New Roman" w:hint="eastAsia"/>
                <w:color w:val="000000" w:themeColor="text1"/>
                <w:kern w:val="2"/>
                <w:sz w:val="21"/>
                <w:szCs w:val="21"/>
                <w:highlight w:val="none"/>
                <w:lang w:val="en-US" w:eastAsia="zh-CN" w:bidi="ar"/>
                <w14:textFill>
                  <w14:solidFill>
                    <w14:schemeClr w14:val="tx1"/>
                  </w14:solidFill>
                </w14:textFill>
              </w:rPr>
              <w:t>、</w:t>
            </w:r>
            <w:r>
              <w:rPr>
                <w:rFonts w:ascii="Times New Roman" w:eastAsia="宋体" w:hAnsi="Times New Roman" w:cs="Times New Roman" w:hint="default"/>
                <w:color w:val="000000" w:themeColor="text1"/>
                <w:kern w:val="2"/>
                <w:sz w:val="21"/>
                <w:szCs w:val="21"/>
                <w:highlight w:val="none"/>
                <w:lang w:val="en-US" w:eastAsia="zh-CN" w:bidi="ar"/>
                <w14:textFill>
                  <w14:solidFill>
                    <w14:schemeClr w14:val="tx1"/>
                  </w14:solidFill>
                </w14:textFill>
              </w:rPr>
              <w:t>农业局宿舍区</w:t>
            </w:r>
            <w:r>
              <w:rPr>
                <w:rFonts w:ascii="Times New Roman" w:eastAsia="宋体" w:hAnsi="Times New Roman" w:cs="Times New Roman" w:hint="eastAsia"/>
                <w:color w:val="000000" w:themeColor="text1"/>
                <w:kern w:val="2"/>
                <w:sz w:val="21"/>
                <w:szCs w:val="21"/>
                <w:highlight w:val="none"/>
                <w:lang w:val="en-US" w:eastAsia="zh-CN" w:bidi="ar"/>
                <w14:textFill>
                  <w14:solidFill>
                    <w14:schemeClr w14:val="tx1"/>
                  </w14:solidFill>
                </w14:textFill>
              </w:rPr>
              <w:t>和</w:t>
            </w:r>
            <w:r>
              <w:rPr>
                <w:rFonts w:ascii="Times New Roman" w:eastAsia="宋体" w:hAnsi="Times New Roman" w:cs="Times New Roman" w:hint="default"/>
                <w:color w:val="000000" w:themeColor="text1"/>
                <w:kern w:val="2"/>
                <w:sz w:val="21"/>
                <w:szCs w:val="21"/>
                <w:highlight w:val="none"/>
                <w:lang w:val="en-US" w:eastAsia="zh-CN" w:bidi="ar"/>
                <w14:textFill>
                  <w14:solidFill>
                    <w14:schemeClr w14:val="tx1"/>
                  </w14:solidFill>
                </w14:textFill>
              </w:rPr>
              <w:t>三亚潘崖口腔诊所</w:t>
            </w:r>
            <w:r>
              <w:rPr>
                <w:rFonts w:ascii="Times New Roman" w:eastAsia="宋体" w:hAnsi="Times New Roman" w:cs="Times New Roman" w:hint="eastAsia"/>
                <w:color w:val="000000" w:themeColor="text1"/>
                <w:kern w:val="2"/>
                <w:sz w:val="21"/>
                <w:szCs w:val="21"/>
                <w:highlight w:val="none"/>
                <w:lang w:val="en-US" w:eastAsia="zh-CN" w:bidi="ar"/>
                <w14:textFill>
                  <w14:solidFill>
                    <w14:schemeClr w14:val="tx1"/>
                  </w14:solidFill>
                </w14:textFill>
              </w:rPr>
              <w:t>昼间和夜间均满足</w:t>
            </w:r>
            <w:r>
              <w:rPr>
                <w:rFonts w:ascii="Times New Roman" w:eastAsia="宋体" w:hAnsi="Times New Roman" w:cs="Times New Roman" w:hint="default"/>
                <w:color w:val="000000" w:themeColor="text1"/>
                <w:kern w:val="2"/>
                <w:sz w:val="21"/>
                <w:szCs w:val="21"/>
                <w:highlight w:val="none"/>
                <w:lang w:val="en-US" w:eastAsia="zh-CN" w:bidi="ar"/>
                <w14:textFill>
                  <w14:solidFill>
                    <w14:schemeClr w14:val="tx1"/>
                  </w14:solidFill>
                </w14:textFill>
              </w:rPr>
              <w:t>《声环境质量标准》（GB3096-2008）中2类标准</w:t>
            </w:r>
            <w:r>
              <w:rPr>
                <w:rFonts w:ascii="Times New Roman" w:eastAsia="宋体" w:hAnsi="Times New Roman" w:cs="Times New Roman" w:hint="eastAsia"/>
                <w:color w:val="000000" w:themeColor="text1"/>
                <w:kern w:val="2"/>
                <w:sz w:val="21"/>
                <w:szCs w:val="21"/>
                <w:highlight w:val="none"/>
                <w:lang w:val="en-US" w:eastAsia="zh-CN" w:bidi="ar"/>
                <w14:textFill>
                  <w14:solidFill>
                    <w14:schemeClr w14:val="tx1"/>
                  </w14:solidFill>
                </w14:textFill>
              </w:rPr>
              <w:t>。</w:t>
            </w:r>
            <w:r>
              <w:rPr>
                <w:rFonts w:ascii="Times New Roman" w:eastAsia="宋体" w:hAnsi="Times New Roman" w:cs="Times New Roman" w:hint="default"/>
                <w:b/>
                <w:bCs/>
                <w:color w:val="000000" w:themeColor="text1"/>
                <w:kern w:val="2"/>
                <w:sz w:val="21"/>
                <w:szCs w:val="21"/>
                <w:highlight w:val="none"/>
                <w:lang w:val="en-US" w:eastAsia="zh-CN" w:bidi="ar"/>
                <w14:textFill>
                  <w14:solidFill>
                    <w14:schemeClr w14:val="tx1"/>
                  </w14:solidFill>
                </w14:textFill>
              </w:rPr>
              <w:t>三亚市河东派出所</w:t>
            </w:r>
            <w:r>
              <w:rPr>
                <w:rFonts w:ascii="Times New Roman" w:eastAsia="宋体" w:hAnsi="Times New Roman" w:cs="Times New Roman" w:hint="eastAsia"/>
                <w:b/>
                <w:bCs/>
                <w:color w:val="000000" w:themeColor="text1"/>
                <w:kern w:val="2"/>
                <w:sz w:val="21"/>
                <w:szCs w:val="21"/>
                <w:highlight w:val="none"/>
                <w:lang w:val="en-US" w:eastAsia="zh-CN" w:bidi="ar"/>
                <w14:textFill>
                  <w14:solidFill>
                    <w14:schemeClr w14:val="tx1"/>
                  </w14:solidFill>
                </w14:textFill>
              </w:rPr>
              <w:t>、</w:t>
            </w:r>
            <w:r>
              <w:rPr>
                <w:rFonts w:ascii="Times New Roman" w:eastAsia="宋体" w:hAnsi="Times New Roman" w:cs="Times New Roman" w:hint="default"/>
                <w:b/>
                <w:bCs/>
                <w:color w:val="000000" w:themeColor="text1"/>
                <w:kern w:val="2"/>
                <w:sz w:val="21"/>
                <w:szCs w:val="21"/>
                <w:highlight w:val="none"/>
                <w:lang w:val="en-US" w:eastAsia="zh-CN" w:bidi="ar"/>
                <w14:textFill>
                  <w14:solidFill>
                    <w14:schemeClr w14:val="tx1"/>
                  </w14:solidFill>
                </w14:textFill>
              </w:rPr>
              <w:t>颐康旅租</w:t>
            </w:r>
            <w:r>
              <w:rPr>
                <w:rFonts w:ascii="Times New Roman" w:eastAsia="宋体" w:hAnsi="Times New Roman" w:cs="Times New Roman" w:hint="eastAsia"/>
                <w:b/>
                <w:bCs/>
                <w:color w:val="000000" w:themeColor="text1"/>
                <w:kern w:val="2"/>
                <w:sz w:val="21"/>
                <w:szCs w:val="21"/>
                <w:highlight w:val="none"/>
                <w:lang w:val="en-US" w:eastAsia="zh-CN" w:bidi="ar"/>
                <w14:textFill>
                  <w14:solidFill>
                    <w14:schemeClr w14:val="tx1"/>
                  </w14:solidFill>
                </w14:textFill>
              </w:rPr>
              <w:t>和</w:t>
            </w:r>
            <w:r>
              <w:rPr>
                <w:rFonts w:ascii="Times New Roman" w:eastAsia="宋体" w:hAnsi="Times New Roman" w:cs="Times New Roman" w:hint="default"/>
                <w:b/>
                <w:bCs/>
                <w:color w:val="000000" w:themeColor="text1"/>
                <w:kern w:val="2"/>
                <w:sz w:val="21"/>
                <w:szCs w:val="21"/>
                <w:highlight w:val="none"/>
                <w:lang w:val="en-US" w:eastAsia="zh-CN" w:bidi="ar"/>
                <w14:textFill>
                  <w14:solidFill>
                    <w14:schemeClr w14:val="tx1"/>
                  </w14:solidFill>
                </w14:textFill>
              </w:rPr>
              <w:t>三亚市自然资源与规划局</w:t>
            </w:r>
            <w:r>
              <w:rPr>
                <w:rFonts w:ascii="Times New Roman" w:eastAsia="宋体" w:hAnsi="Times New Roman" w:cs="Times New Roman" w:hint="eastAsia"/>
                <w:b/>
                <w:bCs/>
                <w:color w:val="000000" w:themeColor="text1"/>
                <w:kern w:val="2"/>
                <w:sz w:val="21"/>
                <w:szCs w:val="21"/>
                <w:highlight w:val="none"/>
                <w:lang w:val="en-US" w:eastAsia="zh-CN" w:bidi="ar"/>
                <w14:textFill>
                  <w14:solidFill>
                    <w14:schemeClr w14:val="tx1"/>
                  </w14:solidFill>
                </w14:textFill>
              </w:rPr>
              <w:t>昼间和夜间噪声均不满足</w:t>
            </w:r>
            <w:r>
              <w:rPr>
                <w:rFonts w:ascii="Times New Roman" w:eastAsia="宋体" w:hAnsi="Times New Roman" w:cs="Times New Roman" w:hint="default"/>
                <w:b/>
                <w:bCs/>
                <w:color w:val="000000" w:themeColor="text1"/>
                <w:kern w:val="2"/>
                <w:sz w:val="21"/>
                <w:szCs w:val="21"/>
                <w:highlight w:val="none"/>
                <w:lang w:val="en-US" w:eastAsia="zh-CN" w:bidi="ar"/>
                <w14:textFill>
                  <w14:solidFill>
                    <w14:schemeClr w14:val="tx1"/>
                  </w14:solidFill>
                </w14:textFill>
              </w:rPr>
              <w:t>2类标准</w:t>
            </w:r>
            <w:r>
              <w:rPr>
                <w:rFonts w:ascii="Times New Roman" w:eastAsia="宋体" w:hAnsi="Times New Roman" w:cs="Times New Roman" w:hint="eastAsia"/>
                <w:b/>
                <w:bCs/>
                <w:color w:val="000000" w:themeColor="text1"/>
                <w:kern w:val="2"/>
                <w:sz w:val="21"/>
                <w:szCs w:val="21"/>
                <w:highlight w:val="none"/>
                <w:lang w:val="en-US" w:eastAsia="zh-CN" w:bidi="ar"/>
                <w14:textFill>
                  <w14:solidFill>
                    <w14:schemeClr w14:val="tx1"/>
                  </w14:solidFill>
                </w14:textFill>
              </w:rPr>
              <w:t>，其超标原因主要是受到商品街十巷交通噪声影响。</w:t>
            </w:r>
          </w:p>
          <w:p>
            <w:pPr>
              <w:keepNext w:val="0"/>
              <w:keepLines w:val="0"/>
              <w:pageBreakBefore w:val="0"/>
              <w:widowControl w:val="0"/>
              <w:kinsoku/>
              <w:wordWrap/>
              <w:overflowPunct/>
              <w:topLinePunct w:val="0"/>
              <w:autoSpaceDE w:val="0"/>
              <w:autoSpaceDN w:val="0"/>
              <w:bidi w:val="0"/>
              <w:adjustRightInd w:val="0"/>
              <w:snapToGrid/>
              <w:spacing w:line="360" w:lineRule="auto"/>
              <w:ind w:right="0" w:firstLine="420" w:rightChars="0" w:firstLineChars="200"/>
              <w:textAlignment w:val="auto"/>
              <w:outlineLvl w:val="9"/>
              <w:rPr>
                <w:rFonts w:ascii="Times New Roman" w:eastAsia="宋体" w:hAnsi="Times New Roman" w:cs="Times New Roman" w:hint="eastAsia"/>
                <w:b/>
                <w:color w:val="000000" w:themeColor="text1"/>
                <w:szCs w:val="21"/>
                <w:highlight w:val="none"/>
                <w14:textFill>
                  <w14:solidFill>
                    <w14:schemeClr w14:val="tx1"/>
                  </w14:solidFill>
                </w14:textFill>
              </w:rPr>
            </w:pPr>
            <w:r>
              <w:rPr>
                <w:rFonts w:ascii="Times New Roman" w:eastAsia="宋体" w:hAnsi="Times New Roman" w:cs="Times New Roman" w:hint="eastAsia"/>
                <w:b/>
                <w:color w:val="000000" w:themeColor="text1"/>
                <w:kern w:val="2"/>
                <w:sz w:val="21"/>
                <w:szCs w:val="21"/>
                <w:highlight w:val="none"/>
                <w:lang w:val="en-US" w:eastAsia="zh-CN" w:bidi="ar-SA"/>
                <w14:textFill>
                  <w14:solidFill>
                    <w14:schemeClr w14:val="tx1"/>
                  </w14:solidFill>
                </w14:textFill>
              </w:rPr>
              <w:t>3、地表水环境</w:t>
            </w:r>
          </w:p>
        </w:tc>
      </w:tr>
    </w:tbl>
    <w:p>
      <w:pPr>
        <w:sectPr>
          <w:footerReference w:type="default" r:id="rId28"/>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19"/>
          <w:cols w:num="1" w:space="425"/>
          <w:titlePg w:val="0"/>
          <w:docGrid w:type="lines" w:linePitch="312" w:charSpace="0"/>
        </w:sectPr>
      </w:pP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501"/>
        </w:trPr>
        <w:tc>
          <w:tcPr>
            <w:tcW w:w="436" w:type="dxa"/>
            <w:tcBorders>
              <w:top w:val="single" w:sz="6"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732" w:type="dxa"/>
            <w:tcBorders>
              <w:top w:val="single" w:sz="6" w:space="0" w:color="auto"/>
              <w:left w:val="nil"/>
              <w:bottom w:val="single" w:sz="4" w:space="0" w:color="auto"/>
              <w:right w:val="single" w:sz="6" w:space="0" w:color="auto"/>
            </w:tcBorders>
            <w:shd w:val="clear" w:color="auto" w:fill="auto"/>
            <w:tcMar>
              <w:left w:w="105" w:type="dxa"/>
              <w:right w:w="105" w:type="dxa"/>
            </w:tcMar>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ind w:right="0" w:firstLine="420" w:rightChars="0" w:firstLineChars="200"/>
              <w:textAlignment w:val="auto"/>
              <w:outlineLvl w:val="9"/>
              <w:rPr>
                <w:rFonts w:ascii="Times New Roman" w:eastAsia="宋体" w:hAnsi="Times New Roman" w:cs="Times New Roman" w:hint="default"/>
                <w:b w:val="0"/>
                <w:bCs/>
                <w:color w:val="000000" w:themeColor="text1"/>
                <w:szCs w:val="21"/>
                <w:highlight w:val="none"/>
                <w14:textFill>
                  <w14:solidFill>
                    <w14:schemeClr w14:val="tx1"/>
                  </w14:solidFill>
                </w14:textFill>
              </w:rPr>
            </w:pPr>
            <w:r>
              <w:rPr>
                <w:rFonts w:ascii="Times New Roman" w:eastAsia="宋体" w:hAnsi="Times New Roman" w:cs="Times New Roman" w:hint="eastAsia"/>
                <w:b w:val="0"/>
                <w:bCs/>
                <w:color w:val="000000" w:themeColor="text1"/>
                <w:kern w:val="2"/>
                <w:sz w:val="21"/>
                <w:szCs w:val="21"/>
                <w:highlight w:val="none"/>
                <w:lang w:val="en-US" w:eastAsia="zh-CN" w:bidi="ar-SA"/>
                <w14:textFill>
                  <w14:solidFill>
                    <w14:schemeClr w14:val="tx1"/>
                  </w14:solidFill>
                </w14:textFill>
              </w:rPr>
              <w:t>根据三亚市环境监测站2021年12月27日发布的《三亚市城镇内河（湖）水环境质量月报》（2021年地8期（总第68期））， 三亚河月川桥断面水质监测结果满足《地表水环境质量标准》（GB3838-2002）中III类水质标准，符合V类水质管控要求。</w:t>
            </w:r>
          </w:p>
          <w:p>
            <w:pPr>
              <w:keepNext w:val="0"/>
              <w:keepLines w:val="0"/>
              <w:pageBreakBefore w:val="0"/>
              <w:widowControl w:val="0"/>
              <w:kinsoku/>
              <w:wordWrap/>
              <w:overflowPunct/>
              <w:topLinePunct w:val="0"/>
              <w:autoSpaceDE w:val="0"/>
              <w:autoSpaceDN w:val="0"/>
              <w:bidi w:val="0"/>
              <w:adjustRightInd w:val="0"/>
              <w:snapToGrid/>
              <w:spacing w:line="360" w:lineRule="auto"/>
              <w:ind w:right="0" w:firstLine="420" w:rightChars="0" w:firstLineChars="200"/>
              <w:textAlignment w:val="auto"/>
              <w:outlineLvl w:val="9"/>
              <w:rPr>
                <w:rFonts w:ascii="Times New Roman" w:eastAsia="宋体" w:hAnsi="Times New Roman" w:cs="Times New Roman" w:hint="default"/>
                <w:b/>
                <w:color w:val="000000" w:themeColor="text1"/>
                <w:spacing w:val="10"/>
                <w:szCs w:val="21"/>
                <w:highlight w:val="none"/>
                <w14:textFill>
                  <w14:solidFill>
                    <w14:schemeClr w14:val="tx1"/>
                  </w14:solidFill>
                </w14:textFill>
              </w:rPr>
            </w:pPr>
            <w:r>
              <w:rPr>
                <w:rFonts w:ascii="Times New Roman" w:eastAsia="宋体" w:hAnsi="Times New Roman" w:cs="Times New Roman" w:hint="eastAsia"/>
                <w:b/>
                <w:color w:val="000000" w:themeColor="text1"/>
                <w:kern w:val="2"/>
                <w:sz w:val="21"/>
                <w:szCs w:val="21"/>
                <w:highlight w:val="none"/>
                <w:lang w:val="en-US" w:eastAsia="zh-CN" w:bidi="ar-SA"/>
                <w14:textFill>
                  <w14:solidFill>
                    <w14:schemeClr w14:val="tx1"/>
                  </w14:solidFill>
                </w14:textFill>
              </w:rPr>
              <w:t>4</w:t>
            </w:r>
            <w:r>
              <w:rPr>
                <w:rFonts w:ascii="Times New Roman" w:eastAsia="宋体" w:hAnsi="Times New Roman" w:cs="Times New Roman" w:hint="default"/>
                <w:b/>
                <w:color w:val="000000" w:themeColor="text1"/>
                <w:kern w:val="2"/>
                <w:sz w:val="21"/>
                <w:szCs w:val="21"/>
                <w:highlight w:val="none"/>
                <w:lang w:val="en-US" w:eastAsia="zh-CN" w:bidi="ar-SA"/>
                <w14:textFill>
                  <w14:solidFill>
                    <w14:schemeClr w14:val="tx1"/>
                  </w14:solidFill>
                </w14:textFill>
              </w:rPr>
              <w:t>、生态环境</w:t>
            </w:r>
          </w:p>
          <w:p>
            <w:pPr>
              <w:spacing w:line="360" w:lineRule="auto"/>
              <w:ind w:firstLine="420" w:firstLineChars="200"/>
              <w:rPr>
                <w:rFonts w:ascii="Times New Roman" w:eastAsia="宋体" w:hAnsi="Times New Roman" w:cs="Times New Roman" w:hint="default"/>
                <w:i w:val="0"/>
                <w:caps w:val="0"/>
                <w:color w:val="000000" w:themeColor="text1"/>
                <w:spacing w:val="8"/>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14:textFill>
                  <w14:solidFill>
                    <w14:schemeClr w14:val="tx1"/>
                  </w14:solidFill>
                </w14:textFill>
              </w:rPr>
              <w:t>根据现场</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及</w:t>
            </w:r>
            <w:r>
              <w:rPr>
                <w:rFonts w:ascii="Times New Roman" w:hAnsi="Times New Roman" w:cs="Times New Roman" w:hint="default"/>
                <w:color w:val="000000" w:themeColor="text1"/>
                <w:sz w:val="21"/>
                <w:szCs w:val="21"/>
                <w:highlight w:val="none"/>
                <w14:textFill>
                  <w14:solidFill>
                    <w14:schemeClr w14:val="tx1"/>
                  </w14:solidFill>
                </w14:textFill>
              </w:rPr>
              <w:t>调查情况，项目</w:t>
            </w:r>
            <w:r>
              <w:rPr>
                <w:rFonts w:ascii="Times New Roman" w:hAnsi="Times New Roman" w:cs="Times New Roman" w:hint="default"/>
                <w:color w:val="000000" w:themeColor="text1"/>
                <w:sz w:val="21"/>
                <w:szCs w:val="21"/>
                <w:highlight w:val="none"/>
                <w:lang w:eastAsia="zh-CN"/>
                <w14:textFill>
                  <w14:solidFill>
                    <w14:schemeClr w14:val="tx1"/>
                  </w14:solidFill>
                </w14:textFill>
              </w:rPr>
              <w:t>租赁现有已建成楼房，</w:t>
            </w:r>
            <w:r>
              <w:rPr>
                <w:rFonts w:ascii="Times New Roman" w:hAnsi="Times New Roman" w:cs="Times New Roman" w:hint="default"/>
                <w:color w:val="000000" w:themeColor="text1"/>
                <w:sz w:val="21"/>
                <w:szCs w:val="21"/>
                <w:highlight w:val="none"/>
                <w14:textFill>
                  <w14:solidFill>
                    <w14:schemeClr w14:val="tx1"/>
                  </w14:solidFill>
                </w14:textFill>
              </w:rPr>
              <w:t>生态环境质量较为一般</w:t>
            </w:r>
            <w:r>
              <w:rPr>
                <w:rFonts w:ascii="Times New Roman" w:hAnsi="Times New Roman" w:cs="Times New Roman" w:hint="default"/>
                <w:color w:val="000000" w:themeColor="text1"/>
                <w:sz w:val="21"/>
                <w:szCs w:val="21"/>
                <w:highlight w:val="none"/>
                <w:lang w:eastAsia="zh-CN"/>
                <w14:textFill>
                  <w14:solidFill>
                    <w14:schemeClr w14:val="tx1"/>
                  </w14:solidFill>
                </w14:textFill>
              </w:rPr>
              <w:t>。</w:t>
            </w:r>
          </w:p>
        </w:tc>
      </w:tr>
      <w:tr>
        <w:tblPrEx>
          <w:tblW w:w="10168" w:type="dxa"/>
          <w:tblInd w:w="0" w:type="dxa"/>
          <w:shd w:val="clear" w:color="auto" w:fill="FFFFFF"/>
          <w:tblLayout w:type="fixed"/>
          <w:tblCellMar>
            <w:top w:w="0" w:type="dxa"/>
            <w:left w:w="0" w:type="dxa"/>
            <w:bottom w:w="0" w:type="dxa"/>
            <w:right w:w="0" w:type="dxa"/>
          </w:tblCellMar>
        </w:tblPrEx>
        <w:trPr>
          <w:trHeight w:val="1181"/>
        </w:trPr>
        <w:tc>
          <w:tcPr>
            <w:tcW w:w="436" w:type="dxa"/>
            <w:tcBorders>
              <w:top w:val="single" w:sz="4" w:space="0" w:color="auto"/>
              <w:left w:val="single" w:sz="6" w:space="0" w:color="auto"/>
              <w:bottom w:val="single" w:sz="4"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环境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保护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目标</w:t>
            </w:r>
          </w:p>
        </w:tc>
        <w:tc>
          <w:tcPr>
            <w:tcW w:w="9732" w:type="dxa"/>
            <w:tcBorders>
              <w:top w:val="single" w:sz="4" w:space="0" w:color="auto"/>
              <w:left w:val="nil"/>
              <w:bottom w:val="single" w:sz="4" w:space="0" w:color="auto"/>
              <w:right w:val="single" w:sz="6" w:space="0" w:color="auto"/>
            </w:tcBorders>
            <w:shd w:val="clear" w:color="auto" w:fill="auto"/>
            <w:tcMar>
              <w:left w:w="105" w:type="dxa"/>
              <w:right w:w="105" w:type="dxa"/>
            </w:tcMar>
            <w:vAlign w:val="center"/>
          </w:tcPr>
          <w:p>
            <w:pPr>
              <w:spacing w:line="360" w:lineRule="auto"/>
              <w:ind w:firstLine="420" w:firstLineChars="200"/>
              <w:jc w:val="left"/>
              <w:rPr>
                <w:rFonts w:ascii="Times New Roman" w:eastAsia="宋体" w:hAnsi="Times New Roman" w:cs="Times New Roman" w:hint="default"/>
                <w:b/>
                <w:bCs/>
                <w:color w:val="000000" w:themeColor="text1"/>
                <w:szCs w:val="21"/>
                <w:highlight w:val="none"/>
                <w14:textFill>
                  <w14:solidFill>
                    <w14:schemeClr w14:val="tx1"/>
                  </w14:solidFill>
                </w14:textFill>
              </w:rPr>
            </w:pPr>
            <w:bookmarkStart w:id="2" w:name="OLE_LINK48"/>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1、50m范围内声环境保护目标</w:t>
            </w:r>
          </w:p>
          <w:p>
            <w:pPr>
              <w:adjustRightInd w:val="0"/>
              <w:snapToGrid w:val="0"/>
              <w:jc w:val="center"/>
              <w:rPr>
                <w:rFonts w:ascii="Times New Roman" w:hAnsi="Times New Roman" w:cs="Times New Roman" w:hint="default"/>
                <w:b/>
                <w:bCs/>
                <w:color w:val="000000" w:themeColor="text1"/>
                <w:kern w:val="0"/>
                <w:szCs w:val="21"/>
                <w14:textFill>
                  <w14:solidFill>
                    <w14:schemeClr w14:val="tx1"/>
                  </w14:solidFill>
                </w14:textFill>
              </w:rPr>
            </w:pPr>
            <w:r>
              <w:rPr>
                <w:rFonts w:ascii="Times New Roman" w:hAnsi="Times New Roman" w:cs="Times New Roman" w:hint="default"/>
                <w:b/>
                <w:bCs/>
                <w:color w:val="000000" w:themeColor="text1"/>
                <w:kern w:val="0"/>
                <w:sz w:val="21"/>
                <w:szCs w:val="21"/>
                <w14:textFill>
                  <w14:solidFill>
                    <w14:schemeClr w14:val="tx1"/>
                  </w14:solidFill>
                </w14:textFill>
              </w:rPr>
              <w:t>表3-</w:t>
            </w:r>
            <w:r>
              <w:rPr>
                <w:rFonts w:ascii="Times New Roman" w:hAnsi="Times New Roman" w:cs="Times New Roman" w:hint="default"/>
                <w:b/>
                <w:bCs/>
                <w:color w:val="000000" w:themeColor="text1"/>
                <w:kern w:val="0"/>
                <w:sz w:val="21"/>
                <w:szCs w:val="21"/>
                <w:lang w:val="en-US" w:eastAsia="zh-CN"/>
                <w14:textFill>
                  <w14:solidFill>
                    <w14:schemeClr w14:val="tx1"/>
                  </w14:solidFill>
                </w14:textFill>
              </w:rPr>
              <w:t>4</w:t>
            </w:r>
            <w:r>
              <w:rPr>
                <w:rFonts w:ascii="Times New Roman" w:hAnsi="Times New Roman" w:cs="Times New Roman" w:hint="default"/>
                <w:b/>
                <w:bCs/>
                <w:color w:val="000000" w:themeColor="text1"/>
                <w:kern w:val="0"/>
                <w:sz w:val="21"/>
                <w:szCs w:val="21"/>
                <w14:textFill>
                  <w14:solidFill>
                    <w14:schemeClr w14:val="tx1"/>
                  </w14:solidFill>
                </w14:textFill>
              </w:rPr>
              <w:t xml:space="preserve"> 50m范围内声环境保护目标</w:t>
            </w:r>
          </w:p>
          <w:tbl>
            <w:tblPr>
              <w:tblStyle w:val="TableNormal"/>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85"/>
              <w:gridCol w:w="1220"/>
              <w:gridCol w:w="1608"/>
              <w:gridCol w:w="1538"/>
              <w:gridCol w:w="741"/>
              <w:gridCol w:w="769"/>
              <w:gridCol w:w="1151"/>
              <w:gridCol w:w="774"/>
              <w:gridCol w:w="969"/>
            </w:tblGrid>
            <w:tr>
              <w:tblPrEx>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66"/>
                <w:jc w:val="center"/>
              </w:trPr>
              <w:tc>
                <w:tcPr>
                  <w:tcW w:w="485" w:type="dxa"/>
                  <w:vMerge w:val="restart"/>
                  <w:noWrap w:val="0"/>
                  <w:vAlign w:val="center"/>
                </w:tcPr>
                <w:p>
                  <w:pP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序号</w:t>
                  </w:r>
                </w:p>
              </w:tc>
              <w:tc>
                <w:tcPr>
                  <w:tcW w:w="1220"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名称</w:t>
                  </w:r>
                </w:p>
              </w:tc>
              <w:tc>
                <w:tcPr>
                  <w:tcW w:w="3146" w:type="dxa"/>
                  <w:gridSpan w:val="2"/>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坐标</w:t>
                  </w:r>
                </w:p>
              </w:tc>
              <w:tc>
                <w:tcPr>
                  <w:tcW w:w="741"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保护对象</w:t>
                  </w:r>
                </w:p>
              </w:tc>
              <w:tc>
                <w:tcPr>
                  <w:tcW w:w="769"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保护内容</w:t>
                  </w:r>
                </w:p>
              </w:tc>
              <w:tc>
                <w:tcPr>
                  <w:tcW w:w="1151"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环境功能区</w:t>
                  </w:r>
                </w:p>
              </w:tc>
              <w:tc>
                <w:tcPr>
                  <w:tcW w:w="774"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相项目方位</w:t>
                  </w:r>
                </w:p>
              </w:tc>
              <w:tc>
                <w:tcPr>
                  <w:tcW w:w="969"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相对项目厂界距离/m</w:t>
                  </w:r>
                </w:p>
              </w:tc>
            </w:tr>
            <w:tr>
              <w:tblPrEx>
                <w:tblW w:w="9255" w:type="dxa"/>
                <w:jc w:val="center"/>
                <w:tblLayout w:type="fixed"/>
                <w:tblCellMar>
                  <w:top w:w="0" w:type="dxa"/>
                  <w:left w:w="108" w:type="dxa"/>
                  <w:bottom w:w="0" w:type="dxa"/>
                  <w:right w:w="108" w:type="dxa"/>
                </w:tblCellMar>
              </w:tblPrEx>
              <w:trPr>
                <w:trHeight w:val="322"/>
                <w:jc w:val="center"/>
              </w:trPr>
              <w:tc>
                <w:tcPr>
                  <w:tcW w:w="485"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220"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608" w:type="dxa"/>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经度（E）</w:t>
                  </w:r>
                </w:p>
              </w:tc>
              <w:tc>
                <w:tcPr>
                  <w:tcW w:w="1538" w:type="dxa"/>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纬度（N）</w:t>
                  </w:r>
                </w:p>
              </w:tc>
              <w:tc>
                <w:tcPr>
                  <w:tcW w:w="74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15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74"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r>
            <w:tr>
              <w:tblPrEx>
                <w:tblW w:w="9255" w:type="dxa"/>
                <w:jc w:val="center"/>
                <w:tblLayout w:type="fixed"/>
                <w:tblCellMar>
                  <w:top w:w="0" w:type="dxa"/>
                  <w:left w:w="108" w:type="dxa"/>
                  <w:bottom w:w="0" w:type="dxa"/>
                  <w:right w:w="108" w:type="dxa"/>
                </w:tblCellMar>
              </w:tblPrEx>
              <w:trPr>
                <w:trHeight w:val="327"/>
                <w:jc w:val="center"/>
              </w:trPr>
              <w:tc>
                <w:tcPr>
                  <w:tcW w:w="48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w:t>
                  </w:r>
                </w:p>
              </w:tc>
              <w:tc>
                <w:tcPr>
                  <w:tcW w:w="122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三亚市河东派出所</w:t>
                  </w:r>
                </w:p>
              </w:tc>
              <w:tc>
                <w:tcPr>
                  <w:tcW w:w="160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109°30′26.290″</w:t>
                  </w:r>
                </w:p>
              </w:tc>
              <w:tc>
                <w:tcPr>
                  <w:tcW w:w="153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18°14′59.467″</w:t>
                  </w:r>
                </w:p>
              </w:tc>
              <w:tc>
                <w:tcPr>
                  <w:tcW w:w="741"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769" w:type="dxa"/>
                  <w:vMerge w:val="restart"/>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声环境</w:t>
                  </w:r>
                </w:p>
              </w:tc>
              <w:tc>
                <w:tcPr>
                  <w:tcW w:w="1151" w:type="dxa"/>
                  <w:vMerge w:val="restart"/>
                  <w:noWrap w:val="0"/>
                  <w:vAlign w:val="center"/>
                </w:tcPr>
                <w:p>
                  <w:pP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《声环境质量标准》（GB30</w:t>
                  </w:r>
                </w:p>
                <w:p>
                  <w:pP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96-2008）中2类标准</w:t>
                  </w:r>
                </w:p>
              </w:tc>
              <w:tc>
                <w:tcPr>
                  <w:tcW w:w="77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西侧</w:t>
                  </w:r>
                </w:p>
              </w:tc>
              <w:tc>
                <w:tcPr>
                  <w:tcW w:w="969"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10</w:t>
                  </w:r>
                </w:p>
              </w:tc>
            </w:tr>
            <w:tr>
              <w:tblPrEx>
                <w:tblW w:w="9255" w:type="dxa"/>
                <w:jc w:val="center"/>
                <w:tblLayout w:type="fixed"/>
                <w:tblCellMar>
                  <w:top w:w="0" w:type="dxa"/>
                  <w:left w:w="108" w:type="dxa"/>
                  <w:bottom w:w="0" w:type="dxa"/>
                  <w:right w:w="108" w:type="dxa"/>
                </w:tblCellMar>
              </w:tblPrEx>
              <w:trPr>
                <w:trHeight w:val="322"/>
                <w:jc w:val="center"/>
              </w:trPr>
              <w:tc>
                <w:tcPr>
                  <w:tcW w:w="48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w:t>
                  </w:r>
                </w:p>
              </w:tc>
              <w:tc>
                <w:tcPr>
                  <w:tcW w:w="122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颐康旅租</w:t>
                  </w:r>
                </w:p>
              </w:tc>
              <w:tc>
                <w:tcPr>
                  <w:tcW w:w="160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109°30′26.531</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3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18°14′59.487</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41"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居住</w:t>
                  </w:r>
                </w:p>
              </w:tc>
              <w:tc>
                <w:tcPr>
                  <w:tcW w:w="7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15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7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西侧</w:t>
                  </w:r>
                </w:p>
              </w:tc>
              <w:tc>
                <w:tcPr>
                  <w:tcW w:w="969"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5</w:t>
                  </w:r>
                </w:p>
              </w:tc>
            </w:tr>
            <w:tr>
              <w:tblPrEx>
                <w:tblW w:w="9255" w:type="dxa"/>
                <w:jc w:val="center"/>
                <w:tblLayout w:type="fixed"/>
                <w:tblCellMar>
                  <w:top w:w="0" w:type="dxa"/>
                  <w:left w:w="108" w:type="dxa"/>
                  <w:bottom w:w="0" w:type="dxa"/>
                  <w:right w:w="108" w:type="dxa"/>
                </w:tblCellMar>
              </w:tblPrEx>
              <w:trPr>
                <w:trHeight w:val="488"/>
                <w:jc w:val="center"/>
              </w:trPr>
              <w:tc>
                <w:tcPr>
                  <w:tcW w:w="48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3</w:t>
                  </w:r>
                </w:p>
              </w:tc>
              <w:tc>
                <w:tcPr>
                  <w:tcW w:w="122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三亚市自然资源与规划局</w:t>
                  </w:r>
                </w:p>
              </w:tc>
              <w:tc>
                <w:tcPr>
                  <w:tcW w:w="160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109°30′26.608</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3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18°14′59.091</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41"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7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15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7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西南侧</w:t>
                  </w:r>
                </w:p>
              </w:tc>
              <w:tc>
                <w:tcPr>
                  <w:tcW w:w="969"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10</w:t>
                  </w:r>
                </w:p>
              </w:tc>
            </w:tr>
            <w:tr>
              <w:tblPrEx>
                <w:tblW w:w="9255" w:type="dxa"/>
                <w:jc w:val="center"/>
                <w:tblLayout w:type="fixed"/>
                <w:tblCellMar>
                  <w:top w:w="0" w:type="dxa"/>
                  <w:left w:w="108" w:type="dxa"/>
                  <w:bottom w:w="0" w:type="dxa"/>
                  <w:right w:w="108" w:type="dxa"/>
                </w:tblCellMar>
              </w:tblPrEx>
              <w:trPr>
                <w:trHeight w:val="327"/>
                <w:jc w:val="center"/>
              </w:trPr>
              <w:tc>
                <w:tcPr>
                  <w:tcW w:w="48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4</w:t>
                  </w:r>
                </w:p>
              </w:tc>
              <w:tc>
                <w:tcPr>
                  <w:tcW w:w="122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发改委宿舍区</w:t>
                  </w:r>
                </w:p>
              </w:tc>
              <w:tc>
                <w:tcPr>
                  <w:tcW w:w="160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109°30′27.193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3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18°14′59.076</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41"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居住</w:t>
                  </w:r>
                </w:p>
              </w:tc>
              <w:tc>
                <w:tcPr>
                  <w:tcW w:w="7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15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7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东侧</w:t>
                  </w:r>
                </w:p>
              </w:tc>
              <w:tc>
                <w:tcPr>
                  <w:tcW w:w="969"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40</w:t>
                  </w:r>
                </w:p>
              </w:tc>
            </w:tr>
            <w:tr>
              <w:tblPrEx>
                <w:tblW w:w="9255" w:type="dxa"/>
                <w:jc w:val="center"/>
                <w:tblLayout w:type="fixed"/>
                <w:tblCellMar>
                  <w:top w:w="0" w:type="dxa"/>
                  <w:left w:w="108" w:type="dxa"/>
                  <w:bottom w:w="0" w:type="dxa"/>
                  <w:right w:w="108" w:type="dxa"/>
                </w:tblCellMar>
              </w:tblPrEx>
              <w:trPr>
                <w:trHeight w:val="327"/>
                <w:jc w:val="center"/>
              </w:trPr>
              <w:tc>
                <w:tcPr>
                  <w:tcW w:w="48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5</w:t>
                  </w:r>
                </w:p>
              </w:tc>
              <w:tc>
                <w:tcPr>
                  <w:tcW w:w="122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农业局宿舍区</w:t>
                  </w:r>
                </w:p>
              </w:tc>
              <w:tc>
                <w:tcPr>
                  <w:tcW w:w="160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109°30′27.613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3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18°15′0.723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41"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居住</w:t>
                  </w:r>
                </w:p>
              </w:tc>
              <w:tc>
                <w:tcPr>
                  <w:tcW w:w="7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15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7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969"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35</w:t>
                  </w:r>
                </w:p>
              </w:tc>
            </w:tr>
            <w:tr>
              <w:tblPrEx>
                <w:tblW w:w="9255" w:type="dxa"/>
                <w:jc w:val="center"/>
                <w:tblLayout w:type="fixed"/>
                <w:tblCellMar>
                  <w:top w:w="0" w:type="dxa"/>
                  <w:left w:w="108" w:type="dxa"/>
                  <w:bottom w:w="0" w:type="dxa"/>
                  <w:right w:w="108" w:type="dxa"/>
                </w:tblCellMar>
              </w:tblPrEx>
              <w:trPr>
                <w:trHeight w:val="332"/>
                <w:jc w:val="center"/>
              </w:trPr>
              <w:tc>
                <w:tcPr>
                  <w:tcW w:w="48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6</w:t>
                  </w:r>
                </w:p>
              </w:tc>
              <w:tc>
                <w:tcPr>
                  <w:tcW w:w="1220"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三亚潘崖口腔诊所</w:t>
                  </w:r>
                </w:p>
              </w:tc>
              <w:tc>
                <w:tcPr>
                  <w:tcW w:w="160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109°30′28.182″</w:t>
                  </w:r>
                </w:p>
              </w:tc>
              <w:tc>
                <w:tcPr>
                  <w:tcW w:w="153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18°15′0.336″</w:t>
                  </w:r>
                </w:p>
              </w:tc>
              <w:tc>
                <w:tcPr>
                  <w:tcW w:w="741"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医院</w:t>
                  </w:r>
                </w:p>
              </w:tc>
              <w:tc>
                <w:tcPr>
                  <w:tcW w:w="76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151"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7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969"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24</w:t>
                  </w:r>
                </w:p>
              </w:tc>
            </w:tr>
          </w:tbl>
          <w:p>
            <w:pPr>
              <w:spacing w:line="360" w:lineRule="auto"/>
              <w:ind w:firstLine="420" w:firstLineChars="200"/>
              <w:jc w:val="left"/>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2、500m范围内大气环境保护目标</w:t>
            </w:r>
          </w:p>
          <w:p>
            <w:pPr>
              <w:adjustRightInd w:val="0"/>
              <w:snapToGrid w:val="0"/>
              <w:jc w:val="center"/>
              <w:rPr>
                <w:rFonts w:ascii="Times New Roman" w:hAnsi="Times New Roman" w:cs="Times New Roman" w:hint="default"/>
                <w:b/>
                <w:bCs/>
                <w:color w:val="000000" w:themeColor="text1"/>
                <w:kern w:val="0"/>
                <w:szCs w:val="21"/>
                <w14:textFill>
                  <w14:solidFill>
                    <w14:schemeClr w14:val="tx1"/>
                  </w14:solidFill>
                </w14:textFill>
              </w:rPr>
            </w:pPr>
            <w:r>
              <w:rPr>
                <w:rFonts w:ascii="Times New Roman" w:hAnsi="Times New Roman" w:cs="Times New Roman" w:hint="default"/>
                <w:b/>
                <w:bCs/>
                <w:color w:val="000000" w:themeColor="text1"/>
                <w:kern w:val="0"/>
                <w:sz w:val="21"/>
                <w:szCs w:val="21"/>
                <w14:textFill>
                  <w14:solidFill>
                    <w14:schemeClr w14:val="tx1"/>
                  </w14:solidFill>
                </w14:textFill>
              </w:rPr>
              <w:t>表3-</w:t>
            </w:r>
            <w:r>
              <w:rPr>
                <w:rFonts w:ascii="Times New Roman" w:hAnsi="Times New Roman" w:cs="Times New Roman" w:hint="default"/>
                <w:b/>
                <w:bCs/>
                <w:color w:val="000000" w:themeColor="text1"/>
                <w:kern w:val="0"/>
                <w:sz w:val="21"/>
                <w:szCs w:val="21"/>
                <w:lang w:val="en-US" w:eastAsia="zh-CN"/>
                <w14:textFill>
                  <w14:solidFill>
                    <w14:schemeClr w14:val="tx1"/>
                  </w14:solidFill>
                </w14:textFill>
              </w:rPr>
              <w:t>5</w:t>
            </w:r>
            <w:r>
              <w:rPr>
                <w:rFonts w:ascii="Times New Roman" w:hAnsi="Times New Roman" w:cs="Times New Roman" w:hint="default"/>
                <w:b/>
                <w:bCs/>
                <w:color w:val="000000" w:themeColor="text1"/>
                <w:kern w:val="0"/>
                <w:sz w:val="21"/>
                <w:szCs w:val="21"/>
                <w14:textFill>
                  <w14:solidFill>
                    <w14:schemeClr w14:val="tx1"/>
                  </w14:solidFill>
                </w14:textFill>
              </w:rPr>
              <w:t xml:space="preserve"> 环境空气保护目标</w:t>
            </w:r>
          </w:p>
          <w:tbl>
            <w:tblPr>
              <w:tblStyle w:val="TableNormal"/>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5"/>
              <w:gridCol w:w="1486"/>
              <w:gridCol w:w="1607"/>
              <w:gridCol w:w="1558"/>
              <w:gridCol w:w="759"/>
              <w:gridCol w:w="593"/>
              <w:gridCol w:w="883"/>
              <w:gridCol w:w="944"/>
              <w:gridCol w:w="780"/>
            </w:tblGrid>
            <w:tr>
              <w:tblPrEx>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91"/>
                <w:jc w:val="center"/>
              </w:trPr>
              <w:tc>
                <w:tcPr>
                  <w:tcW w:w="565"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序号</w:t>
                  </w:r>
                </w:p>
              </w:tc>
              <w:tc>
                <w:tcPr>
                  <w:tcW w:w="1486"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名称</w:t>
                  </w:r>
                </w:p>
              </w:tc>
              <w:tc>
                <w:tcPr>
                  <w:tcW w:w="3165" w:type="dxa"/>
                  <w:gridSpan w:val="2"/>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坐标</w:t>
                  </w:r>
                </w:p>
              </w:tc>
              <w:tc>
                <w:tcPr>
                  <w:tcW w:w="759"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保护对象</w:t>
                  </w:r>
                </w:p>
              </w:tc>
              <w:tc>
                <w:tcPr>
                  <w:tcW w:w="593"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保护内容</w:t>
                  </w:r>
                </w:p>
              </w:tc>
              <w:tc>
                <w:tcPr>
                  <w:tcW w:w="883"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环境功能区</w:t>
                  </w:r>
                </w:p>
              </w:tc>
              <w:tc>
                <w:tcPr>
                  <w:tcW w:w="944"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相项目方位</w:t>
                  </w:r>
                </w:p>
              </w:tc>
              <w:tc>
                <w:tcPr>
                  <w:tcW w:w="780" w:type="dxa"/>
                  <w:vMerge w:val="restart"/>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相对项目厂界距离/m</w:t>
                  </w:r>
                </w:p>
              </w:tc>
            </w:tr>
            <w:tr>
              <w:tblPrEx>
                <w:tblW w:w="9175" w:type="dxa"/>
                <w:jc w:val="center"/>
                <w:tblLayout w:type="fixed"/>
                <w:tblCellMar>
                  <w:top w:w="0" w:type="dxa"/>
                  <w:left w:w="108" w:type="dxa"/>
                  <w:bottom w:w="0" w:type="dxa"/>
                  <w:right w:w="108" w:type="dxa"/>
                </w:tblCellMar>
              </w:tblPrEx>
              <w:trPr>
                <w:trHeight w:val="740"/>
                <w:jc w:val="center"/>
              </w:trPr>
              <w:tc>
                <w:tcPr>
                  <w:tcW w:w="565"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486"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607" w:type="dxa"/>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经度（E）</w:t>
                  </w:r>
                </w:p>
              </w:tc>
              <w:tc>
                <w:tcPr>
                  <w:tcW w:w="1558" w:type="dxa"/>
                  <w:noWrap w:val="0"/>
                  <w:vAlign w:val="center"/>
                </w:tcPr>
                <w:p>
                  <w:pPr>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纬度（N）</w:t>
                  </w:r>
                </w:p>
              </w:tc>
              <w:tc>
                <w:tcPr>
                  <w:tcW w:w="759"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780"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三亚市河东派出所</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109°30′26.290″</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18°14′59.467″</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593" w:type="dxa"/>
                  <w:vMerge w:val="restart"/>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环境空气</w:t>
                  </w:r>
                </w:p>
              </w:tc>
              <w:tc>
                <w:tcPr>
                  <w:tcW w:w="883" w:type="dxa"/>
                  <w:vMerge w:val="restart"/>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《环境空气质量标准》（G</w:t>
                  </w:r>
                </w:p>
                <w:p>
                  <w:pP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B3095-2012）及修改单中二级标准</w:t>
                  </w:r>
                </w:p>
              </w:tc>
              <w:tc>
                <w:tcPr>
                  <w:tcW w:w="94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西侧</w:t>
                  </w:r>
                </w:p>
              </w:tc>
              <w:tc>
                <w:tcPr>
                  <w:tcW w:w="780"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10</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颐康旅租</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109°30′26.531</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18°14′59.487</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居住</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西侧</w:t>
                  </w:r>
                </w:p>
              </w:tc>
              <w:tc>
                <w:tcPr>
                  <w:tcW w:w="780"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5</w:t>
                  </w:r>
                </w:p>
              </w:tc>
            </w:tr>
            <w:tr>
              <w:tblPrEx>
                <w:tblW w:w="9175" w:type="dxa"/>
                <w:jc w:val="center"/>
                <w:tblLayout w:type="fixed"/>
                <w:tblCellMar>
                  <w:top w:w="0" w:type="dxa"/>
                  <w:left w:w="108" w:type="dxa"/>
                  <w:bottom w:w="0" w:type="dxa"/>
                  <w:right w:w="108" w:type="dxa"/>
                </w:tblCellMar>
              </w:tblPrEx>
              <w:trPr>
                <w:trHeight w:val="561"/>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3</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三亚市自然资源与规划局</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109°30′26.608</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18°14′59.091</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西南侧</w:t>
                  </w:r>
                </w:p>
              </w:tc>
              <w:tc>
                <w:tcPr>
                  <w:tcW w:w="780"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10</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4</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发改委宿舍区</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109°30′27.193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18°14′59.076</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居住</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东侧</w:t>
                  </w:r>
                </w:p>
              </w:tc>
              <w:tc>
                <w:tcPr>
                  <w:tcW w:w="780"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40</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5</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农业局宿舍区</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109°30′27.613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18°15′0.723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居住</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780"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35</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6</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三亚潘崖口腔诊所</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109°30′28.182″</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18°15′0.336″</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医院</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780" w:type="dxa"/>
                  <w:noWrap w:val="0"/>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24</w:t>
                  </w:r>
                </w:p>
              </w:tc>
            </w:tr>
            <w:tr>
              <w:tblPrEx>
                <w:tblW w:w="9175" w:type="dxa"/>
                <w:jc w:val="center"/>
                <w:tblLayout w:type="fixed"/>
                <w:tblCellMar>
                  <w:top w:w="0" w:type="dxa"/>
                  <w:left w:w="108" w:type="dxa"/>
                  <w:bottom w:w="0" w:type="dxa"/>
                  <w:right w:w="108" w:type="dxa"/>
                </w:tblCellMar>
              </w:tblPrEx>
              <w:trPr>
                <w:trHeight w:val="561"/>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7</w:t>
                  </w:r>
                </w:p>
              </w:tc>
              <w:tc>
                <w:tcPr>
                  <w:tcW w:w="1486"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香港诺贝尔国际幼儿园</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109°30′34.946</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18°15′0.752</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学校</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226</w:t>
                  </w:r>
                </w:p>
              </w:tc>
            </w:tr>
          </w:tbl>
          <w:p/>
        </w:tc>
      </w:tr>
    </w:tbl>
    <w:p>
      <w:pPr>
        <w:sectPr>
          <w:footerReference w:type="default" r:id="rId29"/>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0"/>
          <w:cols w:num="1" w:space="425"/>
          <w:titlePg w:val="0"/>
          <w:docGrid w:type="lines" w:linePitch="312" w:charSpace="0"/>
        </w:sectPr>
      </w:pP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1181"/>
        </w:trPr>
        <w:tc>
          <w:tcPr>
            <w:tcW w:w="436" w:type="dxa"/>
            <w:tcBorders>
              <w:top w:val="single" w:sz="4" w:space="0" w:color="auto"/>
              <w:left w:val="single" w:sz="6" w:space="0" w:color="auto"/>
              <w:bottom w:val="single" w:sz="4" w:space="0" w:color="auto"/>
              <w:right w:val="single" w:sz="6" w:space="0" w:color="auto"/>
            </w:tcBorders>
            <w:shd w:val="clear" w:color="auto" w:fill="auto"/>
            <w:tcMar>
              <w:left w:w="105" w:type="dxa"/>
              <w:right w:w="105" w:type="dxa"/>
            </w:tcMar>
            <w:vAlign w:val="center"/>
          </w:tcPr>
          <w:p/>
        </w:tc>
        <w:tc>
          <w:tcPr>
            <w:tcW w:w="9732" w:type="dxa"/>
            <w:tcBorders>
              <w:top w:val="single" w:sz="4" w:space="0" w:color="auto"/>
              <w:left w:val="nil"/>
              <w:bottom w:val="single" w:sz="4" w:space="0" w:color="auto"/>
              <w:right w:val="single" w:sz="6" w:space="0" w:color="auto"/>
            </w:tcBorders>
            <w:shd w:val="clear" w:color="auto" w:fill="auto"/>
            <w:tcMar>
              <w:left w:w="105" w:type="dxa"/>
              <w:right w:w="105" w:type="dxa"/>
            </w:tcMar>
            <w:vAlign w:val="center"/>
          </w:tcPr>
          <w:tbl>
            <w:tblPr>
              <w:tblStyle w:val="TableNormal"/>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5"/>
              <w:gridCol w:w="1486"/>
              <w:gridCol w:w="1607"/>
              <w:gridCol w:w="1558"/>
              <w:gridCol w:w="759"/>
              <w:gridCol w:w="593"/>
              <w:gridCol w:w="883"/>
              <w:gridCol w:w="944"/>
              <w:gridCol w:w="780"/>
            </w:tblGrid>
            <w:tr>
              <w:tblPrEx>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61"/>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8</w:t>
                  </w:r>
                </w:p>
              </w:tc>
              <w:tc>
                <w:tcPr>
                  <w:tcW w:w="1486"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河东社区卫生服务中心</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109°30′31.701</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18°15′3.940</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医院</w:t>
                  </w:r>
                </w:p>
              </w:tc>
              <w:tc>
                <w:tcPr>
                  <w:tcW w:w="593" w:type="dxa"/>
                  <w:vMerge w:val="restart"/>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val="restart"/>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176</w:t>
                  </w:r>
                </w:p>
              </w:tc>
            </w:tr>
            <w:tr>
              <w:tblPrEx>
                <w:tblW w:w="9175" w:type="dxa"/>
                <w:jc w:val="center"/>
                <w:tblLayout w:type="fixed"/>
                <w:tblCellMar>
                  <w:top w:w="0" w:type="dxa"/>
                  <w:left w:w="108" w:type="dxa"/>
                  <w:bottom w:w="0" w:type="dxa"/>
                  <w:right w:w="108" w:type="dxa"/>
                </w:tblCellMar>
              </w:tblPrEx>
              <w:trPr>
                <w:trHeight w:val="561"/>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9</w:t>
                  </w:r>
                </w:p>
              </w:tc>
              <w:tc>
                <w:tcPr>
                  <w:tcW w:w="1486"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三亚市园林环卫管理局</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109°30′27.365</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18°14′54.690</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南侧</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144</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10</w:t>
                  </w:r>
                </w:p>
              </w:tc>
              <w:tc>
                <w:tcPr>
                  <w:tcW w:w="1486"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三亚市监测委员会</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109°30′27.829</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18°14′53.126</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南侧</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191</w:t>
                  </w:r>
                </w:p>
              </w:tc>
            </w:tr>
            <w:tr>
              <w:tblPrEx>
                <w:tblW w:w="9175" w:type="dxa"/>
                <w:jc w:val="center"/>
                <w:tblLayout w:type="fixed"/>
                <w:tblCellMar>
                  <w:top w:w="0" w:type="dxa"/>
                  <w:left w:w="108" w:type="dxa"/>
                  <w:bottom w:w="0" w:type="dxa"/>
                  <w:right w:w="108" w:type="dxa"/>
                </w:tblCellMar>
              </w:tblPrEx>
              <w:trPr>
                <w:trHeight w:val="561"/>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11</w:t>
                  </w:r>
                </w:p>
              </w:tc>
              <w:tc>
                <w:tcPr>
                  <w:tcW w:w="1486"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海南省环境地质勘查院</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109°30′28.331</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18°14′49.978</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办公</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南侧</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290</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12</w:t>
                  </w:r>
                </w:p>
              </w:tc>
              <w:tc>
                <w:tcPr>
                  <w:tcW w:w="1486"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市政府宿舍区</w:t>
                  </w:r>
                </w:p>
              </w:tc>
              <w:tc>
                <w:tcPr>
                  <w:tcW w:w="1607"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109°30′28.717</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18°15′7.938</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居住</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东北侧</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264</w:t>
                  </w:r>
                </w:p>
              </w:tc>
            </w:tr>
            <w:tr>
              <w:tblPrEx>
                <w:tblW w:w="9175" w:type="dxa"/>
                <w:jc w:val="center"/>
                <w:tblLayout w:type="fixed"/>
                <w:tblCellMar>
                  <w:top w:w="0" w:type="dxa"/>
                  <w:left w:w="108" w:type="dxa"/>
                  <w:bottom w:w="0" w:type="dxa"/>
                  <w:right w:w="108" w:type="dxa"/>
                </w:tblCellMar>
              </w:tblPrEx>
              <w:trPr>
                <w:trHeight w:val="3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eastAsia"/>
                      <w:color w:val="000000" w:themeColor="text1"/>
                      <w:sz w:val="21"/>
                      <w:szCs w:val="21"/>
                      <w:lang w:val="en-US" w:eastAsia="zh-CN"/>
                      <w14:textFill>
                        <w14:solidFill>
                          <w14:schemeClr w14:val="tx1"/>
                        </w14:solidFill>
                      </w14:textFill>
                    </w:rPr>
                    <w:t>13</w:t>
                  </w:r>
                </w:p>
              </w:tc>
              <w:tc>
                <w:tcPr>
                  <w:tcW w:w="1486" w:type="dxa"/>
                  <w:noWrap w:val="0"/>
                  <w:vAlign w:val="center"/>
                </w:tcPr>
                <w:p>
                  <w:pPr>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三亚市环境信息中心</w:t>
                  </w:r>
                </w:p>
              </w:tc>
              <w:tc>
                <w:tcPr>
                  <w:tcW w:w="1607"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109°30′28.418</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558" w:type="dxa"/>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18°14′51.786</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eastAsia"/>
                      <w:color w:val="000000" w:themeColor="text1"/>
                      <w:sz w:val="21"/>
                      <w:szCs w:val="21"/>
                      <w:lang w:val="en-US" w:eastAsia="zh-CN"/>
                      <w14:textFill>
                        <w14:solidFill>
                          <w14:schemeClr w14:val="tx1"/>
                        </w14:solidFill>
                      </w14:textFill>
                    </w:rPr>
                    <w:t>办公</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944"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南</w:t>
                  </w:r>
                </w:p>
              </w:tc>
              <w:tc>
                <w:tcPr>
                  <w:tcW w:w="780" w:type="dxa"/>
                  <w:noWrap w:val="0"/>
                  <w:vAlign w:val="center"/>
                </w:tcPr>
                <w:p>
                  <w:pPr>
                    <w:keepNext w:val="0"/>
                    <w:keepLines w:val="0"/>
                    <w:widowControl/>
                    <w:suppressLineNumbers w:val="0"/>
                    <w:spacing w:line="240" w:lineRule="auto"/>
                    <w:jc w:val="center"/>
                    <w:textAlignment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124</w:t>
                  </w:r>
                </w:p>
              </w:tc>
            </w:tr>
            <w:tr>
              <w:tblPrEx>
                <w:tblW w:w="9175" w:type="dxa"/>
                <w:jc w:val="center"/>
                <w:tblLayout w:type="fixed"/>
                <w:tblCellMar>
                  <w:top w:w="0" w:type="dxa"/>
                  <w:left w:w="108" w:type="dxa"/>
                  <w:bottom w:w="0" w:type="dxa"/>
                  <w:right w:w="108" w:type="dxa"/>
                </w:tblCellMar>
              </w:tblPrEx>
              <w:trPr>
                <w:trHeight w:val="1676"/>
                <w:jc w:val="center"/>
              </w:trPr>
              <w:tc>
                <w:tcPr>
                  <w:tcW w:w="565"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eastAsia"/>
                      <w:color w:val="000000" w:themeColor="text1"/>
                      <w:sz w:val="21"/>
                      <w:szCs w:val="21"/>
                      <w:lang w:val="en-US" w:eastAsia="zh-CN"/>
                      <w14:textFill>
                        <w14:solidFill>
                          <w14:schemeClr w14:val="tx1"/>
                        </w14:solidFill>
                      </w14:textFill>
                    </w:rPr>
                    <w:t>14</w:t>
                  </w:r>
                </w:p>
              </w:tc>
              <w:tc>
                <w:tcPr>
                  <w:tcW w:w="4651" w:type="dxa"/>
                  <w:gridSpan w:val="3"/>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周边行政办公/居民/学校/医疗诊所等敏感点</w:t>
                  </w:r>
                </w:p>
              </w:tc>
              <w:tc>
                <w:tcPr>
                  <w:tcW w:w="759"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学校/办公/居住/医疗等</w:t>
                  </w:r>
                </w:p>
              </w:tc>
              <w:tc>
                <w:tcPr>
                  <w:tcW w:w="59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883" w:type="dxa"/>
                  <w:vMerge/>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p>
              </w:tc>
              <w:tc>
                <w:tcPr>
                  <w:tcW w:w="1724" w:type="dxa"/>
                  <w:gridSpan w:val="2"/>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周边500m范围内</w:t>
                  </w:r>
                </w:p>
              </w:tc>
            </w:tr>
          </w:tbl>
          <w:p>
            <w:pPr>
              <w:spacing w:line="360" w:lineRule="auto"/>
              <w:ind w:firstLine="420" w:firstLineChars="200"/>
              <w:jc w:val="left"/>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3、生态环境保护目标</w:t>
            </w:r>
          </w:p>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表3-6 生态环境保护目标</w:t>
            </w:r>
          </w:p>
          <w:tbl>
            <w:tblPr>
              <w:tblStyle w:val="TableGrid10"/>
              <w:tblW w:w="9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3"/>
              <w:gridCol w:w="1969"/>
              <w:gridCol w:w="3169"/>
              <w:gridCol w:w="1820"/>
              <w:gridCol w:w="1761"/>
            </w:tblGrid>
            <w:tr>
              <w:tblPrEx>
                <w:tblW w:w="9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03"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序号</w:t>
                  </w:r>
                </w:p>
              </w:tc>
              <w:tc>
                <w:tcPr>
                  <w:tcW w:w="1969"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保护对象</w:t>
                  </w:r>
                </w:p>
              </w:tc>
              <w:tc>
                <w:tcPr>
                  <w:tcW w:w="3169"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保护级别</w:t>
                  </w:r>
                </w:p>
              </w:tc>
              <w:tc>
                <w:tcPr>
                  <w:tcW w:w="1820"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相对厂址方位</w:t>
                  </w:r>
                </w:p>
              </w:tc>
              <w:tc>
                <w:tcPr>
                  <w:tcW w:w="1761" w:type="dxa"/>
                  <w:vAlign w:val="center"/>
                </w:tcPr>
                <w:p>
                  <w:pPr>
                    <w:bidi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相对场界距离/m</w:t>
                  </w:r>
                </w:p>
              </w:tc>
            </w:tr>
            <w:tr>
              <w:tblPrEx>
                <w:tblW w:w="9522" w:type="dxa"/>
                <w:tblInd w:w="0" w:type="dxa"/>
                <w:tblLayout w:type="fixed"/>
                <w:tblCellMar>
                  <w:top w:w="0" w:type="dxa"/>
                  <w:left w:w="108" w:type="dxa"/>
                  <w:bottom w:w="0" w:type="dxa"/>
                  <w:right w:w="108" w:type="dxa"/>
                </w:tblCellMar>
              </w:tblPrEx>
              <w:tc>
                <w:tcPr>
                  <w:tcW w:w="80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w:t>
                  </w:r>
                </w:p>
              </w:tc>
              <w:tc>
                <w:tcPr>
                  <w:tcW w:w="1969" w:type="dxa"/>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三亚河红树林</w:t>
                  </w:r>
                </w:p>
              </w:tc>
              <w:tc>
                <w:tcPr>
                  <w:tcW w:w="3169"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红树林保护区</w:t>
                  </w:r>
                </w:p>
              </w:tc>
              <w:tc>
                <w:tcPr>
                  <w:tcW w:w="1820"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西</w:t>
                  </w:r>
                </w:p>
              </w:tc>
              <w:tc>
                <w:tcPr>
                  <w:tcW w:w="1761"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90</w:t>
                  </w:r>
                </w:p>
              </w:tc>
            </w:tr>
            <w:tr>
              <w:tblPrEx>
                <w:tblW w:w="9522" w:type="dxa"/>
                <w:tblInd w:w="0" w:type="dxa"/>
                <w:tblLayout w:type="fixed"/>
                <w:tblCellMar>
                  <w:top w:w="0" w:type="dxa"/>
                  <w:left w:w="108" w:type="dxa"/>
                  <w:bottom w:w="0" w:type="dxa"/>
                  <w:right w:w="108" w:type="dxa"/>
                </w:tblCellMar>
              </w:tblPrEx>
              <w:tc>
                <w:tcPr>
                  <w:tcW w:w="803"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w:t>
                  </w:r>
                </w:p>
              </w:tc>
              <w:tc>
                <w:tcPr>
                  <w:tcW w:w="1969" w:type="dxa"/>
                  <w:vAlign w:val="center"/>
                </w:tcPr>
                <w:p>
                  <w:pPr>
                    <w:keepNext w:val="0"/>
                    <w:keepLines w:val="0"/>
                    <w:widowControl/>
                    <w:suppressLineNumbers w:val="0"/>
                    <w:spacing w:line="240" w:lineRule="auto"/>
                    <w:jc w:val="center"/>
                    <w:textAlignment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三亚河</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（月川桥断面）</w:t>
                  </w:r>
                </w:p>
              </w:tc>
              <w:tc>
                <w:tcPr>
                  <w:tcW w:w="3169"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地表水环境质量标准（GB3838-2002）</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V</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类标准。</w:t>
                  </w:r>
                </w:p>
              </w:tc>
              <w:tc>
                <w:tcPr>
                  <w:tcW w:w="1820"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西</w:t>
                  </w:r>
                </w:p>
              </w:tc>
              <w:tc>
                <w:tcPr>
                  <w:tcW w:w="1761" w:type="dxa"/>
                  <w:vAlign w:val="center"/>
                </w:tcPr>
                <w:p>
                  <w:pPr>
                    <w:bidi w:val="0"/>
                    <w:jc w:val="center"/>
                    <w:rPr>
                      <w:rFonts w:ascii="Times New Roman" w:hAnsi="Times New Roman" w:cs="Times New Roman" w:hint="default"/>
                      <w:color w:val="000000" w:themeColor="text1"/>
                      <w:szCs w:val="21"/>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90</w:t>
                  </w:r>
                </w:p>
              </w:tc>
            </w:tr>
            <w:bookmarkEnd w:id="2"/>
          </w:tbl>
          <w:p>
            <w:pPr>
              <w:keepNext w:val="0"/>
              <w:keepLines w:val="0"/>
              <w:widowControl/>
              <w:suppressLineNumbers w:val="0"/>
              <w:wordWrap w:val="0"/>
              <w:spacing w:before="0" w:beforeAutospacing="0" w:after="0" w:afterAutospacing="0"/>
              <w:ind w:left="0" w:right="0" w:firstLine="0"/>
              <w:jc w:val="both"/>
              <w:rPr>
                <w:rFonts w:ascii="Times New Roman" w:eastAsia="Microsoft YaHei UI" w:hAnsi="Times New Roman" w:cs="Times New Roman" w:hint="default"/>
                <w:i w:val="0"/>
                <w:caps w:val="0"/>
                <w:color w:val="000000" w:themeColor="text1"/>
                <w:spacing w:val="8"/>
                <w:szCs w:val="21"/>
                <w:highlight w:val="none"/>
                <w14:textFill>
                  <w14:solidFill>
                    <w14:schemeClr w14:val="tx1"/>
                  </w14:solidFill>
                </w14:textFill>
              </w:rPr>
            </w:pPr>
          </w:p>
        </w:tc>
      </w:tr>
      <w:tr>
        <w:tblPrEx>
          <w:tblW w:w="10168" w:type="dxa"/>
          <w:tblInd w:w="0" w:type="dxa"/>
          <w:shd w:val="clear" w:color="auto" w:fill="FFFFFF"/>
          <w:tblLayout w:type="fixed"/>
          <w:tblCellMar>
            <w:top w:w="0" w:type="dxa"/>
            <w:left w:w="0" w:type="dxa"/>
            <w:bottom w:w="0" w:type="dxa"/>
            <w:right w:w="0" w:type="dxa"/>
          </w:tblCellMar>
        </w:tblPrEx>
        <w:trPr>
          <w:trHeight w:val="3901"/>
        </w:trPr>
        <w:tc>
          <w:tcPr>
            <w:tcW w:w="436" w:type="dxa"/>
            <w:tcBorders>
              <w:top w:val="single" w:sz="4" w:space="0" w:color="auto"/>
              <w:left w:val="single" w:sz="6" w:space="0" w:color="auto"/>
              <w:bottom w:val="single" w:sz="6" w:space="0" w:color="auto"/>
              <w:right w:val="single" w:sz="6" w:space="0" w:color="auto"/>
            </w:tcBorders>
            <w:shd w:val="clear" w:color="auto" w:fill="auto"/>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污染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物排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放控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制标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准</w:t>
            </w:r>
          </w:p>
        </w:tc>
        <w:tc>
          <w:tcPr>
            <w:tcW w:w="9732" w:type="dxa"/>
            <w:tcBorders>
              <w:top w:val="single" w:sz="4" w:space="0" w:color="auto"/>
              <w:left w:val="nil"/>
              <w:bottom w:val="single" w:sz="6" w:space="0" w:color="auto"/>
              <w:right w:val="single" w:sz="6" w:space="0" w:color="auto"/>
            </w:tcBorders>
            <w:shd w:val="clear" w:color="auto" w:fill="auto"/>
            <w:tcMar>
              <w:left w:w="105" w:type="dxa"/>
              <w:right w:w="105" w:type="dxa"/>
            </w:tcMar>
            <w:vAlign w:val="center"/>
          </w:tcPr>
          <w:p>
            <w:pPr>
              <w:widowControl/>
              <w:spacing w:before="0" w:beforeLines="0" w:beforeAutospacing="0" w:after="0" w:afterLines="0" w:afterAutospacing="0" w:line="360" w:lineRule="auto"/>
              <w:ind w:firstLine="420" w:firstLineChars="200"/>
              <w:jc w:val="left"/>
              <w:rPr>
                <w:rFonts w:ascii="Times New Roman" w:eastAsia="宋体" w:hAnsi="Times New Roman" w:cs="Times New Roman" w:hint="default"/>
                <w:color w:val="000000" w:themeColor="text1"/>
                <w:kern w:val="0"/>
                <w:szCs w:val="21"/>
                <w:highlight w:val="no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1、废气排放标准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Times New Roman" w:eastAsia="宋体" w:hAnsi="Times New Roman" w:cs="Times New Roman" w:hint="default"/>
                <w:color w:val="000000" w:themeColor="text1"/>
                <w:kern w:val="0"/>
                <w:szCs w:val="21"/>
                <w:highlight w:val="none"/>
                <w:lang w:bidi="ar"/>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eastAsia="zh-CN" w:bidi="ar"/>
                <w14:textFill>
                  <w14:solidFill>
                    <w14:schemeClr w14:val="tx1"/>
                  </w14:solidFill>
                </w14:textFill>
              </w:rPr>
              <w:t>（</w:t>
            </w:r>
            <w:r>
              <w:rPr>
                <w:rFonts w:ascii="Times New Roman" w:eastAsia="宋体" w:hAnsi="Times New Roman" w:cs="Times New Roman" w:hint="default"/>
                <w:color w:val="000000" w:themeColor="text1"/>
                <w:kern w:val="0"/>
                <w:sz w:val="21"/>
                <w:szCs w:val="21"/>
                <w:highlight w:val="none"/>
                <w:lang w:val="en-US" w:eastAsia="zh-CN" w:bidi="ar"/>
                <w14:textFill>
                  <w14:solidFill>
                    <w14:schemeClr w14:val="tx1"/>
                  </w14:solidFill>
                </w14:textFill>
              </w:rPr>
              <w:t>1</w:t>
            </w:r>
            <w:r>
              <w:rPr>
                <w:rFonts w:ascii="Times New Roman" w:eastAsia="宋体" w:hAnsi="Times New Roman" w:cs="Times New Roman" w:hint="default"/>
                <w:color w:val="000000" w:themeColor="text1"/>
                <w:kern w:val="0"/>
                <w:sz w:val="21"/>
                <w:szCs w:val="21"/>
                <w:highlight w:val="none"/>
                <w:lang w:eastAsia="zh-CN" w:bidi="ar"/>
                <w14:textFill>
                  <w14:solidFill>
                    <w14:schemeClr w14:val="tx1"/>
                  </w14:solidFill>
                </w14:textFill>
              </w:rPr>
              <w:t>）</w:t>
            </w:r>
            <w:r>
              <w:rPr>
                <w:rFonts w:ascii="Times New Roman" w:eastAsia="宋体" w:hAnsi="Times New Roman" w:cs="Times New Roman" w:hint="default"/>
                <w:color w:val="000000" w:themeColor="text1"/>
                <w:kern w:val="0"/>
                <w:sz w:val="21"/>
                <w:szCs w:val="21"/>
                <w:highlight w:val="none"/>
                <w:lang w:bidi="ar"/>
                <w14:textFill>
                  <w14:solidFill>
                    <w14:schemeClr w14:val="tx1"/>
                  </w14:solidFill>
                </w14:textFill>
              </w:rPr>
              <w:t>施工期</w:t>
            </w:r>
          </w:p>
          <w:p>
            <w:pPr>
              <w:spacing w:line="360" w:lineRule="auto"/>
              <w:ind w:firstLine="420" w:firstLineChars="200"/>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施工期产生的无组织粉尘参照执行《大气污染物综合排放标准》（GB16297-1996）表2新污染源大气污染物排放限值。具体标准值见下表。</w:t>
            </w:r>
          </w:p>
          <w:p>
            <w:pPr>
              <w:pStyle w:val="a14"/>
              <w:rPr>
                <w:rFonts w:ascii="Times New Roman" w:eastAsia="宋体" w:hAnsi="Times New Roman" w:cs="Times New Roman" w:hint="default"/>
                <w:b/>
                <w:color w:val="000000" w:themeColor="text1"/>
                <w:sz w:val="21"/>
                <w:szCs w:val="21"/>
                <w:lang w:val="en-US" w:eastAsia="zh-CN"/>
                <w14:textFill>
                  <w14:solidFill>
                    <w14:schemeClr w14:val="tx1"/>
                  </w14:solidFill>
                </w14:textFill>
              </w:rPr>
            </w:pPr>
            <w:r>
              <w:rPr>
                <w:rFonts w:ascii="Times New Roman" w:eastAsia="宋体" w:hAnsi="Times New Roman" w:cs="Times New Roman" w:hint="default"/>
                <w:b/>
                <w:color w:val="000000" w:themeColor="text1"/>
                <w:kern w:val="2"/>
                <w:sz w:val="21"/>
                <w:szCs w:val="21"/>
                <w14:textFill>
                  <w14:solidFill>
                    <w14:schemeClr w14:val="tx1"/>
                  </w14:solidFill>
                </w14:textFill>
              </w:rPr>
              <w:t>表</w:t>
            </w:r>
            <w:r>
              <w:rPr>
                <w:rFonts w:ascii="Times New Roman" w:eastAsia="宋体" w:hAnsi="Times New Roman" w:cs="Times New Roman" w:hint="default"/>
                <w:b/>
                <w:color w:val="000000" w:themeColor="text1"/>
                <w:kern w:val="2"/>
                <w:sz w:val="21"/>
                <w:szCs w:val="21"/>
                <w:lang w:val="en-US" w:eastAsia="zh-CN"/>
                <w14:textFill>
                  <w14:solidFill>
                    <w14:schemeClr w14:val="tx1"/>
                  </w14:solidFill>
                </w14:textFill>
              </w:rPr>
              <w:t>3-7</w:t>
            </w:r>
            <w:r>
              <w:rPr>
                <w:rFonts w:ascii="Times New Roman" w:eastAsia="宋体" w:hAnsi="Times New Roman" w:cs="Times New Roman" w:hint="default"/>
                <w:b/>
                <w:color w:val="000000" w:themeColor="text1"/>
                <w:kern w:val="2"/>
                <w:sz w:val="21"/>
                <w:szCs w:val="21"/>
                <w14:textFill>
                  <w14:solidFill>
                    <w14:schemeClr w14:val="tx1"/>
                  </w14:solidFill>
                </w14:textFill>
              </w:rPr>
              <w:t xml:space="preserve"> 新污染源大气污染物排放限值</w:t>
            </w:r>
            <w:r>
              <w:rPr>
                <w:rFonts w:ascii="Times New Roman" w:eastAsia="宋体" w:hAnsi="Times New Roman" w:cs="Times New Roman" w:hint="default"/>
                <w:b/>
                <w:color w:val="000000" w:themeColor="text1"/>
                <w:kern w:val="2"/>
                <w:sz w:val="21"/>
                <w:szCs w:val="21"/>
                <w:lang w:eastAsia="zh-CN"/>
                <w14:textFill>
                  <w14:solidFill>
                    <w14:schemeClr w14:val="tx1"/>
                  </w14:solidFill>
                </w14:textFill>
              </w:rPr>
              <w:t>（</w:t>
            </w:r>
            <w:r>
              <w:rPr>
                <w:rFonts w:ascii="Times New Roman" w:eastAsia="宋体" w:hAnsi="Times New Roman" w:cs="Times New Roman" w:hint="default"/>
                <w:b/>
                <w:color w:val="000000" w:themeColor="text1"/>
                <w:kern w:val="2"/>
                <w:sz w:val="21"/>
                <w:szCs w:val="21"/>
                <w:lang w:val="en-US" w:eastAsia="zh-CN"/>
                <w14:textFill>
                  <w14:solidFill>
                    <w14:schemeClr w14:val="tx1"/>
                  </w14:solidFill>
                </w14:textFill>
              </w:rPr>
              <w:t>摘录</w:t>
            </w:r>
            <w:r>
              <w:rPr>
                <w:rFonts w:ascii="Times New Roman" w:eastAsia="宋体" w:hAnsi="Times New Roman" w:cs="Times New Roman" w:hint="default"/>
                <w:b/>
                <w:color w:val="000000" w:themeColor="text1"/>
                <w:kern w:val="2"/>
                <w:sz w:val="21"/>
                <w:szCs w:val="21"/>
                <w:lang w:eastAsia="zh-CN"/>
                <w14:textFill>
                  <w14:solidFill>
                    <w14:schemeClr w14:val="tx1"/>
                  </w14:solidFill>
                </w14:textFill>
              </w:rPr>
              <w:t>）</w:t>
            </w:r>
          </w:p>
          <w:tbl>
            <w:tblPr>
              <w:tblStyle w:val="TableNormal"/>
              <w:tblW w:w="8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03"/>
              <w:gridCol w:w="4221"/>
              <w:gridCol w:w="2234"/>
            </w:tblGrid>
            <w:tr>
              <w:tblPrEx>
                <w:tblW w:w="8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17"/>
                <w:jc w:val="center"/>
              </w:trPr>
              <w:tc>
                <w:tcPr>
                  <w:tcW w:w="1603" w:type="dxa"/>
                  <w:tcBorders>
                    <w:tl2br w:val="nil"/>
                    <w:tr2bl w:val="nil"/>
                  </w:tcBorders>
                  <w:noWrap w:val="0"/>
                  <w:vAlign w:val="center"/>
                </w:tcPr>
                <w:p>
                  <w:pPr>
                    <w:pStyle w:val="a15"/>
                    <w:spacing w:line="240" w:lineRule="auto"/>
                    <w:rPr>
                      <w:rFonts w:ascii="Times New Roman" w:hAnsi="Times New Roman" w:cs="Times New Roman" w:hint="default"/>
                      <w:b/>
                      <w:color w:val="000000" w:themeColor="text1"/>
                      <w:sz w:val="21"/>
                      <w:szCs w:val="21"/>
                      <w14:textFill>
                        <w14:solidFill>
                          <w14:schemeClr w14:val="tx1"/>
                        </w14:solidFill>
                      </w14:textFill>
                    </w:rPr>
                  </w:pPr>
                  <w:r>
                    <w:rPr>
                      <w:rFonts w:ascii="Times New Roman" w:hAnsi="Times New Roman" w:cs="Times New Roman" w:hint="default"/>
                      <w:b/>
                      <w:color w:val="000000" w:themeColor="text1"/>
                      <w:sz w:val="21"/>
                      <w:szCs w:val="21"/>
                      <w14:textFill>
                        <w14:solidFill>
                          <w14:schemeClr w14:val="tx1"/>
                        </w14:solidFill>
                      </w14:textFill>
                    </w:rPr>
                    <w:t>污染物</w:t>
                  </w:r>
                </w:p>
              </w:tc>
              <w:tc>
                <w:tcPr>
                  <w:tcW w:w="4221" w:type="dxa"/>
                  <w:tcBorders>
                    <w:tl2br w:val="nil"/>
                    <w:tr2bl w:val="nil"/>
                  </w:tcBorders>
                  <w:noWrap w:val="0"/>
                  <w:vAlign w:val="center"/>
                </w:tcPr>
                <w:p>
                  <w:pPr>
                    <w:pStyle w:val="a15"/>
                    <w:spacing w:line="240" w:lineRule="auto"/>
                    <w:rPr>
                      <w:rFonts w:ascii="Times New Roman" w:hAnsi="Times New Roman" w:cs="Times New Roman" w:hint="default"/>
                      <w:b/>
                      <w:color w:val="000000" w:themeColor="text1"/>
                      <w:sz w:val="21"/>
                      <w:szCs w:val="21"/>
                      <w14:textFill>
                        <w14:solidFill>
                          <w14:schemeClr w14:val="tx1"/>
                        </w14:solidFill>
                      </w14:textFill>
                    </w:rPr>
                  </w:pPr>
                  <w:r>
                    <w:rPr>
                      <w:rFonts w:ascii="Times New Roman" w:hAnsi="Times New Roman" w:cs="Times New Roman" w:hint="default"/>
                      <w:b/>
                      <w:color w:val="000000" w:themeColor="text1"/>
                      <w:sz w:val="21"/>
                      <w:szCs w:val="21"/>
                      <w14:textFill>
                        <w14:solidFill>
                          <w14:schemeClr w14:val="tx1"/>
                        </w14:solidFill>
                      </w14:textFill>
                    </w:rPr>
                    <w:t>无组织排放监控浓度限值</w:t>
                  </w:r>
                </w:p>
              </w:tc>
              <w:tc>
                <w:tcPr>
                  <w:tcW w:w="2234" w:type="dxa"/>
                  <w:tcBorders>
                    <w:tl2br w:val="nil"/>
                    <w:tr2bl w:val="nil"/>
                  </w:tcBorders>
                  <w:noWrap w:val="0"/>
                  <w:vAlign w:val="center"/>
                </w:tcPr>
                <w:p>
                  <w:pPr>
                    <w:pStyle w:val="a15"/>
                    <w:spacing w:line="240" w:lineRule="auto"/>
                    <w:rPr>
                      <w:rFonts w:ascii="Times New Roman" w:eastAsia="宋体" w:hAnsi="Times New Roman" w:cs="Times New Roman" w:hint="default"/>
                      <w:b/>
                      <w:color w:val="000000" w:themeColor="text1"/>
                      <w:sz w:val="21"/>
                      <w:szCs w:val="21"/>
                      <w:lang w:val="en-US" w:eastAsia="zh-CN"/>
                      <w14:textFill>
                        <w14:solidFill>
                          <w14:schemeClr w14:val="tx1"/>
                        </w14:solidFill>
                      </w14:textFill>
                    </w:rPr>
                  </w:pPr>
                  <w:r>
                    <w:rPr>
                      <w:rFonts w:ascii="Times New Roman" w:hAnsi="Times New Roman" w:cs="Times New Roman" w:hint="default"/>
                      <w:b/>
                      <w:color w:val="000000" w:themeColor="text1"/>
                      <w:sz w:val="21"/>
                      <w:szCs w:val="21"/>
                      <w:lang w:val="en-US" w:eastAsia="zh-CN"/>
                      <w14:textFill>
                        <w14:solidFill>
                          <w14:schemeClr w14:val="tx1"/>
                        </w14:solidFill>
                      </w14:textFill>
                    </w:rPr>
                    <w:t>浓度mg/m</w:t>
                  </w:r>
                  <w:r>
                    <w:rPr>
                      <w:rFonts w:ascii="Times New Roman" w:hAnsi="Times New Roman" w:cs="Times New Roman" w:hint="default"/>
                      <w:b/>
                      <w:color w:val="000000" w:themeColor="text1"/>
                      <w:sz w:val="21"/>
                      <w:szCs w:val="21"/>
                      <w:vertAlign w:val="superscript"/>
                      <w:lang w:val="en-US" w:eastAsia="zh-CN"/>
                      <w14:textFill>
                        <w14:solidFill>
                          <w14:schemeClr w14:val="tx1"/>
                        </w14:solidFill>
                      </w14:textFill>
                    </w:rPr>
                    <w:t>3</w:t>
                  </w:r>
                </w:p>
              </w:tc>
            </w:tr>
            <w:tr>
              <w:tblPrEx>
                <w:tblW w:w="8058" w:type="dxa"/>
                <w:jc w:val="center"/>
                <w:tblLayout w:type="fixed"/>
                <w:tblCellMar>
                  <w:top w:w="0" w:type="dxa"/>
                  <w:left w:w="108" w:type="dxa"/>
                  <w:bottom w:w="0" w:type="dxa"/>
                  <w:right w:w="108" w:type="dxa"/>
                </w:tblCellMar>
              </w:tblPrEx>
              <w:trPr>
                <w:trHeight w:hRule="exact" w:val="296"/>
                <w:jc w:val="center"/>
              </w:trPr>
              <w:tc>
                <w:tcPr>
                  <w:tcW w:w="1603" w:type="dxa"/>
                  <w:tcBorders>
                    <w:tl2br w:val="nil"/>
                    <w:tr2bl w:val="nil"/>
                  </w:tcBorders>
                  <w:noWrap w:val="0"/>
                  <w:vAlign w:val="center"/>
                </w:tcPr>
                <w:p>
                  <w:pPr>
                    <w:pStyle w:val="a15"/>
                    <w:spacing w:line="240" w:lineRule="auto"/>
                    <w:rPr>
                      <w:rFonts w:ascii="Times New Roman" w:hAnsi="Times New Roman" w:cs="Times New Roman" w:hint="default"/>
                      <w:color w:val="000000" w:themeColor="text1"/>
                      <w:sz w:val="2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颗粒物</w:t>
                  </w:r>
                </w:p>
              </w:tc>
              <w:tc>
                <w:tcPr>
                  <w:tcW w:w="4221" w:type="dxa"/>
                  <w:tcBorders>
                    <w:tl2br w:val="nil"/>
                    <w:tr2bl w:val="nil"/>
                  </w:tcBorders>
                  <w:noWrap w:val="0"/>
                  <w:vAlign w:val="center"/>
                </w:tcPr>
                <w:p>
                  <w:pPr>
                    <w:pStyle w:val="a15"/>
                    <w:spacing w:line="240" w:lineRule="auto"/>
                    <w:rPr>
                      <w:rFonts w:ascii="Times New Roman" w:hAnsi="Times New Roman" w:cs="Times New Roman" w:hint="default"/>
                      <w:color w:val="000000" w:themeColor="text1"/>
                      <w:sz w:val="21"/>
                      <w:szCs w:val="21"/>
                      <w14:textFill>
                        <w14:solidFill>
                          <w14:schemeClr w14:val="tx1"/>
                        </w14:solidFill>
                      </w14:textFill>
                    </w:rPr>
                  </w:pPr>
                  <w:r>
                    <w:rPr>
                      <w:rFonts w:ascii="Times New Roman" w:hAnsi="Times New Roman" w:cs="Times New Roman" w:hint="default"/>
                      <w:b w:val="0"/>
                      <w:bCs/>
                      <w:color w:val="000000" w:themeColor="text1"/>
                      <w:kern w:val="0"/>
                      <w:sz w:val="21"/>
                      <w:szCs w:val="21"/>
                      <w:lang w:val="en-US" w:eastAsia="zh-CN"/>
                      <w14:textFill>
                        <w14:solidFill>
                          <w14:schemeClr w14:val="tx1"/>
                        </w14:solidFill>
                      </w14:textFill>
                    </w:rPr>
                    <w:t>周界外浓度最高点</w:t>
                  </w:r>
                </w:p>
              </w:tc>
              <w:tc>
                <w:tcPr>
                  <w:tcW w:w="2234" w:type="dxa"/>
                  <w:tcBorders>
                    <w:tl2br w:val="nil"/>
                    <w:tr2bl w:val="nil"/>
                  </w:tcBorders>
                  <w:noWrap w:val="0"/>
                  <w:vAlign w:val="center"/>
                </w:tcPr>
                <w:p>
                  <w:pPr>
                    <w:pStyle w:val="a15"/>
                    <w:spacing w:line="240" w:lineRule="auto"/>
                    <w:rPr>
                      <w:rFonts w:ascii="Times New Roman" w:eastAsia="宋体" w:hAnsi="Times New Roman" w:cs="Times New Roman" w:hint="default"/>
                      <w:color w:val="000000" w:themeColor="text1"/>
                      <w:sz w:val="21"/>
                      <w:szCs w:val="21"/>
                      <w:lang w:val="en-US" w:eastAsia="zh-CN"/>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1.0</w:t>
                  </w:r>
                </w:p>
              </w:tc>
            </w:tr>
          </w:tbl>
          <w:p>
            <w:pPr>
              <w:ind w:firstLine="420" w:firstLineChars="200"/>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 周界外浓度最高点一般应设置於无组织排放源下风向的单位周界外10m范围内，若预计无组织排放的最大落地浓度点越出10m范围，可将监控点移至该预计浓度最高点。</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rightChars="0" w:firstLineChars="200"/>
              <w:jc w:val="both"/>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营运期</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rightChars="0" w:firstLineChars="200"/>
              <w:jc w:val="both"/>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①医院污水处理站废气</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rightChars="0" w:firstLineChars="200"/>
              <w:jc w:val="both"/>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项目运营期废气主要为污水处理设施废气。</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有</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组织废气</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有组织排放满足</w:t>
            </w:r>
            <w:r>
              <w:rPr>
                <w:rFonts w:ascii="Times New Roman" w:eastAsia="宋体" w:hAnsi="Times New Roman" w:cs="Times New Roman" w:hint="default"/>
                <w:b w:val="0"/>
                <w:bCs w:val="0"/>
                <w:color w:val="000000" w:themeColor="text1"/>
                <w:sz w:val="21"/>
                <w:szCs w:val="21"/>
                <w:highlight w:val="none"/>
                <w:lang w:val="en-US" w:eastAsia="zh-CN" w:bidi="ar-SA"/>
                <w14:textFill>
                  <w14:solidFill>
                    <w14:schemeClr w14:val="tx1"/>
                  </w14:solidFill>
                </w14:textFill>
              </w:rPr>
              <w:t>《恶臭污染物排放标准》（GB14554-93）表2恶臭污染物排放标准值</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场界</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无组织废气</w:t>
            </w:r>
            <w:r>
              <w:rPr>
                <w:rFonts w:ascii="Times New Roman" w:eastAsia="宋体" w:hAnsi="Times New Roman" w:cs="Times New Roman" w:hint="default"/>
                <w:color w:val="000000" w:themeColor="text1"/>
                <w:sz w:val="21"/>
                <w:szCs w:val="21"/>
                <w:highlight w:val="none"/>
                <w14:textFill>
                  <w14:solidFill>
                    <w14:schemeClr w14:val="tx1"/>
                  </w14:solidFill>
                </w14:textFill>
              </w:rPr>
              <w:t>执行</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医疗机构水污染物排放标准</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（GB18466-2005）“表3污水处理站周边大气污染物最高允许浓度”的要求</w:t>
            </w:r>
            <w:r>
              <w:rPr>
                <w:rFonts w:ascii="Times New Roman" w:eastAsia="宋体"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具体</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见下表</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p>
          <w:p>
            <w:pPr>
              <w:pStyle w:val="Caption"/>
              <w:keepNext/>
              <w:jc w:val="center"/>
              <w:rPr>
                <w:rFonts w:ascii="Times New Roman" w:eastAsia="宋体" w:hAnsi="Times New Roman" w:cs="Times New Roman" w:hint="default"/>
                <w:b/>
                <w:bCs w:val="0"/>
                <w:color w:val="000000" w:themeColor="text1"/>
                <w:sz w:val="21"/>
                <w:szCs w:val="21"/>
                <w:highlight w:val="no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14:textFill>
                  <w14:solidFill>
                    <w14:schemeClr w14:val="tx1"/>
                  </w14:solidFill>
                </w14:textFill>
              </w:rPr>
              <w:t>表</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 xml:space="preserve">3-8 </w:t>
            </w:r>
            <w:r>
              <w:rPr>
                <w:rFonts w:ascii="Times New Roman" w:eastAsia="宋体" w:hAnsi="Times New Roman" w:cs="Times New Roman" w:hint="default"/>
                <w:b/>
                <w:bCs w:val="0"/>
                <w:color w:val="000000" w:themeColor="text1"/>
                <w:sz w:val="21"/>
                <w:szCs w:val="21"/>
                <w:highlight w:val="none"/>
                <w:lang w:val="en-US" w:eastAsia="zh-CN" w:bidi="ar-SA"/>
                <w14:textFill>
                  <w14:solidFill>
                    <w14:schemeClr w14:val="tx1"/>
                  </w14:solidFill>
                </w14:textFill>
              </w:rPr>
              <w:t>恶臭污染物排放标准值</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（摘录）</w:t>
            </w:r>
          </w:p>
          <w:tbl>
            <w:tblPr>
              <w:tblStyle w:val="TableGrid10"/>
              <w:tblW w:w="9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19"/>
              <w:gridCol w:w="2388"/>
              <w:gridCol w:w="2546"/>
              <w:gridCol w:w="2548"/>
            </w:tblGrid>
            <w:tr>
              <w:tblPrEx>
                <w:tblW w:w="9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12"/>
                <w:jc w:val="center"/>
              </w:trPr>
              <w:tc>
                <w:tcPr>
                  <w:tcW w:w="2019"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序号</w:t>
                  </w:r>
                </w:p>
              </w:tc>
              <w:tc>
                <w:tcPr>
                  <w:tcW w:w="238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控制项目</w:t>
                  </w:r>
                </w:p>
              </w:tc>
              <w:tc>
                <w:tcPr>
                  <w:tcW w:w="254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val="en-US" w:eastAsia="zh-CN"/>
                      <w14:textFill>
                        <w14:solidFill>
                          <w14:schemeClr w14:val="tx1"/>
                        </w14:solidFill>
                      </w14:textFill>
                    </w:rPr>
                    <w:t>排气筒高度m</w:t>
                  </w:r>
                </w:p>
              </w:tc>
              <w:tc>
                <w:tcPr>
                  <w:tcW w:w="254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标准值（</w:t>
                  </w:r>
                  <w:r>
                    <w:rPr>
                      <w:rFonts w:ascii="Times New Roman" w:eastAsia="宋体" w:hAnsi="Times New Roman" w:cs="Times New Roman" w:hint="default"/>
                      <w:b/>
                      <w:bCs/>
                      <w:color w:val="000000" w:themeColor="text1"/>
                      <w:sz w:val="21"/>
                      <w:szCs w:val="21"/>
                      <w:highlight w:val="none"/>
                      <w:vertAlign w:val="baseline"/>
                      <w:lang w:val="en-US" w:eastAsia="zh-CN"/>
                      <w14:textFill>
                        <w14:solidFill>
                          <w14:schemeClr w14:val="tx1"/>
                        </w14:solidFill>
                      </w14:textFill>
                    </w:rPr>
                    <w:t>kg/h</w:t>
                  </w: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w:t>
                  </w:r>
                </w:p>
              </w:tc>
            </w:tr>
          </w:tbl>
          <w:p/>
        </w:tc>
      </w:tr>
    </w:tbl>
    <w:p>
      <w:pPr>
        <w:sectPr>
          <w:footerReference w:type="default" r:id="rId30"/>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1"/>
          <w:cols w:num="1" w:space="425"/>
          <w:titlePg w:val="0"/>
          <w:docGrid w:type="lines" w:linePitch="312" w:charSpace="0"/>
        </w:sectPr>
      </w:pP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3901"/>
        </w:trPr>
        <w:tc>
          <w:tcPr>
            <w:tcW w:w="436" w:type="dxa"/>
            <w:tcBorders>
              <w:top w:val="single" w:sz="4" w:space="0" w:color="auto"/>
              <w:left w:val="single" w:sz="6" w:space="0" w:color="auto"/>
              <w:bottom w:val="single" w:sz="6" w:space="0" w:color="auto"/>
              <w:right w:val="single" w:sz="6" w:space="0" w:color="auto"/>
            </w:tcBorders>
            <w:shd w:val="clear" w:color="auto" w:fill="auto"/>
            <w:tcMar>
              <w:left w:w="30" w:type="dxa"/>
              <w:right w:w="30" w:type="dxa"/>
            </w:tcMar>
            <w:vAlign w:val="center"/>
          </w:tcPr>
          <w:p/>
        </w:tc>
        <w:tc>
          <w:tcPr>
            <w:tcW w:w="9732" w:type="dxa"/>
            <w:tcBorders>
              <w:top w:val="single" w:sz="4" w:space="0" w:color="auto"/>
              <w:left w:val="nil"/>
              <w:bottom w:val="single" w:sz="6" w:space="0" w:color="auto"/>
              <w:right w:val="single" w:sz="6" w:space="0" w:color="auto"/>
            </w:tcBorders>
            <w:shd w:val="clear" w:color="auto" w:fill="auto"/>
            <w:tcMar>
              <w:left w:w="105" w:type="dxa"/>
              <w:right w:w="105" w:type="dxa"/>
            </w:tcMar>
            <w:vAlign w:val="center"/>
          </w:tcPr>
          <w:tbl>
            <w:tblPr>
              <w:tblStyle w:val="TableGrid11"/>
              <w:tblW w:w="9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19"/>
              <w:gridCol w:w="2388"/>
              <w:gridCol w:w="2546"/>
              <w:gridCol w:w="2548"/>
            </w:tblGrid>
            <w:tr>
              <w:tblPrEx>
                <w:tblW w:w="9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12"/>
                <w:jc w:val="center"/>
              </w:trPr>
              <w:tc>
                <w:tcPr>
                  <w:tcW w:w="2019"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1</w:t>
                  </w:r>
                </w:p>
              </w:tc>
              <w:tc>
                <w:tcPr>
                  <w:tcW w:w="238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氨（mg/m</w:t>
                  </w:r>
                  <w:r>
                    <w:rPr>
                      <w:rFonts w:ascii="Times New Roman" w:eastAsia="宋体" w:hAnsi="Times New Roman" w:cs="Times New Roman" w:hint="default"/>
                      <w:b w:val="0"/>
                      <w:bCs w:val="0"/>
                      <w:color w:val="000000" w:themeColor="text1"/>
                      <w:kern w:val="0"/>
                      <w:sz w:val="21"/>
                      <w:szCs w:val="21"/>
                      <w:highlight w:val="none"/>
                      <w:vertAlign w:val="superscript"/>
                      <w:lang w:val="en-US" w:eastAsia="zh-CN" w:bidi="ar-SA"/>
                      <w14:textFill>
                        <w14:solidFill>
                          <w14:schemeClr w14:val="tx1"/>
                        </w14:solidFill>
                      </w14:textFill>
                    </w:rPr>
                    <w:t>3</w:t>
                  </w: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w:t>
                  </w:r>
                </w:p>
              </w:tc>
              <w:tc>
                <w:tcPr>
                  <w:tcW w:w="254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40</w:t>
                  </w:r>
                </w:p>
              </w:tc>
              <w:tc>
                <w:tcPr>
                  <w:tcW w:w="254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35</w:t>
                  </w:r>
                </w:p>
              </w:tc>
            </w:tr>
            <w:tr>
              <w:tblPrEx>
                <w:tblW w:w="9501" w:type="dxa"/>
                <w:jc w:val="center"/>
                <w:tblLayout w:type="fixed"/>
                <w:tblCellMar>
                  <w:top w:w="0" w:type="dxa"/>
                  <w:left w:w="108" w:type="dxa"/>
                  <w:bottom w:w="0" w:type="dxa"/>
                  <w:right w:w="108" w:type="dxa"/>
                </w:tblCellMar>
              </w:tblPrEx>
              <w:trPr>
                <w:trHeight w:hRule="exact" w:val="312"/>
                <w:jc w:val="center"/>
              </w:trPr>
              <w:tc>
                <w:tcPr>
                  <w:tcW w:w="2019"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2</w:t>
                  </w:r>
                </w:p>
              </w:tc>
              <w:tc>
                <w:tcPr>
                  <w:tcW w:w="238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硫化氢（mg/m</w:t>
                  </w:r>
                  <w:r>
                    <w:rPr>
                      <w:rFonts w:ascii="Times New Roman" w:eastAsia="宋体" w:hAnsi="Times New Roman" w:cs="Times New Roman" w:hint="default"/>
                      <w:b w:val="0"/>
                      <w:bCs w:val="0"/>
                      <w:color w:val="000000" w:themeColor="text1"/>
                      <w:kern w:val="0"/>
                      <w:sz w:val="21"/>
                      <w:szCs w:val="21"/>
                      <w:highlight w:val="none"/>
                      <w:vertAlign w:val="superscript"/>
                      <w:lang w:val="en-US" w:eastAsia="zh-CN" w:bidi="ar-SA"/>
                      <w14:textFill>
                        <w14:solidFill>
                          <w14:schemeClr w14:val="tx1"/>
                        </w14:solidFill>
                      </w14:textFill>
                    </w:rPr>
                    <w:t>3</w:t>
                  </w: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w:t>
                  </w:r>
                </w:p>
              </w:tc>
              <w:tc>
                <w:tcPr>
                  <w:tcW w:w="2546" w:type="dxa"/>
                  <w:vMerge/>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254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2.3</w:t>
                  </w:r>
                </w:p>
              </w:tc>
            </w:tr>
            <w:tr>
              <w:tblPrEx>
                <w:tblW w:w="9501" w:type="dxa"/>
                <w:jc w:val="center"/>
                <w:tblLayout w:type="fixed"/>
                <w:tblCellMar>
                  <w:top w:w="0" w:type="dxa"/>
                  <w:left w:w="108" w:type="dxa"/>
                  <w:bottom w:w="0" w:type="dxa"/>
                  <w:right w:w="108" w:type="dxa"/>
                </w:tblCellMar>
              </w:tblPrEx>
              <w:trPr>
                <w:trHeight w:hRule="exact" w:val="312"/>
                <w:jc w:val="center"/>
              </w:trPr>
              <w:tc>
                <w:tcPr>
                  <w:tcW w:w="2019"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3</w:t>
                  </w:r>
                </w:p>
              </w:tc>
              <w:tc>
                <w:tcPr>
                  <w:tcW w:w="238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臭气浓度（无量纲）</w:t>
                  </w:r>
                </w:p>
              </w:tc>
              <w:tc>
                <w:tcPr>
                  <w:tcW w:w="2546" w:type="dxa"/>
                  <w:vMerge/>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2548"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20000（无量纲）</w:t>
                  </w:r>
                </w:p>
              </w:tc>
            </w:tr>
          </w:tbl>
          <w:p>
            <w:pPr>
              <w:pStyle w:val="Caption"/>
              <w:keepNext/>
              <w:jc w:val="center"/>
              <w:rPr>
                <w:rFonts w:ascii="Times New Roman" w:eastAsia="宋体" w:hAnsi="Times New Roman" w:cs="Times New Roman" w:hint="default"/>
                <w:b/>
                <w:color w:val="000000" w:themeColor="text1"/>
                <w:sz w:val="21"/>
                <w:szCs w:val="21"/>
                <w:highlight w:val="none"/>
                <w14:textFill>
                  <w14:solidFill>
                    <w14:schemeClr w14:val="tx1"/>
                  </w14:solidFill>
                </w14:textFill>
              </w:rPr>
            </w:pPr>
            <w:r>
              <w:rPr>
                <w:rFonts w:ascii="Times New Roman" w:eastAsia="宋体" w:hAnsi="Times New Roman" w:cs="Times New Roman" w:hint="default"/>
                <w:b/>
                <w:color w:val="000000" w:themeColor="text1"/>
                <w:sz w:val="21"/>
                <w:szCs w:val="21"/>
                <w:highlight w:val="none"/>
                <w14:textFill>
                  <w14:solidFill>
                    <w14:schemeClr w14:val="tx1"/>
                  </w14:solidFill>
                </w14:textFill>
              </w:rPr>
              <w:t>表</w:t>
            </w:r>
            <w:r>
              <w:rPr>
                <w:rFonts w:ascii="Times New Roman" w:eastAsia="宋体" w:hAnsi="Times New Roman" w:cs="Times New Roman" w:hint="default"/>
                <w:b/>
                <w:color w:val="000000" w:themeColor="text1"/>
                <w:sz w:val="21"/>
                <w:szCs w:val="21"/>
                <w:highlight w:val="none"/>
                <w:lang w:val="en-US" w:eastAsia="zh-CN"/>
                <w14:textFill>
                  <w14:solidFill>
                    <w14:schemeClr w14:val="tx1"/>
                  </w14:solidFill>
                </w14:textFill>
              </w:rPr>
              <w:t xml:space="preserve">3-9 </w:t>
            </w:r>
            <w:r>
              <w:rPr>
                <w:rFonts w:ascii="Times New Roman" w:eastAsia="宋体" w:hAnsi="Times New Roman" w:cs="Times New Roman" w:hint="default"/>
                <w:b/>
                <w:color w:val="000000" w:themeColor="text1"/>
                <w:sz w:val="21"/>
                <w:szCs w:val="21"/>
                <w:highlight w:val="none"/>
                <w14:textFill>
                  <w14:solidFill>
                    <w14:schemeClr w14:val="tx1"/>
                  </w14:solidFill>
                </w14:textFill>
              </w:rPr>
              <w:t>污水处理站周边大气污染物最高允许浓度</w:t>
            </w:r>
          </w:p>
          <w:tbl>
            <w:tblPr>
              <w:tblStyle w:val="TableGrid11"/>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24"/>
              <w:gridCol w:w="4786"/>
              <w:gridCol w:w="2700"/>
            </w:tblGrid>
            <w:tr>
              <w:tblPrEx>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12"/>
                <w:jc w:val="center"/>
              </w:trPr>
              <w:tc>
                <w:tcPr>
                  <w:tcW w:w="2024"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序号</w:t>
                  </w:r>
                </w:p>
              </w:tc>
              <w:tc>
                <w:tcPr>
                  <w:tcW w:w="478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控制项目</w:t>
                  </w:r>
                </w:p>
              </w:tc>
              <w:tc>
                <w:tcPr>
                  <w:tcW w:w="2700"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标准值</w:t>
                  </w:r>
                </w:p>
              </w:tc>
            </w:tr>
            <w:tr>
              <w:tblPrEx>
                <w:tblW w:w="9510" w:type="dxa"/>
                <w:jc w:val="center"/>
                <w:tblLayout w:type="fixed"/>
                <w:tblCellMar>
                  <w:top w:w="0" w:type="dxa"/>
                  <w:left w:w="108" w:type="dxa"/>
                  <w:bottom w:w="0" w:type="dxa"/>
                  <w:right w:w="108" w:type="dxa"/>
                </w:tblCellMar>
              </w:tblPrEx>
              <w:trPr>
                <w:trHeight w:hRule="exact" w:val="312"/>
                <w:jc w:val="center"/>
              </w:trPr>
              <w:tc>
                <w:tcPr>
                  <w:tcW w:w="2024"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1</w:t>
                  </w:r>
                </w:p>
              </w:tc>
              <w:tc>
                <w:tcPr>
                  <w:tcW w:w="478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氨（mg/m</w:t>
                  </w:r>
                  <w:r>
                    <w:rPr>
                      <w:rFonts w:ascii="Times New Roman" w:eastAsia="宋体" w:hAnsi="Times New Roman" w:cs="Times New Roman" w:hint="default"/>
                      <w:b w:val="0"/>
                      <w:bCs w:val="0"/>
                      <w:color w:val="000000" w:themeColor="text1"/>
                      <w:kern w:val="0"/>
                      <w:sz w:val="21"/>
                      <w:szCs w:val="21"/>
                      <w:highlight w:val="none"/>
                      <w:vertAlign w:val="superscript"/>
                      <w:lang w:val="en-US" w:eastAsia="zh-CN" w:bidi="ar-SA"/>
                      <w14:textFill>
                        <w14:solidFill>
                          <w14:schemeClr w14:val="tx1"/>
                        </w14:solidFill>
                      </w14:textFill>
                    </w:rPr>
                    <w:t>3</w:t>
                  </w: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w:t>
                  </w:r>
                </w:p>
              </w:tc>
              <w:tc>
                <w:tcPr>
                  <w:tcW w:w="2700"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1.0</w:t>
                  </w:r>
                </w:p>
              </w:tc>
            </w:tr>
            <w:tr>
              <w:tblPrEx>
                <w:tblW w:w="9510" w:type="dxa"/>
                <w:jc w:val="center"/>
                <w:tblLayout w:type="fixed"/>
                <w:tblCellMar>
                  <w:top w:w="0" w:type="dxa"/>
                  <w:left w:w="108" w:type="dxa"/>
                  <w:bottom w:w="0" w:type="dxa"/>
                  <w:right w:w="108" w:type="dxa"/>
                </w:tblCellMar>
              </w:tblPrEx>
              <w:trPr>
                <w:trHeight w:hRule="exact" w:val="312"/>
                <w:jc w:val="center"/>
              </w:trPr>
              <w:tc>
                <w:tcPr>
                  <w:tcW w:w="2024"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2</w:t>
                  </w:r>
                </w:p>
              </w:tc>
              <w:tc>
                <w:tcPr>
                  <w:tcW w:w="478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硫化氢（mg/m</w:t>
                  </w:r>
                  <w:r>
                    <w:rPr>
                      <w:rFonts w:ascii="Times New Roman" w:eastAsia="宋体" w:hAnsi="Times New Roman" w:cs="Times New Roman" w:hint="default"/>
                      <w:b w:val="0"/>
                      <w:bCs w:val="0"/>
                      <w:color w:val="000000" w:themeColor="text1"/>
                      <w:kern w:val="0"/>
                      <w:sz w:val="21"/>
                      <w:szCs w:val="21"/>
                      <w:highlight w:val="none"/>
                      <w:vertAlign w:val="superscript"/>
                      <w:lang w:val="en-US" w:eastAsia="zh-CN" w:bidi="ar-SA"/>
                      <w14:textFill>
                        <w14:solidFill>
                          <w14:schemeClr w14:val="tx1"/>
                        </w14:solidFill>
                      </w14:textFill>
                    </w:rPr>
                    <w:t>3</w:t>
                  </w: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w:t>
                  </w:r>
                </w:p>
              </w:tc>
              <w:tc>
                <w:tcPr>
                  <w:tcW w:w="2700"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0.03</w:t>
                  </w:r>
                </w:p>
              </w:tc>
            </w:tr>
            <w:tr>
              <w:tblPrEx>
                <w:tblW w:w="9510" w:type="dxa"/>
                <w:jc w:val="center"/>
                <w:tblLayout w:type="fixed"/>
                <w:tblCellMar>
                  <w:top w:w="0" w:type="dxa"/>
                  <w:left w:w="108" w:type="dxa"/>
                  <w:bottom w:w="0" w:type="dxa"/>
                  <w:right w:w="108" w:type="dxa"/>
                </w:tblCellMar>
              </w:tblPrEx>
              <w:trPr>
                <w:trHeight w:hRule="exact" w:val="312"/>
                <w:jc w:val="center"/>
              </w:trPr>
              <w:tc>
                <w:tcPr>
                  <w:tcW w:w="2024"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3</w:t>
                  </w:r>
                </w:p>
              </w:tc>
              <w:tc>
                <w:tcPr>
                  <w:tcW w:w="478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臭气浓度（无量纲）</w:t>
                  </w:r>
                </w:p>
              </w:tc>
              <w:tc>
                <w:tcPr>
                  <w:tcW w:w="2700"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10</w:t>
                  </w:r>
                </w:p>
              </w:tc>
            </w:tr>
            <w:tr>
              <w:tblPrEx>
                <w:tblW w:w="9510" w:type="dxa"/>
                <w:jc w:val="center"/>
                <w:tblLayout w:type="fixed"/>
                <w:tblCellMar>
                  <w:top w:w="0" w:type="dxa"/>
                  <w:left w:w="108" w:type="dxa"/>
                  <w:bottom w:w="0" w:type="dxa"/>
                  <w:right w:w="108" w:type="dxa"/>
                </w:tblCellMar>
              </w:tblPrEx>
              <w:trPr>
                <w:trHeight w:hRule="exact" w:val="312"/>
                <w:jc w:val="center"/>
              </w:trPr>
              <w:tc>
                <w:tcPr>
                  <w:tcW w:w="2024"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4</w:t>
                  </w:r>
                </w:p>
              </w:tc>
              <w:tc>
                <w:tcPr>
                  <w:tcW w:w="478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氯气</w:t>
                  </w: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（mg/m</w:t>
                  </w:r>
                  <w:r>
                    <w:rPr>
                      <w:rFonts w:ascii="Times New Roman" w:eastAsia="宋体" w:hAnsi="Times New Roman" w:cs="Times New Roman" w:hint="default"/>
                      <w:b w:val="0"/>
                      <w:bCs w:val="0"/>
                      <w:color w:val="000000" w:themeColor="text1"/>
                      <w:kern w:val="0"/>
                      <w:sz w:val="21"/>
                      <w:szCs w:val="21"/>
                      <w:highlight w:val="none"/>
                      <w:vertAlign w:val="superscript"/>
                      <w:lang w:val="en-US" w:eastAsia="zh-CN" w:bidi="ar-SA"/>
                      <w14:textFill>
                        <w14:solidFill>
                          <w14:schemeClr w14:val="tx1"/>
                        </w14:solidFill>
                      </w14:textFill>
                    </w:rPr>
                    <w:t>3</w:t>
                  </w:r>
                  <w:r>
                    <w:rPr>
                      <w:rFonts w:ascii="Times New Roman" w:eastAsia="宋体" w:hAnsi="Times New Roman" w:cs="Times New Roman" w:hint="default"/>
                      <w:b w:val="0"/>
                      <w:bCs w:val="0"/>
                      <w:color w:val="000000" w:themeColor="text1"/>
                      <w:kern w:val="0"/>
                      <w:sz w:val="21"/>
                      <w:szCs w:val="21"/>
                      <w:highlight w:val="none"/>
                      <w:lang w:val="en-US" w:eastAsia="zh-CN" w:bidi="ar-SA"/>
                      <w14:textFill>
                        <w14:solidFill>
                          <w14:schemeClr w14:val="tx1"/>
                        </w14:solidFill>
                      </w14:textFill>
                    </w:rPr>
                    <w:t>）</w:t>
                  </w:r>
                </w:p>
              </w:tc>
              <w:tc>
                <w:tcPr>
                  <w:tcW w:w="2700"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0.1</w:t>
                  </w:r>
                </w:p>
              </w:tc>
            </w:tr>
            <w:tr>
              <w:tblPrEx>
                <w:tblW w:w="9510" w:type="dxa"/>
                <w:jc w:val="center"/>
                <w:tblLayout w:type="fixed"/>
                <w:tblCellMar>
                  <w:top w:w="0" w:type="dxa"/>
                  <w:left w:w="108" w:type="dxa"/>
                  <w:bottom w:w="0" w:type="dxa"/>
                  <w:right w:w="108" w:type="dxa"/>
                </w:tblCellMar>
              </w:tblPrEx>
              <w:trPr>
                <w:trHeight w:hRule="exact" w:val="312"/>
                <w:jc w:val="center"/>
              </w:trPr>
              <w:tc>
                <w:tcPr>
                  <w:tcW w:w="2024"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5</w:t>
                  </w:r>
                </w:p>
              </w:tc>
              <w:tc>
                <w:tcPr>
                  <w:tcW w:w="4786"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甲烷（指处理站内最高体积百分数</w:t>
                  </w: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w:t>
                  </w: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w:t>
                  </w:r>
                </w:p>
              </w:tc>
              <w:tc>
                <w:tcPr>
                  <w:tcW w:w="2700" w:type="dxa"/>
                  <w:noWrap w:val="0"/>
                  <w:vAlign w:val="top"/>
                </w:tcPr>
                <w:p>
                  <w:pPr>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1%</w:t>
                  </w:r>
                </w:p>
              </w:tc>
            </w:tr>
          </w:tbl>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rightChars="0" w:firstLineChars="200"/>
              <w:jc w:val="left"/>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②柴油发电机废气</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leftChars="0" w:rightChars="0" w:firstLineChars="200"/>
              <w:jc w:val="both"/>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柴油发电机废气排放参照执行《大气污染物综合排放标准》（GB16297-1996）</w:t>
            </w:r>
            <w:r>
              <w:rPr>
                <w:rFonts w:ascii="Times New Roman" w:hAnsi="Times New Roman" w:cs="Times New Roman" w:hint="default"/>
                <w:color w:val="000000" w:themeColor="text1"/>
                <w:sz w:val="21"/>
                <w:szCs w:val="21"/>
                <w14:textFill>
                  <w14:solidFill>
                    <w14:schemeClr w14:val="tx1"/>
                  </w14:solidFill>
                </w14:textFill>
              </w:rPr>
              <w:t>表2新污染源大气污染物排放限值</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r>
              <w:rPr>
                <w:rFonts w:ascii="Times New Roman" w:eastAsia="宋体" w:hAnsi="Times New Roman" w:cs="Times New Roman" w:hint="default"/>
                <w:color w:val="000000" w:themeColor="text1"/>
                <w:kern w:val="2"/>
                <w:sz w:val="21"/>
                <w:szCs w:val="21"/>
                <w:highlight w:val="none"/>
                <w14:textFill>
                  <w14:solidFill>
                    <w14:schemeClr w14:val="tx1"/>
                  </w14:solidFill>
                </w14:textFill>
              </w:rPr>
              <w:t>具体见</w:t>
            </w:r>
            <w:r>
              <w:rPr>
                <w:rFonts w:ascii="Times New Roman" w:eastAsia="宋体" w:hAnsi="Times New Roman" w:cs="Times New Roman" w:hint="default"/>
                <w:color w:val="000000" w:themeColor="text1"/>
                <w:kern w:val="2"/>
                <w:sz w:val="21"/>
                <w:szCs w:val="21"/>
                <w:highlight w:val="none"/>
                <w:lang w:val="en-US" w:eastAsia="zh-CN"/>
                <w14:textFill>
                  <w14:solidFill>
                    <w14:schemeClr w14:val="tx1"/>
                  </w14:solidFill>
                </w14:textFill>
              </w:rPr>
              <w:t>下表</w:t>
            </w:r>
            <w:r>
              <w:rPr>
                <w:rFonts w:ascii="Times New Roman" w:eastAsia="宋体" w:hAnsi="Times New Roman" w:cs="Times New Roman" w:hint="default"/>
                <w:color w:val="000000" w:themeColor="text1"/>
                <w:kern w:val="2"/>
                <w:sz w:val="21"/>
                <w:szCs w:val="21"/>
                <w:highlight w:val="none"/>
                <w14:textFill>
                  <w14:solidFill>
                    <w14:schemeClr w14:val="tx1"/>
                  </w14:solidFill>
                </w14:textFill>
              </w:rPr>
              <w:t>。</w:t>
            </w:r>
          </w:p>
          <w:p>
            <w:pPr>
              <w:jc w:val="center"/>
              <w:rPr>
                <w:rFonts w:ascii="Times New Roman" w:eastAsia="宋体" w:hAnsi="Times New Roman" w:cs="Times New Roman" w:hint="default"/>
                <w:b/>
                <w:bCs/>
                <w:color w:val="000000" w:themeColor="text1"/>
                <w:szCs w:val="21"/>
                <w:highlight w:val="none"/>
                <w:vertAlign w:val="superscript"/>
                <w14:textFill>
                  <w14:solidFill>
                    <w14:schemeClr w14:val="tx1"/>
                  </w14:solidFill>
                </w14:textFill>
              </w:rPr>
            </w:pPr>
            <w:r>
              <w:rPr>
                <w:rFonts w:ascii="Times New Roman" w:eastAsia="宋体" w:hAnsi="Times New Roman" w:cs="Times New Roman" w:hint="default"/>
                <w:b/>
                <w:bCs/>
                <w:color w:val="000000" w:themeColor="text1"/>
                <w:kern w:val="2"/>
                <w:sz w:val="21"/>
                <w:szCs w:val="21"/>
                <w:highlight w:val="none"/>
                <w:lang w:val="en-US" w:eastAsia="zh-CN" w:bidi="ar-SA"/>
                <w14:textFill>
                  <w14:solidFill>
                    <w14:schemeClr w14:val="tx1"/>
                  </w14:solidFill>
                </w14:textFill>
              </w:rPr>
              <w:t xml:space="preserve">表3-10 新污染源大气污染物排放限值（摘录） </w:t>
            </w:r>
          </w:p>
          <w:tbl>
            <w:tblPr>
              <w:tblStyle w:val="TableNormal"/>
              <w:tblW w:w="9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93"/>
              <w:gridCol w:w="2728"/>
              <w:gridCol w:w="2549"/>
              <w:gridCol w:w="2648"/>
            </w:tblGrid>
            <w:tr>
              <w:tblPrEx>
                <w:tblW w:w="9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hRule="exact" w:val="296"/>
                <w:tblHeader/>
                <w:jc w:val="center"/>
              </w:trPr>
              <w:tc>
                <w:tcPr>
                  <w:tcW w:w="1493" w:type="dxa"/>
                  <w:vMerge w:val="restart"/>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污染物</w:t>
                  </w:r>
                </w:p>
              </w:tc>
              <w:tc>
                <w:tcPr>
                  <w:tcW w:w="2728" w:type="dxa"/>
                  <w:vMerge w:val="restart"/>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最高允许排放浓度mgm</w:t>
                  </w:r>
                  <w:r>
                    <w:rPr>
                      <w:rFonts w:ascii="Times New Roman" w:eastAsia="宋体" w:hAnsi="Times New Roman" w:cs="Times New Roman" w:hint="default"/>
                      <w:b/>
                      <w:bCs/>
                      <w:color w:val="000000" w:themeColor="text1"/>
                      <w:sz w:val="21"/>
                      <w:szCs w:val="21"/>
                      <w:highlight w:val="none"/>
                      <w:vertAlign w:val="superscript"/>
                      <w14:textFill>
                        <w14:solidFill>
                          <w14:schemeClr w14:val="tx1"/>
                        </w14:solidFill>
                      </w14:textFill>
                    </w:rPr>
                    <w:t>3</w:t>
                  </w:r>
                </w:p>
              </w:tc>
              <w:tc>
                <w:tcPr>
                  <w:tcW w:w="5197" w:type="dxa"/>
                  <w:gridSpan w:val="2"/>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最高允许排放速率，kg/h</w:t>
                  </w:r>
                </w:p>
              </w:tc>
            </w:tr>
            <w:tr>
              <w:tblPrEx>
                <w:tblW w:w="9418" w:type="dxa"/>
                <w:jc w:val="center"/>
                <w:tblLayout w:type="fixed"/>
                <w:tblCellMar>
                  <w:top w:w="0" w:type="dxa"/>
                  <w:left w:w="108" w:type="dxa"/>
                  <w:bottom w:w="0" w:type="dxa"/>
                  <w:right w:w="108" w:type="dxa"/>
                </w:tblCellMar>
              </w:tblPrEx>
              <w:trPr>
                <w:cantSplit/>
                <w:trHeight w:hRule="exact" w:val="296"/>
                <w:tblHeader/>
                <w:jc w:val="center"/>
              </w:trPr>
              <w:tc>
                <w:tcPr>
                  <w:tcW w:w="1493" w:type="dxa"/>
                  <w:vMerge/>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tc>
              <w:tc>
                <w:tcPr>
                  <w:tcW w:w="2728" w:type="dxa"/>
                  <w:vMerge/>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p>
              </w:tc>
              <w:tc>
                <w:tcPr>
                  <w:tcW w:w="2549"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排气筒高度m</w:t>
                  </w:r>
                </w:p>
              </w:tc>
              <w:tc>
                <w:tcPr>
                  <w:tcW w:w="264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eastAsia"/>
                      <w:b/>
                      <w:bCs/>
                      <w:color w:val="000000" w:themeColor="text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lang w:val="en-US" w:eastAsia="zh-CN"/>
                      <w14:textFill>
                        <w14:solidFill>
                          <w14:schemeClr w14:val="tx1"/>
                        </w14:solidFill>
                      </w14:textFill>
                    </w:rPr>
                    <w:t>二级</w:t>
                  </w:r>
                </w:p>
              </w:tc>
            </w:tr>
            <w:tr>
              <w:tblPrEx>
                <w:tblW w:w="9418" w:type="dxa"/>
                <w:jc w:val="center"/>
                <w:tblLayout w:type="fixed"/>
                <w:tblCellMar>
                  <w:top w:w="0" w:type="dxa"/>
                  <w:left w:w="108" w:type="dxa"/>
                  <w:bottom w:w="0" w:type="dxa"/>
                  <w:right w:w="108" w:type="dxa"/>
                </w:tblCellMar>
              </w:tblPrEx>
              <w:trPr>
                <w:cantSplit/>
                <w:trHeight w:hRule="exact" w:val="296"/>
                <w:jc w:val="center"/>
              </w:trPr>
              <w:tc>
                <w:tcPr>
                  <w:tcW w:w="1493"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eastAsia"/>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NO</w:t>
                  </w:r>
                  <w:r>
                    <w:rPr>
                      <w:rFonts w:ascii="Times New Roman" w:eastAsia="宋体" w:hAnsi="Times New Roman" w:cs="Times New Roman" w:hint="eastAsia"/>
                      <w:color w:val="000000" w:themeColor="text1"/>
                      <w:sz w:val="21"/>
                      <w:szCs w:val="21"/>
                      <w:highlight w:val="none"/>
                      <w:vertAlign w:val="subscript"/>
                      <w:lang w:val="en-US" w:eastAsia="zh-CN"/>
                      <w14:textFill>
                        <w14:solidFill>
                          <w14:schemeClr w14:val="tx1"/>
                        </w14:solidFill>
                      </w14:textFill>
                    </w:rPr>
                    <w:t>x</w:t>
                  </w:r>
                </w:p>
              </w:tc>
              <w:tc>
                <w:tcPr>
                  <w:tcW w:w="272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240</w:t>
                  </w:r>
                </w:p>
              </w:tc>
              <w:tc>
                <w:tcPr>
                  <w:tcW w:w="2549"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40</w:t>
                  </w:r>
                </w:p>
              </w:tc>
              <w:tc>
                <w:tcPr>
                  <w:tcW w:w="264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7.5</w:t>
                  </w:r>
                </w:p>
              </w:tc>
            </w:tr>
            <w:tr>
              <w:tblPrEx>
                <w:tblW w:w="9418" w:type="dxa"/>
                <w:jc w:val="center"/>
                <w:tblLayout w:type="fixed"/>
                <w:tblCellMar>
                  <w:top w:w="0" w:type="dxa"/>
                  <w:left w:w="108" w:type="dxa"/>
                  <w:bottom w:w="0" w:type="dxa"/>
                  <w:right w:w="108" w:type="dxa"/>
                </w:tblCellMar>
              </w:tblPrEx>
              <w:trPr>
                <w:cantSplit/>
                <w:trHeight w:hRule="exact" w:val="296"/>
                <w:jc w:val="center"/>
              </w:trPr>
              <w:tc>
                <w:tcPr>
                  <w:tcW w:w="1493"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SO</w:t>
                  </w:r>
                  <w:r>
                    <w:rPr>
                      <w:rFonts w:ascii="Times New Roman" w:eastAsia="宋体" w:hAnsi="Times New Roman" w:cs="Times New Roman" w:hint="default"/>
                      <w:color w:val="000000" w:themeColor="text1"/>
                      <w:sz w:val="21"/>
                      <w:szCs w:val="21"/>
                      <w:highlight w:val="none"/>
                      <w:vertAlign w:val="subscript"/>
                      <w14:textFill>
                        <w14:solidFill>
                          <w14:schemeClr w14:val="tx1"/>
                        </w14:solidFill>
                      </w14:textFill>
                    </w:rPr>
                    <w:t>2</w:t>
                  </w:r>
                </w:p>
              </w:tc>
              <w:tc>
                <w:tcPr>
                  <w:tcW w:w="272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550</w:t>
                  </w:r>
                </w:p>
              </w:tc>
              <w:tc>
                <w:tcPr>
                  <w:tcW w:w="2549"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40</w:t>
                  </w:r>
                </w:p>
              </w:tc>
              <w:tc>
                <w:tcPr>
                  <w:tcW w:w="264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25</w:t>
                  </w:r>
                </w:p>
              </w:tc>
            </w:tr>
            <w:tr>
              <w:tblPrEx>
                <w:tblW w:w="9418" w:type="dxa"/>
                <w:jc w:val="center"/>
                <w:tblLayout w:type="fixed"/>
                <w:tblCellMar>
                  <w:top w:w="0" w:type="dxa"/>
                  <w:left w:w="108" w:type="dxa"/>
                  <w:bottom w:w="0" w:type="dxa"/>
                  <w:right w:w="108" w:type="dxa"/>
                </w:tblCellMar>
              </w:tblPrEx>
              <w:trPr>
                <w:cantSplit/>
                <w:trHeight w:hRule="exact" w:val="316"/>
                <w:jc w:val="center"/>
              </w:trPr>
              <w:tc>
                <w:tcPr>
                  <w:tcW w:w="1493"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颗粒物</w:t>
                  </w:r>
                </w:p>
              </w:tc>
              <w:tc>
                <w:tcPr>
                  <w:tcW w:w="272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120</w:t>
                  </w:r>
                </w:p>
              </w:tc>
              <w:tc>
                <w:tcPr>
                  <w:tcW w:w="2549"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40</w:t>
                  </w:r>
                </w:p>
              </w:tc>
              <w:tc>
                <w:tcPr>
                  <w:tcW w:w="2648" w:type="dxa"/>
                  <w:tcBorders>
                    <w:tl2br w:val="nil"/>
                    <w:tr2bl w:val="nil"/>
                  </w:tcBorders>
                  <w:noWrap w:val="0"/>
                  <w:vAlign w:val="center"/>
                </w:tcPr>
                <w:p>
                  <w:pPr>
                    <w:spacing w:line="240" w:lineRule="auto"/>
                    <w:ind w:left="0" w:firstLine="0" w:leftChars="0" w:firstLineChars="0"/>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5.8</w:t>
                  </w:r>
                </w:p>
              </w:tc>
            </w:tr>
          </w:tbl>
          <w:p>
            <w:pPr>
              <w:keepNext w:val="0"/>
              <w:keepLines w:val="0"/>
              <w:pageBreakBefore w:val="0"/>
              <w:widowControl w:val="0"/>
              <w:kinsoku/>
              <w:wordWrap/>
              <w:overflowPunct/>
              <w:topLinePunct w:val="0"/>
              <w:autoSpaceDE/>
              <w:autoSpaceDN/>
              <w:bidi w:val="0"/>
              <w:adjustRightInd/>
              <w:snapToGrid/>
              <w:spacing w:line="280" w:lineRule="exact"/>
              <w:ind w:left="0" w:right="0" w:firstLine="420" w:leftChars="0" w:rightChars="0" w:firstLineChars="200"/>
              <w:jc w:val="both"/>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 周界外浓度最高点一般应设置於无组织排放源下风向的单位周界外10m范围内，若预计无组织排放的最大落地浓度点越出10m范围，可将监控点移至该预计浓度最高点。</w:t>
            </w:r>
          </w:p>
          <w:p>
            <w:pPr>
              <w:keepNext w:val="0"/>
              <w:keepLines w:val="0"/>
              <w:pageBreakBefore w:val="0"/>
              <w:widowControl w:val="0"/>
              <w:numPr>
                <w:ilvl w:val="0"/>
                <w:numId w:val="0"/>
              </w:numPr>
              <w:tabs>
                <w:tab w:val="left" w:pos="612"/>
              </w:tabs>
              <w:kinsoku/>
              <w:wordWrap/>
              <w:overflowPunct/>
              <w:topLinePunct w:val="0"/>
              <w:autoSpaceDE w:val="0"/>
              <w:autoSpaceDN w:val="0"/>
              <w:bidi w:val="0"/>
              <w:adjustRightInd w:val="0"/>
              <w:snapToGrid/>
              <w:spacing w:line="360" w:lineRule="auto"/>
              <w:ind w:right="0" w:firstLine="420" w:rightChars="0" w:firstLineChars="200"/>
              <w:jc w:val="left"/>
              <w:textAlignment w:val="auto"/>
              <w:outlineLvl w:val="9"/>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2、废水排放标准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（1）施工期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生活污水经三级化粪池预处理后排入商品街十巷市政污水管网，最终进入三亚市红沙污水处理厂处理处理。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（2）营运期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项目</w:t>
            </w: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医院内生活污水及医疗废水经三级化粪池处理后经</w:t>
            </w:r>
            <w:r>
              <w:rPr>
                <w:rFonts w:ascii="Times New Roman" w:hAnsi="Times New Roman" w:cs="Times New Roman" w:hint="default"/>
                <w:color w:val="000000" w:themeColor="text1"/>
                <w:sz w:val="21"/>
                <w:szCs w:val="21"/>
                <w14:textFill>
                  <w14:solidFill>
                    <w14:schemeClr w14:val="tx1"/>
                  </w14:solidFill>
                </w14:textFill>
              </w:rPr>
              <w:t>“</w:t>
            </w:r>
            <w:r>
              <w:rPr>
                <w:rFonts w:ascii="Times New Roman" w:hAnsi="Times New Roman" w:cs="Times New Roman" w:hint="default"/>
                <w:color w:val="000000" w:themeColor="text1"/>
                <w:sz w:val="21"/>
                <w:szCs w:val="21"/>
                <w:lang w:val="en-US" w:eastAsia="zh-CN"/>
                <w14:textFill>
                  <w14:solidFill>
                    <w14:schemeClr w14:val="tx1"/>
                  </w14:solidFill>
                </w14:textFill>
              </w:rPr>
              <w:t>人工筛网+调节池、缺氧池+接触氧化池+混凝沉淀+消毒工艺</w:t>
            </w:r>
            <w:r>
              <w:rPr>
                <w:rFonts w:ascii="Times New Roman" w:hAnsi="Times New Roman" w:cs="Times New Roman" w:hint="default"/>
                <w:color w:val="000000" w:themeColor="text1"/>
                <w:sz w:val="21"/>
                <w:szCs w:val="21"/>
                <w14:textFill>
                  <w14:solidFill>
                    <w14:schemeClr w14:val="tx1"/>
                  </w14:solidFill>
                </w14:textFill>
              </w:rPr>
              <w:t>”</w:t>
            </w:r>
            <w:r>
              <w:rPr>
                <w:rFonts w:ascii="Times New Roman" w:hAnsi="Times New Roman" w:cs="Times New Roman" w:hint="default"/>
                <w:color w:val="000000" w:themeColor="text1"/>
                <w:sz w:val="21"/>
                <w:szCs w:val="21"/>
                <w:lang w:val="en-US" w:eastAsia="zh-CN"/>
                <w14:textFill>
                  <w14:solidFill>
                    <w14:schemeClr w14:val="tx1"/>
                  </w14:solidFill>
                </w14:textFill>
              </w:rPr>
              <w:t>处理满足《医疗机构水污染物排放标准》（GB18466-2005）表2中“预处理标准”、《污水排入城镇下水道水质标准》（GB/T31962-2015）中的 B 级标准两者中较严标准后</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接入</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商品街十巷</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市政污水管网，最终排往三亚市红沙污水处理厂深度处理，</w:t>
            </w:r>
            <w:r>
              <w:rPr>
                <w:rFonts w:ascii="Times New Roman" w:eastAsia="宋体" w:hAnsi="Times New Roman" w:cs="Times New Roman" w:hint="default"/>
                <w:color w:val="000000" w:themeColor="text1"/>
                <w:kern w:val="0"/>
                <w:sz w:val="21"/>
                <w:szCs w:val="21"/>
                <w:highlight w:val="none"/>
                <w:lang w:val="en-US" w:eastAsia="zh-CN"/>
                <w14:textFill>
                  <w14:solidFill>
                    <w14:schemeClr w14:val="tx1"/>
                  </w14:solidFill>
                </w14:textFill>
              </w:rPr>
              <w:t>详</w:t>
            </w: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见下表。</w:t>
            </w:r>
          </w:p>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表3-</w:t>
            </w:r>
            <w:r>
              <w:rPr>
                <w:rFonts w:ascii="Times New Roman" w:hAnsi="Times New Roman" w:cs="Times New Roman" w:hint="default"/>
                <w:b/>
                <w:bCs/>
                <w:color w:val="000000" w:themeColor="text1"/>
                <w:sz w:val="21"/>
                <w:szCs w:val="21"/>
                <w:lang w:val="en-US" w:eastAsia="zh-CN"/>
                <w14:textFill>
                  <w14:solidFill>
                    <w14:schemeClr w14:val="tx1"/>
                  </w14:solidFill>
                </w14:textFill>
              </w:rPr>
              <w:t>11</w:t>
            </w:r>
            <w:r>
              <w:rPr>
                <w:rFonts w:ascii="Times New Roman" w:hAnsi="Times New Roman" w:cs="Times New Roman" w:hint="default"/>
                <w:b/>
                <w:bCs/>
                <w:color w:val="000000" w:themeColor="text1"/>
                <w:sz w:val="21"/>
                <w:szCs w:val="21"/>
                <w14:textFill>
                  <w14:solidFill>
                    <w14:schemeClr w14:val="tx1"/>
                  </w14:solidFill>
                </w14:textFill>
              </w:rPr>
              <w:t xml:space="preserve"> </w:t>
            </w:r>
            <w:r>
              <w:rPr>
                <w:rFonts w:ascii="Times New Roman" w:hAnsi="Times New Roman" w:cs="Times New Roman" w:hint="default"/>
                <w:b/>
                <w:bCs/>
                <w:color w:val="000000" w:themeColor="text1"/>
                <w:sz w:val="21"/>
                <w:szCs w:val="21"/>
                <w:lang w:val="en-US" w:eastAsia="zh-CN"/>
                <w14:textFill>
                  <w14:solidFill>
                    <w14:schemeClr w14:val="tx1"/>
                  </w14:solidFill>
                </w14:textFill>
              </w:rPr>
              <w:t>医疗废水</w:t>
            </w:r>
            <w:r>
              <w:rPr>
                <w:rFonts w:ascii="Times New Roman" w:hAnsi="Times New Roman" w:cs="Times New Roman" w:hint="default"/>
                <w:b/>
                <w:bCs/>
                <w:color w:val="000000" w:themeColor="text1"/>
                <w:sz w:val="21"/>
                <w:szCs w:val="21"/>
                <w14:textFill>
                  <w14:solidFill>
                    <w14:schemeClr w14:val="tx1"/>
                  </w14:solidFill>
                </w14:textFill>
              </w:rPr>
              <w:t>污染物</w:t>
            </w:r>
            <w:r>
              <w:rPr>
                <w:rFonts w:ascii="Times New Roman" w:hAnsi="Times New Roman" w:cs="Times New Roman" w:hint="default"/>
                <w:b/>
                <w:bCs/>
                <w:color w:val="000000" w:themeColor="text1"/>
                <w:sz w:val="21"/>
                <w:szCs w:val="21"/>
                <w:lang w:val="en-US" w:eastAsia="zh-CN"/>
                <w14:textFill>
                  <w14:solidFill>
                    <w14:schemeClr w14:val="tx1"/>
                  </w14:solidFill>
                </w14:textFill>
              </w:rPr>
              <w:t>执行标准</w:t>
            </w:r>
            <w:r>
              <w:rPr>
                <w:rFonts w:ascii="Times New Roman" w:hAnsi="Times New Roman" w:cs="Times New Roman" w:hint="default"/>
                <w:b/>
                <w:bCs/>
                <w:color w:val="000000" w:themeColor="text1"/>
                <w:sz w:val="21"/>
                <w:szCs w:val="21"/>
                <w14:textFill>
                  <w14:solidFill>
                    <w14:schemeClr w14:val="tx1"/>
                  </w14:solidFill>
                </w14:textFill>
              </w:rPr>
              <w:t xml:space="preserve"> 单位：mg/L（pH值除外）</w:t>
            </w:r>
          </w:p>
          <w:tbl>
            <w:tblPr>
              <w:tblStyle w:val="TableNormal"/>
              <w:tblW w:w="947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26"/>
              <w:gridCol w:w="3006"/>
              <w:gridCol w:w="2048"/>
              <w:gridCol w:w="2048"/>
              <w:gridCol w:w="1050"/>
            </w:tblGrid>
            <w:tr>
              <w:tblPrEx>
                <w:tblW w:w="947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94"/>
              </w:trPr>
              <w:tc>
                <w:tcPr>
                  <w:tcW w:w="1326" w:type="dxa"/>
                  <w:vMerge w:val="restart"/>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序号</w:t>
                  </w:r>
                </w:p>
              </w:tc>
              <w:tc>
                <w:tcPr>
                  <w:tcW w:w="3006" w:type="dxa"/>
                  <w:vMerge w:val="restart"/>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污染物</w:t>
                  </w:r>
                </w:p>
              </w:tc>
              <w:tc>
                <w:tcPr>
                  <w:tcW w:w="2048" w:type="dxa"/>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kern w:val="0"/>
                      <w:sz w:val="21"/>
                      <w:szCs w:val="21"/>
                      <w:lang w:val="en-US" w:eastAsia="zh-CN"/>
                      <w14:textFill>
                        <w14:solidFill>
                          <w14:schemeClr w14:val="tx1"/>
                        </w14:solidFill>
                      </w14:textFill>
                    </w:rPr>
                    <w:t>医院</w:t>
                  </w:r>
                  <w:r>
                    <w:rPr>
                      <w:rFonts w:ascii="Times New Roman" w:hAnsi="Times New Roman" w:cs="Times New Roman" w:hint="default"/>
                      <w:b/>
                      <w:bCs/>
                      <w:color w:val="000000" w:themeColor="text1"/>
                      <w:kern w:val="0"/>
                      <w:sz w:val="21"/>
                      <w:szCs w:val="21"/>
                      <w14:textFill>
                        <w14:solidFill>
                          <w14:schemeClr w14:val="tx1"/>
                        </w14:solidFill>
                      </w14:textFill>
                    </w:rPr>
                    <w:t>废水出水水质执行</w:t>
                  </w:r>
                </w:p>
              </w:tc>
              <w:tc>
                <w:tcPr>
                  <w:tcW w:w="2048" w:type="dxa"/>
                  <w:noWrap w:val="0"/>
                  <w:vAlign w:val="center"/>
                </w:tcPr>
                <w:p>
                  <w:pPr>
                    <w:adjustRightInd w:val="0"/>
                    <w:snapToGrid w:val="0"/>
                    <w:jc w:val="center"/>
                    <w:rPr>
                      <w:rFonts w:ascii="Times New Roman" w:hAnsi="Times New Roman" w:cs="Times New Roman" w:hint="default"/>
                      <w:b/>
                      <w:bCs/>
                      <w:color w:val="000000" w:themeColor="text1"/>
                      <w:kern w:val="0"/>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污水排入城镇下水道水质标准</w:t>
                  </w:r>
                </w:p>
              </w:tc>
              <w:tc>
                <w:tcPr>
                  <w:tcW w:w="1050" w:type="dxa"/>
                  <w:vMerge w:val="restart"/>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本项目</w:t>
                  </w:r>
                </w:p>
              </w:tc>
            </w:tr>
            <w:tr>
              <w:tblPrEx>
                <w:tblW w:w="9478" w:type="dxa"/>
                <w:tblInd w:w="0" w:type="dxa"/>
                <w:tblLayout w:type="fixed"/>
                <w:tblCellMar>
                  <w:top w:w="0" w:type="dxa"/>
                  <w:left w:w="108" w:type="dxa"/>
                  <w:bottom w:w="0" w:type="dxa"/>
                  <w:right w:w="108" w:type="dxa"/>
                </w:tblCellMar>
              </w:tblPrEx>
              <w:trPr>
                <w:trHeight w:val="90"/>
              </w:trPr>
              <w:tc>
                <w:tcPr>
                  <w:tcW w:w="1326" w:type="dxa"/>
                  <w:vMerge/>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p>
              </w:tc>
              <w:tc>
                <w:tcPr>
                  <w:tcW w:w="3006" w:type="dxa"/>
                  <w:vMerge/>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p>
              </w:tc>
              <w:tc>
                <w:tcPr>
                  <w:tcW w:w="2048" w:type="dxa"/>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14:textFill>
                        <w14:solidFill>
                          <w14:schemeClr w14:val="tx1"/>
                        </w14:solidFill>
                      </w14:textFill>
                    </w:rPr>
                    <w:t>排放限值</w:t>
                  </w:r>
                </w:p>
              </w:tc>
              <w:tc>
                <w:tcPr>
                  <w:tcW w:w="2048" w:type="dxa"/>
                  <w:noWrap w:val="0"/>
                  <w:vAlign w:val="center"/>
                </w:tcPr>
                <w:p>
                  <w:pPr>
                    <w:adjustRightInd w:val="0"/>
                    <w:snapToGrid w:val="0"/>
                    <w:jc w:val="center"/>
                    <w:rPr>
                      <w:rFonts w:ascii="Times New Roman" w:eastAsia="宋体" w:hAnsi="Times New Roman" w:cs="Times New Roman" w:hint="default"/>
                      <w:b/>
                      <w:bCs/>
                      <w:color w:val="000000" w:themeColor="text1"/>
                      <w:szCs w:val="21"/>
                      <w14:textFill>
                        <w14:solidFill>
                          <w14:schemeClr w14:val="tx1"/>
                        </w14:solidFill>
                      </w14:textFill>
                    </w:rPr>
                  </w:pPr>
                  <w:r>
                    <w:rPr>
                      <w:rFonts w:ascii="Times New Roman" w:hAnsi="Times New Roman" w:cs="Times New Roman" w:hint="default"/>
                      <w:b/>
                      <w:bCs/>
                      <w:color w:val="000000" w:themeColor="text1"/>
                      <w:sz w:val="21"/>
                      <w:szCs w:val="21"/>
                      <w:lang w:val="en-US" w:eastAsia="zh-CN"/>
                      <w14:textFill>
                        <w14:solidFill>
                          <w14:schemeClr w14:val="tx1"/>
                        </w14:solidFill>
                      </w14:textFill>
                    </w:rPr>
                    <w:t>排放限值</w:t>
                  </w:r>
                </w:p>
              </w:tc>
              <w:tc>
                <w:tcPr>
                  <w:tcW w:w="1050" w:type="dxa"/>
                  <w:vMerge/>
                  <w:noWrap w:val="0"/>
                  <w:vAlign w:val="center"/>
                </w:tcPr>
                <w:p>
                  <w:pPr>
                    <w:adjustRightInd w:val="0"/>
                    <w:snapToGrid w:val="0"/>
                    <w:jc w:val="center"/>
                    <w:rPr>
                      <w:rFonts w:ascii="Times New Roman" w:hAnsi="Times New Roman" w:cs="Times New Roman" w:hint="default"/>
                      <w:b/>
                      <w:bCs/>
                      <w:color w:val="000000" w:themeColor="text1"/>
                      <w:szCs w:val="21"/>
                      <w14:textFill>
                        <w14:solidFill>
                          <w14:schemeClr w14:val="tx1"/>
                        </w14:solidFill>
                      </w14:textFill>
                    </w:rPr>
                  </w:pP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粪大肠菌群/（MPN/L）</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5000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5000</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pH</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6-9</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6.5-9.5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6-9</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3</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化学需氧量</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250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500</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250</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4</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生化需氧量</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100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350</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100</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5</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悬浮物</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60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400</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60</w:t>
                  </w:r>
                </w:p>
              </w:tc>
            </w:tr>
          </w:tbl>
          <w:p/>
        </w:tc>
      </w:tr>
    </w:tbl>
    <w:p>
      <w:pPr>
        <w:sectPr>
          <w:footerReference w:type="default" r:id="rId31"/>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2"/>
          <w:cols w:num="1" w:space="425"/>
          <w:titlePg w:val="0"/>
          <w:docGrid w:type="lines" w:linePitch="312" w:charSpace="0"/>
        </w:sectPr>
      </w:pP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3901"/>
        </w:trPr>
        <w:tc>
          <w:tcPr>
            <w:tcW w:w="436" w:type="dxa"/>
            <w:tcBorders>
              <w:top w:val="single" w:sz="4" w:space="0" w:color="auto"/>
              <w:left w:val="single" w:sz="6" w:space="0" w:color="auto"/>
              <w:bottom w:val="single" w:sz="6" w:space="0" w:color="auto"/>
              <w:right w:val="single" w:sz="6" w:space="0" w:color="auto"/>
            </w:tcBorders>
            <w:shd w:val="clear" w:color="auto" w:fill="auto"/>
            <w:tcMar>
              <w:left w:w="30" w:type="dxa"/>
              <w:right w:w="30" w:type="dxa"/>
            </w:tcMar>
            <w:vAlign w:val="center"/>
          </w:tcPr>
          <w:p/>
        </w:tc>
        <w:tc>
          <w:tcPr>
            <w:tcW w:w="9732" w:type="dxa"/>
            <w:tcBorders>
              <w:top w:val="single" w:sz="4" w:space="0" w:color="auto"/>
              <w:left w:val="nil"/>
              <w:bottom w:val="single" w:sz="6" w:space="0" w:color="auto"/>
              <w:right w:val="single" w:sz="6" w:space="0" w:color="auto"/>
            </w:tcBorders>
            <w:shd w:val="clear" w:color="auto" w:fill="auto"/>
            <w:tcMar>
              <w:left w:w="105" w:type="dxa"/>
              <w:right w:w="105" w:type="dxa"/>
            </w:tcMar>
            <w:vAlign w:val="center"/>
          </w:tcPr>
          <w:tbl>
            <w:tblPr>
              <w:tblStyle w:val="TableNormal"/>
              <w:tblW w:w="947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26"/>
              <w:gridCol w:w="3006"/>
              <w:gridCol w:w="2048"/>
              <w:gridCol w:w="2048"/>
              <w:gridCol w:w="1050"/>
            </w:tblGrid>
            <w:tr>
              <w:tblPrEx>
                <w:tblW w:w="947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6</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动植物油</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100</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20</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7</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石油类</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8</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阴离子表面活性剂</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20</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10</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9</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挥发酚</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1</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10</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总氰化物</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0.5</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11</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总汞</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0.05</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0.005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0.005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12</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总镉</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0.1</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13</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总铬</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1.5</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14</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六价铬</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0.5</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15</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总砷</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0.5</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0.3</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0.3</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16</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总铅</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1.0</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17</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总银</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0.5</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0.5</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18</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总余氯</w:t>
                  </w:r>
                  <w:r>
                    <w:rPr>
                      <w:rFonts w:ascii="Times New Roman" w:hAnsi="Times New Roman" w:cs="Times New Roman" w:hint="default"/>
                      <w:color w:val="000000" w:themeColor="text1"/>
                      <w:sz w:val="21"/>
                      <w:szCs w:val="21"/>
                      <w:vertAlign w:val="superscript"/>
                      <w14:textFill>
                        <w14:solidFill>
                          <w14:schemeClr w14:val="tx1"/>
                        </w14:solidFill>
                      </w14:textFill>
                    </w:rPr>
                    <w:t>1）， 2）</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8</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8</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19</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肠道致病菌</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w:t>
                  </w:r>
                </w:p>
              </w:tc>
              <w:tc>
                <w:tcPr>
                  <w:tcW w:w="105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20</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肠道病毒</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w:t>
                  </w:r>
                </w:p>
              </w:tc>
              <w:tc>
                <w:tcPr>
                  <w:tcW w:w="2048"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w:t>
                  </w:r>
                </w:p>
              </w:tc>
              <w:tc>
                <w:tcPr>
                  <w:tcW w:w="1050"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21</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氨氮</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45</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40</w:t>
                  </w:r>
                </w:p>
              </w:tc>
            </w:tr>
            <w:tr>
              <w:tblPrEx>
                <w:tblW w:w="9478" w:type="dxa"/>
                <w:tblInd w:w="0" w:type="dxa"/>
                <w:tblLayout w:type="fixed"/>
                <w:tblCellMar>
                  <w:top w:w="0" w:type="dxa"/>
                  <w:left w:w="108" w:type="dxa"/>
                  <w:bottom w:w="0" w:type="dxa"/>
                  <w:right w:w="108" w:type="dxa"/>
                </w:tblCellMar>
              </w:tblPrEx>
              <w:trPr>
                <w:trHeight w:val="90"/>
              </w:trPr>
              <w:tc>
                <w:tcPr>
                  <w:tcW w:w="132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22</w:t>
                  </w:r>
                </w:p>
              </w:tc>
              <w:tc>
                <w:tcPr>
                  <w:tcW w:w="3006" w:type="dxa"/>
                  <w:noWrap w:val="0"/>
                  <w:vAlign w:val="center"/>
                </w:tcPr>
                <w:p>
                  <w:pPr>
                    <w:jc w:val="center"/>
                    <w:rPr>
                      <w:rFonts w:ascii="Times New Roman"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14:textFill>
                        <w14:solidFill>
                          <w14:schemeClr w14:val="tx1"/>
                        </w14:solidFill>
                      </w14:textFill>
                    </w:rPr>
                    <w:t>色度</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w:t>
                  </w:r>
                </w:p>
              </w:tc>
              <w:tc>
                <w:tcPr>
                  <w:tcW w:w="2048"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60</w:t>
                  </w:r>
                </w:p>
              </w:tc>
              <w:tc>
                <w:tcPr>
                  <w:tcW w:w="1050" w:type="dxa"/>
                  <w:noWrap w:val="0"/>
                  <w:vAlign w:val="center"/>
                </w:tcPr>
                <w:p>
                  <w:pPr>
                    <w:jc w:val="center"/>
                    <w:rPr>
                      <w:rFonts w:ascii="Times New Roman" w:eastAsia="宋体" w:hAnsi="Times New Roman" w:cs="Times New Roman" w:hint="default"/>
                      <w:color w:val="000000" w:themeColor="text1"/>
                      <w:szCs w:val="21"/>
                      <w14:textFill>
                        <w14:solidFill>
                          <w14:schemeClr w14:val="tx1"/>
                        </w14:solidFill>
                      </w14:textFill>
                    </w:rPr>
                  </w:pPr>
                  <w:r>
                    <w:rPr>
                      <w:rFonts w:ascii="Times New Roman" w:hAnsi="Times New Roman" w:cs="Times New Roman" w:hint="default"/>
                      <w:color w:val="000000" w:themeColor="text1"/>
                      <w:sz w:val="21"/>
                      <w:szCs w:val="21"/>
                      <w:lang w:val="en-US" w:eastAsia="zh-CN"/>
                      <w14:textFill>
                        <w14:solidFill>
                          <w14:schemeClr w14:val="tx1"/>
                        </w14:solidFill>
                      </w14:textFill>
                    </w:rPr>
                    <w:t>60</w:t>
                  </w:r>
                </w:p>
              </w:tc>
            </w:tr>
          </w:tbl>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firstLine="420" w:rightChars="0" w:firstLineChars="200"/>
              <w:jc w:val="left"/>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3、噪声排放标准</w:t>
            </w:r>
          </w:p>
          <w:p>
            <w:pPr>
              <w:keepNext w:val="0"/>
              <w:keepLines w:val="0"/>
              <w:pageBreakBefore w:val="0"/>
              <w:widowControl w:val="0"/>
              <w:kinsoku/>
              <w:wordWrap/>
              <w:overflowPunct/>
              <w:topLinePunct w:val="0"/>
              <w:bidi w:val="0"/>
              <w:snapToGrid/>
              <w:spacing w:line="360" w:lineRule="auto"/>
              <w:ind w:right="0" w:firstLine="420" w:rightChars="0" w:firstLineChars="200"/>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施工期</w:t>
            </w:r>
          </w:p>
          <w:p>
            <w:pPr>
              <w:keepNext w:val="0"/>
              <w:keepLines w:val="0"/>
              <w:pageBreakBefore w:val="0"/>
              <w:widowControl w:val="0"/>
              <w:kinsoku/>
              <w:wordWrap/>
              <w:overflowPunct/>
              <w:topLinePunct w:val="0"/>
              <w:bidi w:val="0"/>
              <w:snapToGrid/>
              <w:spacing w:line="360" w:lineRule="auto"/>
              <w:ind w:right="0" w:firstLine="420" w:rightChars="0" w:firstLineChars="200"/>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采用《建筑施工场界环境噪声排放标准》（GB12523-2011）标准，见</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下表</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p>
            <w:pPr>
              <w:pStyle w:val="Caption"/>
              <w:keepNext/>
              <w:jc w:val="center"/>
              <w:rPr>
                <w:rFonts w:ascii="Times New Roman" w:eastAsia="宋体" w:hAnsi="Times New Roman" w:cs="Times New Roman" w:hint="default"/>
                <w:b/>
                <w:color w:val="000000" w:themeColor="text1"/>
                <w:sz w:val="21"/>
                <w:szCs w:val="21"/>
                <w:highlight w:val="none"/>
                <w14:textFill>
                  <w14:solidFill>
                    <w14:schemeClr w14:val="tx1"/>
                  </w14:solidFill>
                </w14:textFill>
              </w:rPr>
            </w:pPr>
            <w:r>
              <w:rPr>
                <w:rFonts w:ascii="Times New Roman" w:eastAsia="宋体" w:hAnsi="Times New Roman" w:cs="Times New Roman" w:hint="default"/>
                <w:b/>
                <w:color w:val="000000" w:themeColor="text1"/>
                <w:sz w:val="21"/>
                <w:szCs w:val="21"/>
                <w:highlight w:val="none"/>
                <w14:textFill>
                  <w14:solidFill>
                    <w14:schemeClr w14:val="tx1"/>
                  </w14:solidFill>
                </w14:textFill>
              </w:rPr>
              <w:t>表</w:t>
            </w:r>
            <w:r>
              <w:rPr>
                <w:rFonts w:ascii="Times New Roman" w:eastAsia="宋体" w:hAnsi="Times New Roman" w:cs="Times New Roman" w:hint="default"/>
                <w:b/>
                <w:color w:val="000000" w:themeColor="text1"/>
                <w:sz w:val="21"/>
                <w:szCs w:val="21"/>
                <w:highlight w:val="none"/>
                <w:lang w:val="en-US" w:eastAsia="zh-CN"/>
                <w14:textFill>
                  <w14:solidFill>
                    <w14:schemeClr w14:val="tx1"/>
                  </w14:solidFill>
                </w14:textFill>
              </w:rPr>
              <w:t>3-</w:t>
            </w:r>
            <w:r>
              <w:rPr>
                <w:rFonts w:ascii="Times New Roman" w:eastAsia="宋体" w:hAnsi="Times New Roman" w:cs="Times New Roman" w:hint="eastAsia"/>
                <w:b/>
                <w:color w:val="000000" w:themeColor="text1"/>
                <w:sz w:val="21"/>
                <w:szCs w:val="21"/>
                <w:highlight w:val="none"/>
                <w:lang w:val="en-US" w:eastAsia="zh-CN"/>
                <w14:textFill>
                  <w14:solidFill>
                    <w14:schemeClr w14:val="tx1"/>
                  </w14:solidFill>
                </w14:textFill>
              </w:rPr>
              <w:t>12</w:t>
            </w:r>
            <w:r>
              <w:rPr>
                <w:rFonts w:ascii="Times New Roman" w:eastAsia="宋体" w:hAnsi="Times New Roman" w:cs="Times New Roman" w:hint="default"/>
                <w:b/>
                <w:color w:val="000000" w:themeColor="text1"/>
                <w:sz w:val="21"/>
                <w:szCs w:val="21"/>
                <w:highlight w:val="none"/>
                <w:lang w:val="en-US" w:eastAsia="zh-CN"/>
                <w14:textFill>
                  <w14:solidFill>
                    <w14:schemeClr w14:val="tx1"/>
                  </w14:solidFill>
                </w14:textFill>
              </w:rPr>
              <w:t xml:space="preserve"> </w:t>
            </w:r>
            <w:r>
              <w:rPr>
                <w:rFonts w:ascii="Times New Roman" w:eastAsia="宋体" w:hAnsi="Times New Roman" w:cs="Times New Roman" w:hint="default"/>
                <w:b/>
                <w:color w:val="000000" w:themeColor="text1"/>
                <w:sz w:val="21"/>
                <w:szCs w:val="21"/>
                <w:highlight w:val="none"/>
                <w14:textFill>
                  <w14:solidFill>
                    <w14:schemeClr w14:val="tx1"/>
                  </w14:solidFill>
                </w14:textFill>
              </w:rPr>
              <w:t>建筑施工场界环境噪声排放标准  等效声级Laeq（dB）</w:t>
            </w:r>
          </w:p>
          <w:tbl>
            <w:tblPr>
              <w:tblStyle w:val="TableNormal"/>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136"/>
              <w:gridCol w:w="4374"/>
            </w:tblGrid>
            <w:tr>
              <w:tblPrEx>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hRule="exact" w:val="312"/>
                <w:jc w:val="center"/>
              </w:trPr>
              <w:tc>
                <w:tcPr>
                  <w:tcW w:w="5136" w:type="dxa"/>
                  <w:tcBorders>
                    <w:tl2br w:val="nil"/>
                    <w:tr2bl w:val="nil"/>
                  </w:tcBorders>
                  <w:noWrap w:val="0"/>
                  <w:vAlign w:val="center"/>
                </w:tcPr>
                <w:p>
                  <w:pPr>
                    <w:spacing w:line="240" w:lineRule="auto"/>
                    <w:jc w:val="center"/>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14:textFill>
                        <w14:solidFill>
                          <w14:schemeClr w14:val="tx1"/>
                        </w14:solidFill>
                      </w14:textFill>
                    </w:rPr>
                    <w:t>昼间</w:t>
                  </w:r>
                </w:p>
              </w:tc>
              <w:tc>
                <w:tcPr>
                  <w:tcW w:w="4374" w:type="dxa"/>
                  <w:tcBorders>
                    <w:tl2br w:val="nil"/>
                    <w:tr2bl w:val="nil"/>
                  </w:tcBorders>
                  <w:noWrap w:val="0"/>
                  <w:vAlign w:val="center"/>
                </w:tcPr>
                <w:p>
                  <w:pPr>
                    <w:spacing w:line="240" w:lineRule="auto"/>
                    <w:jc w:val="center"/>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14:textFill>
                        <w14:solidFill>
                          <w14:schemeClr w14:val="tx1"/>
                        </w14:solidFill>
                      </w14:textFill>
                    </w:rPr>
                    <w:t>夜间</w:t>
                  </w:r>
                </w:p>
              </w:tc>
            </w:tr>
            <w:tr>
              <w:tblPrEx>
                <w:tblW w:w="9510" w:type="dxa"/>
                <w:jc w:val="center"/>
                <w:tblLayout w:type="fixed"/>
                <w:tblCellMar>
                  <w:top w:w="0" w:type="dxa"/>
                  <w:left w:w="108" w:type="dxa"/>
                  <w:bottom w:w="0" w:type="dxa"/>
                  <w:right w:w="108" w:type="dxa"/>
                </w:tblCellMar>
              </w:tblPrEx>
              <w:trPr>
                <w:trHeight w:hRule="exact" w:val="312"/>
                <w:jc w:val="center"/>
              </w:trPr>
              <w:tc>
                <w:tcPr>
                  <w:tcW w:w="5136" w:type="dxa"/>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70</w:t>
                  </w:r>
                </w:p>
              </w:tc>
              <w:tc>
                <w:tcPr>
                  <w:tcW w:w="4374" w:type="dxa"/>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55</w:t>
                  </w:r>
                </w:p>
              </w:tc>
            </w:tr>
          </w:tbl>
          <w:p>
            <w:pPr>
              <w:keepNext w:val="0"/>
              <w:keepLines w:val="0"/>
              <w:pageBreakBefore w:val="0"/>
              <w:widowControl w:val="0"/>
              <w:kinsoku/>
              <w:wordWrap/>
              <w:overflowPunct/>
              <w:topLinePunct w:val="0"/>
              <w:bidi w:val="0"/>
              <w:snapToGrid/>
              <w:spacing w:line="360" w:lineRule="auto"/>
              <w:ind w:left="0" w:right="0" w:firstLine="420" w:leftChars="0" w:rightChars="0" w:firstLineChars="200"/>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2</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营运期</w:t>
            </w:r>
          </w:p>
          <w:p>
            <w:pPr>
              <w:spacing w:line="360" w:lineRule="auto"/>
              <w:ind w:firstLine="420" w:firstLineChars="200"/>
              <w:jc w:val="left"/>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eastAsia"/>
                <w:b w:val="0"/>
                <w:bCs w:val="0"/>
                <w:color w:val="000000" w:themeColor="text1"/>
                <w:sz w:val="21"/>
                <w:szCs w:val="21"/>
                <w:highlight w:val="none"/>
                <w:lang w:val="en-US" w:eastAsia="zh-CN"/>
                <w14:textFill>
                  <w14:solidFill>
                    <w14:schemeClr w14:val="tx1"/>
                  </w14:solidFill>
                </w14:textFill>
              </w:rPr>
              <w:t>参照</w:t>
            </w: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w:t>
            </w:r>
            <w:r>
              <w:rPr>
                <w:rFonts w:hint="eastAsia"/>
                <w:b w:val="0"/>
                <w:bCs w:val="0"/>
                <w:color w:val="000000" w:themeColor="text1"/>
                <w:sz w:val="21"/>
                <w:szCs w:val="21"/>
                <w:lang w:val="en-US" w:eastAsia="zh-CN"/>
                <w14:textFill>
                  <w14:solidFill>
                    <w14:schemeClr w14:val="tx1"/>
                  </w14:solidFill>
                </w14:textFill>
              </w:rPr>
              <w:t>三亚市城市区域声环境功能区划图</w:t>
            </w: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w:t>
            </w:r>
            <w:r>
              <w:rPr>
                <w:rFonts w:ascii="Times New Roman" w:hAnsi="Times New Roman" w:cs="Times New Roman" w:hint="eastAsia"/>
                <w:b w:val="0"/>
                <w:bCs w:val="0"/>
                <w:color w:val="000000" w:themeColor="text1"/>
                <w:sz w:val="21"/>
                <w:szCs w:val="21"/>
                <w:highlight w:val="none"/>
                <w:lang w:val="en-US" w:eastAsia="zh-CN"/>
                <w14:textFill>
                  <w14:solidFill>
                    <w14:schemeClr w14:val="tx1"/>
                  </w14:solidFill>
                </w14:textFill>
              </w:rPr>
              <w:t>（见附图7）</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，本项目位于2类功能区，</w:t>
            </w:r>
            <w:r>
              <w:rPr>
                <w:rFonts w:ascii="Times New Roman" w:hAnsi="Times New Roman" w:cs="Times New Roman" w:hint="default"/>
                <w:color w:val="000000" w:themeColor="text1"/>
                <w:sz w:val="21"/>
                <w:szCs w:val="21"/>
                <w:highlight w:val="none"/>
                <w:lang w:eastAsia="zh-CN"/>
                <w14:textFill>
                  <w14:solidFill>
                    <w14:schemeClr w14:val="tx1"/>
                  </w14:solidFill>
                </w14:textFill>
              </w:rPr>
              <w:t>本项目厂界</w:t>
            </w:r>
            <w:r>
              <w:rPr>
                <w:rFonts w:ascii="Times New Roman" w:hAnsi="Times New Roman" w:cs="Times New Roman" w:hint="default"/>
                <w:color w:val="000000" w:themeColor="text1"/>
                <w:sz w:val="21"/>
                <w:szCs w:val="21"/>
                <w:highlight w:val="none"/>
                <w14:textFill>
                  <w14:solidFill>
                    <w14:schemeClr w14:val="tx1"/>
                  </w14:solidFill>
                </w14:textFill>
              </w:rPr>
              <w:t>噪声</w:t>
            </w:r>
            <w:r>
              <w:rPr>
                <w:rFonts w:ascii="Times New Roman" w:hAnsi="Times New Roman" w:cs="Times New Roman" w:hint="default"/>
                <w:color w:val="000000" w:themeColor="text1"/>
                <w:sz w:val="21"/>
                <w:szCs w:val="21"/>
                <w:highlight w:val="none"/>
                <w:lang w:eastAsia="zh-CN"/>
                <w14:textFill>
                  <w14:solidFill>
                    <w14:schemeClr w14:val="tx1"/>
                  </w14:solidFill>
                </w14:textFill>
              </w:rPr>
              <w:t>排放执行</w:t>
            </w:r>
            <w:r>
              <w:rPr>
                <w:rFonts w:ascii="Times New Roman" w:hAnsi="Times New Roman" w:cs="Times New Roman" w:hint="default"/>
                <w:color w:val="000000" w:themeColor="text1"/>
                <w:sz w:val="21"/>
                <w:szCs w:val="21"/>
                <w:highlight w:val="none"/>
                <w14:textFill>
                  <w14:solidFill>
                    <w14:schemeClr w14:val="tx1"/>
                  </w14:solidFill>
                </w14:textFill>
              </w:rPr>
              <w:t>《工业企业厂界环境噪声排放标准》（GB12348－2008）2类标准，标准值见</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下表</w:t>
            </w:r>
            <w:r>
              <w:rPr>
                <w:rFonts w:ascii="Times New Roman" w:hAnsi="Times New Roman" w:cs="Times New Roman" w:hint="default"/>
                <w:color w:val="000000" w:themeColor="text1"/>
                <w:sz w:val="21"/>
                <w:szCs w:val="21"/>
                <w:highlight w:val="none"/>
                <w14:textFill>
                  <w14:solidFill>
                    <w14:schemeClr w14:val="tx1"/>
                  </w14:solidFill>
                </w14:textFill>
              </w:rPr>
              <w:t>。</w:t>
            </w:r>
          </w:p>
          <w:p>
            <w:pPr>
              <w:spacing w:line="240" w:lineRule="auto"/>
              <w:jc w:val="center"/>
              <w:rPr>
                <w:rFonts w:ascii="Times New Roman" w:hAnsi="Times New Roman" w:cs="Times New Roman" w:hint="default"/>
                <w:b/>
                <w:bCs w:val="0"/>
                <w:color w:val="000000" w:themeColor="text1"/>
                <w:szCs w:val="21"/>
                <w:highlight w:val="none"/>
                <w14:textFill>
                  <w14:solidFill>
                    <w14:schemeClr w14:val="tx1"/>
                  </w14:solidFill>
                </w14:textFill>
              </w:rPr>
            </w:pPr>
            <w:r>
              <w:rPr>
                <w:rFonts w:ascii="Times New Roman" w:hAnsi="Times New Roman" w:cs="Times New Roman" w:hint="default"/>
                <w:b/>
                <w:bCs w:val="0"/>
                <w:color w:val="000000" w:themeColor="text1"/>
                <w:sz w:val="21"/>
                <w:szCs w:val="21"/>
                <w:highlight w:val="none"/>
                <w14:textFill>
                  <w14:solidFill>
                    <w14:schemeClr w14:val="tx1"/>
                  </w14:solidFill>
                </w14:textFill>
              </w:rPr>
              <w:t>表</w:t>
            </w:r>
            <w:r>
              <w:rPr>
                <w:rFonts w:ascii="Times New Roman" w:hAnsi="Times New Roman" w:cs="Times New Roman" w:hint="default"/>
                <w:b/>
                <w:bCs w:val="0"/>
                <w:color w:val="000000" w:themeColor="text1"/>
                <w:sz w:val="21"/>
                <w:szCs w:val="21"/>
                <w:highlight w:val="none"/>
                <w:lang w:val="en-US" w:eastAsia="zh-CN"/>
                <w14:textFill>
                  <w14:solidFill>
                    <w14:schemeClr w14:val="tx1"/>
                  </w14:solidFill>
                </w14:textFill>
              </w:rPr>
              <w:t>3-1</w:t>
            </w:r>
            <w:r>
              <w:rPr>
                <w:rFonts w:ascii="Times New Roman" w:hAnsi="Times New Roman" w:cs="Times New Roman" w:hint="eastAsia"/>
                <w:b/>
                <w:bCs w:val="0"/>
                <w:color w:val="000000" w:themeColor="text1"/>
                <w:sz w:val="21"/>
                <w:szCs w:val="21"/>
                <w:highlight w:val="none"/>
                <w:lang w:val="en-US" w:eastAsia="zh-CN"/>
                <w14:textFill>
                  <w14:solidFill>
                    <w14:schemeClr w14:val="tx1"/>
                  </w14:solidFill>
                </w14:textFill>
              </w:rPr>
              <w:t>2</w:t>
            </w:r>
            <w:r>
              <w:rPr>
                <w:rFonts w:ascii="Times New Roman" w:hAnsi="Times New Roman" w:cs="Times New Roman" w:hint="default"/>
                <w:b/>
                <w:bCs w:val="0"/>
                <w:color w:val="000000" w:themeColor="text1"/>
                <w:sz w:val="21"/>
                <w:szCs w:val="21"/>
                <w:highlight w:val="none"/>
                <w14:textFill>
                  <w14:solidFill>
                    <w14:schemeClr w14:val="tx1"/>
                  </w14:solidFill>
                </w14:textFill>
              </w:rPr>
              <w:t xml:space="preserve"> 工业企业噪声排放源边界噪声排放限值(摘录)  单位：dB（A）</w:t>
            </w:r>
          </w:p>
          <w:tbl>
            <w:tblPr>
              <w:tblStyle w:val="TableNormal"/>
              <w:tblW w:w="9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05"/>
              <w:gridCol w:w="2125"/>
              <w:gridCol w:w="3178"/>
            </w:tblGrid>
            <w:tr>
              <w:tblPrEx>
                <w:tblW w:w="9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23"/>
                <w:jc w:val="center"/>
              </w:trPr>
              <w:tc>
                <w:tcPr>
                  <w:tcW w:w="4205" w:type="dxa"/>
                  <w:noWrap w:val="0"/>
                  <w:vAlign w:val="center"/>
                </w:tcPr>
                <w:p>
                  <w:pPr>
                    <w:ind w:firstLine="426"/>
                    <w:jc w:val="center"/>
                    <w:rPr>
                      <w:rFonts w:ascii="Times New Roman" w:hAnsi="Times New Roman" w:cs="Times New Roman" w:hint="default"/>
                      <w:b/>
                      <w:bCs w:val="0"/>
                      <w:color w:val="000000" w:themeColor="text1"/>
                      <w:szCs w:val="21"/>
                      <w:highlight w:val="none"/>
                      <w14:textFill>
                        <w14:solidFill>
                          <w14:schemeClr w14:val="tx1"/>
                        </w14:solidFill>
                      </w14:textFill>
                    </w:rPr>
                  </w:pPr>
                  <w:r>
                    <w:rPr>
                      <w:rFonts w:ascii="Times New Roman" w:hAnsi="Times New Roman" w:cs="Times New Roman" w:hint="default"/>
                      <w:b/>
                      <w:bCs w:val="0"/>
                      <w:color w:val="000000" w:themeColor="text1"/>
                      <w:sz w:val="21"/>
                      <w:szCs w:val="21"/>
                      <w:highlight w:val="none"/>
                      <w14:textFill>
                        <w14:solidFill>
                          <w14:schemeClr w14:val="tx1"/>
                        </w14:solidFill>
                      </w14:textFill>
                    </w:rPr>
                    <w:t>厂界外声环境功能区类别</w:t>
                  </w:r>
                </w:p>
              </w:tc>
              <w:tc>
                <w:tcPr>
                  <w:tcW w:w="2125" w:type="dxa"/>
                  <w:noWrap w:val="0"/>
                  <w:vAlign w:val="center"/>
                </w:tcPr>
                <w:p>
                  <w:pPr>
                    <w:jc w:val="center"/>
                    <w:rPr>
                      <w:rFonts w:ascii="Times New Roman" w:hAnsi="Times New Roman" w:cs="Times New Roman" w:hint="default"/>
                      <w:b/>
                      <w:bCs w:val="0"/>
                      <w:color w:val="000000" w:themeColor="text1"/>
                      <w:szCs w:val="21"/>
                      <w:highlight w:val="none"/>
                      <w14:textFill>
                        <w14:solidFill>
                          <w14:schemeClr w14:val="tx1"/>
                        </w14:solidFill>
                      </w14:textFill>
                    </w:rPr>
                  </w:pPr>
                  <w:r>
                    <w:rPr>
                      <w:rFonts w:ascii="Times New Roman" w:hAnsi="Times New Roman" w:cs="Times New Roman" w:hint="default"/>
                      <w:b/>
                      <w:bCs w:val="0"/>
                      <w:color w:val="000000" w:themeColor="text1"/>
                      <w:sz w:val="21"/>
                      <w:szCs w:val="21"/>
                      <w:highlight w:val="none"/>
                      <w14:textFill>
                        <w14:solidFill>
                          <w14:schemeClr w14:val="tx1"/>
                        </w14:solidFill>
                      </w14:textFill>
                    </w:rPr>
                    <w:t>昼间</w:t>
                  </w:r>
                </w:p>
              </w:tc>
              <w:tc>
                <w:tcPr>
                  <w:tcW w:w="3178" w:type="dxa"/>
                  <w:noWrap w:val="0"/>
                  <w:vAlign w:val="center"/>
                </w:tcPr>
                <w:p>
                  <w:pPr>
                    <w:jc w:val="center"/>
                    <w:rPr>
                      <w:rFonts w:ascii="Times New Roman" w:hAnsi="Times New Roman" w:cs="Times New Roman" w:hint="default"/>
                      <w:b/>
                      <w:bCs w:val="0"/>
                      <w:color w:val="000000" w:themeColor="text1"/>
                      <w:szCs w:val="21"/>
                      <w:highlight w:val="none"/>
                      <w14:textFill>
                        <w14:solidFill>
                          <w14:schemeClr w14:val="tx1"/>
                        </w14:solidFill>
                      </w14:textFill>
                    </w:rPr>
                  </w:pPr>
                  <w:r>
                    <w:rPr>
                      <w:rFonts w:ascii="Times New Roman" w:hAnsi="Times New Roman" w:cs="Times New Roman" w:hint="default"/>
                      <w:b/>
                      <w:bCs w:val="0"/>
                      <w:color w:val="000000" w:themeColor="text1"/>
                      <w:sz w:val="21"/>
                      <w:szCs w:val="21"/>
                      <w:highlight w:val="none"/>
                      <w14:textFill>
                        <w14:solidFill>
                          <w14:schemeClr w14:val="tx1"/>
                        </w14:solidFill>
                      </w14:textFill>
                    </w:rPr>
                    <w:t>夜间</w:t>
                  </w:r>
                </w:p>
              </w:tc>
            </w:tr>
            <w:tr>
              <w:tblPrEx>
                <w:tblW w:w="9508" w:type="dxa"/>
                <w:jc w:val="center"/>
                <w:tblLayout w:type="fixed"/>
                <w:tblCellMar>
                  <w:top w:w="0" w:type="dxa"/>
                  <w:left w:w="108" w:type="dxa"/>
                  <w:bottom w:w="0" w:type="dxa"/>
                  <w:right w:w="108" w:type="dxa"/>
                </w:tblCellMar>
              </w:tblPrEx>
              <w:trPr>
                <w:trHeight w:val="310"/>
                <w:jc w:val="center"/>
              </w:trPr>
              <w:tc>
                <w:tcPr>
                  <w:tcW w:w="4205" w:type="dxa"/>
                  <w:noWrap w:val="0"/>
                  <w:vAlign w:val="center"/>
                </w:tcPr>
                <w:p>
                  <w:pPr>
                    <w:jc w:val="center"/>
                    <w:rPr>
                      <w:rFonts w:ascii="Times New Roman" w:hAnsi="Times New Roman" w:cs="Times New Roman" w:hint="default"/>
                      <w:b w:val="0"/>
                      <w:bCs/>
                      <w:color w:val="000000" w:themeColor="text1"/>
                      <w:szCs w:val="21"/>
                      <w:highlight w:val="none"/>
                      <w14:textFill>
                        <w14:solidFill>
                          <w14:schemeClr w14:val="tx1"/>
                        </w14:solidFill>
                      </w14:textFill>
                    </w:rPr>
                  </w:pPr>
                  <w:r>
                    <w:rPr>
                      <w:rFonts w:ascii="Times New Roman" w:hAnsi="Times New Roman" w:cs="Times New Roman" w:hint="default"/>
                      <w:b w:val="0"/>
                      <w:bCs/>
                      <w:color w:val="000000" w:themeColor="text1"/>
                      <w:sz w:val="21"/>
                      <w:szCs w:val="21"/>
                      <w:highlight w:val="none"/>
                      <w14:textFill>
                        <w14:solidFill>
                          <w14:schemeClr w14:val="tx1"/>
                        </w14:solidFill>
                      </w14:textFill>
                    </w:rPr>
                    <w:t>2类</w:t>
                  </w:r>
                </w:p>
              </w:tc>
              <w:tc>
                <w:tcPr>
                  <w:tcW w:w="2125" w:type="dxa"/>
                  <w:noWrap w:val="0"/>
                  <w:vAlign w:val="center"/>
                </w:tcPr>
                <w:p>
                  <w:pPr>
                    <w:jc w:val="center"/>
                    <w:rPr>
                      <w:rFonts w:ascii="Times New Roman" w:hAnsi="Times New Roman" w:cs="Times New Roman" w:hint="default"/>
                      <w:b w:val="0"/>
                      <w:bCs/>
                      <w:color w:val="000000" w:themeColor="text1"/>
                      <w:szCs w:val="21"/>
                      <w:highlight w:val="none"/>
                      <w14:textFill>
                        <w14:solidFill>
                          <w14:schemeClr w14:val="tx1"/>
                        </w14:solidFill>
                      </w14:textFill>
                    </w:rPr>
                  </w:pPr>
                  <w:r>
                    <w:rPr>
                      <w:rFonts w:ascii="Times New Roman" w:hAnsi="Times New Roman" w:cs="Times New Roman" w:hint="default"/>
                      <w:b w:val="0"/>
                      <w:bCs/>
                      <w:color w:val="000000" w:themeColor="text1"/>
                      <w:sz w:val="21"/>
                      <w:szCs w:val="21"/>
                      <w:highlight w:val="none"/>
                      <w14:textFill>
                        <w14:solidFill>
                          <w14:schemeClr w14:val="tx1"/>
                        </w14:solidFill>
                      </w14:textFill>
                    </w:rPr>
                    <w:t>60</w:t>
                  </w:r>
                </w:p>
              </w:tc>
              <w:tc>
                <w:tcPr>
                  <w:tcW w:w="3178" w:type="dxa"/>
                  <w:noWrap w:val="0"/>
                  <w:vAlign w:val="center"/>
                </w:tcPr>
                <w:p>
                  <w:pPr>
                    <w:jc w:val="center"/>
                    <w:rPr>
                      <w:rFonts w:ascii="Times New Roman" w:hAnsi="Times New Roman" w:cs="Times New Roman" w:hint="default"/>
                      <w:b w:val="0"/>
                      <w:bCs/>
                      <w:color w:val="000000" w:themeColor="text1"/>
                      <w:szCs w:val="21"/>
                      <w:highlight w:val="none"/>
                      <w14:textFill>
                        <w14:solidFill>
                          <w14:schemeClr w14:val="tx1"/>
                        </w14:solidFill>
                      </w14:textFill>
                    </w:rPr>
                  </w:pPr>
                  <w:r>
                    <w:rPr>
                      <w:rFonts w:ascii="Times New Roman" w:hAnsi="Times New Roman" w:cs="Times New Roman" w:hint="default"/>
                      <w:b w:val="0"/>
                      <w:bCs/>
                      <w:color w:val="000000" w:themeColor="text1"/>
                      <w:sz w:val="21"/>
                      <w:szCs w:val="21"/>
                      <w:highlight w:val="none"/>
                      <w14:textFill>
                        <w14:solidFill>
                          <w14:schemeClr w14:val="tx1"/>
                        </w14:solidFill>
                      </w14:textFill>
                    </w:rPr>
                    <w:t>50</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firstLine="420" w:rightChars="0" w:firstLineChars="200"/>
              <w:jc w:val="left"/>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4、固体废物</w:t>
            </w:r>
          </w:p>
          <w:p>
            <w:pPr>
              <w:keepNext w:val="0"/>
              <w:keepLines w:val="0"/>
              <w:pageBreakBefore w:val="0"/>
              <w:widowControl w:val="0"/>
              <w:kinsoku/>
              <w:wordWrap/>
              <w:overflowPunct/>
              <w:topLinePunct w:val="0"/>
              <w:bidi w:val="0"/>
              <w:snapToGrid/>
              <w:spacing w:line="360" w:lineRule="auto"/>
              <w:ind w:left="0" w:right="0" w:firstLine="420" w:leftChars="0" w:rightChars="0" w:firstLineChars="200"/>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1</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医院污水处理站污泥，包括栅渣、化粪池和污水处理站污泥属危险废物，应按危险废物进行处置，在污泥清掏前应进行监测，达到《医疗机构水污染排放标准》（GB18466-2005）中表4医疗机构污泥控制标准要求</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，详见下表</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right="0" w:firstLine="420" w:leftChars="0" w:rightChars="0" w:firstLineChars="200"/>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表</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 xml:space="preserve">3-12 </w:t>
            </w:r>
            <w:r>
              <w:rPr>
                <w:rFonts w:ascii="Times New Roman" w:eastAsia="宋体" w:hAnsi="Times New Roman" w:cs="Times New Roman" w:hint="default"/>
                <w:b/>
                <w:bCs/>
                <w:color w:val="000000" w:themeColor="text1"/>
                <w:sz w:val="21"/>
                <w:szCs w:val="21"/>
                <w:highlight w:val="none"/>
                <w14:textFill>
                  <w14:solidFill>
                    <w14:schemeClr w14:val="tx1"/>
                  </w14:solidFill>
                </w14:textFill>
              </w:rPr>
              <w:t>《医疗机构污染物排放标准》（GB18466-2005）</w:t>
            </w:r>
          </w:p>
          <w:tbl>
            <w:tblPr>
              <w:tblStyle w:val="TableGrid12"/>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65"/>
              <w:gridCol w:w="1695"/>
              <w:gridCol w:w="1515"/>
              <w:gridCol w:w="1318"/>
              <w:gridCol w:w="1279"/>
              <w:gridCol w:w="1740"/>
            </w:tblGrid>
            <w:tr>
              <w:tblPrEx>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46"/>
                <w:jc w:val="center"/>
              </w:trPr>
              <w:tc>
                <w:tcPr>
                  <w:tcW w:w="19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left"/>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p>
                <w:p>
                  <w:pPr>
                    <w:widowControl w:val="0"/>
                    <w:spacing w:after="0"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b/>
                      <w:bCs/>
                      <w:color w:val="000000" w:themeColor="text1"/>
                      <w:sz w:val="21"/>
                      <w:szCs w:val="21"/>
                      <w:highlight w:val="none"/>
                      <w14:textFill>
                        <w14:solidFill>
                          <w14:schemeClr w14:val="tx1"/>
                        </w14:solidFill>
                      </w14:textFill>
                    </w:rPr>
                    <w:t>医疗机构类别</w:t>
                  </w:r>
                </w:p>
                <w:p>
                  <w:pPr>
                    <w:spacing w:after="0" w:line="240" w:lineRule="auto"/>
                    <w:rPr>
                      <w:rFonts w:ascii="Times New Roman" w:eastAsia="宋体" w:hAnsi="Times New Roman" w:cs="Times New Roman" w:hint="default"/>
                      <w:color w:val="000000" w:themeColor="text1"/>
                      <w:szCs w:val="21"/>
                      <w:highlight w:val="none"/>
                      <w14:textFill>
                        <w14:solidFill>
                          <w14:schemeClr w14:val="tx1"/>
                        </w14:solidFill>
                      </w14:textFill>
                    </w:rPr>
                  </w:pPr>
                </w:p>
              </w:tc>
              <w:tc>
                <w:tcPr>
                  <w:tcW w:w="16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粪大肠菌群数(MPN/g)</w:t>
                  </w:r>
                </w:p>
              </w:tc>
              <w:tc>
                <w:tcPr>
                  <w:tcW w:w="15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肠道致病菌</w:t>
                  </w:r>
                </w:p>
              </w:tc>
              <w:tc>
                <w:tcPr>
                  <w:tcW w:w="13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肠道病毒</w:t>
                  </w:r>
                </w:p>
              </w:tc>
              <w:tc>
                <w:tcPr>
                  <w:tcW w:w="127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结核杆菌</w:t>
                  </w:r>
                </w:p>
              </w:tc>
              <w:tc>
                <w:tcPr>
                  <w:tcW w:w="17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kern w:val="0"/>
                      <w:sz w:val="21"/>
                      <w:szCs w:val="21"/>
                      <w:highlight w:val="none"/>
                      <w:lang w:val="en-US" w:eastAsia="zh-CN" w:bidi="ar-SA"/>
                      <w14:textFill>
                        <w14:solidFill>
                          <w14:schemeClr w14:val="tx1"/>
                        </w14:solidFill>
                      </w14:textFill>
                    </w:rPr>
                    <w:t>蛔虫卵死亡率（%）</w:t>
                  </w:r>
                </w:p>
              </w:tc>
            </w:tr>
            <w:tr>
              <w:tblPrEx>
                <w:tblW w:w="9512" w:type="dxa"/>
                <w:jc w:val="center"/>
                <w:tblLayout w:type="fixed"/>
                <w:tblCellMar>
                  <w:top w:w="0" w:type="dxa"/>
                  <w:left w:w="108" w:type="dxa"/>
                  <w:bottom w:w="0" w:type="dxa"/>
                  <w:right w:w="108" w:type="dxa"/>
                </w:tblCellMar>
              </w:tblPrEx>
              <w:trPr>
                <w:trHeight w:val="312"/>
                <w:jc w:val="center"/>
              </w:trPr>
              <w:tc>
                <w:tcPr>
                  <w:tcW w:w="19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42" w:right="-42" w:firstLine="0" w:leftChars="-20" w:rightChars="-20" w:firstLineChars="0"/>
                    <w:jc w:val="left"/>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传染病医疗机构</w:t>
                  </w:r>
                </w:p>
              </w:tc>
              <w:tc>
                <w:tcPr>
                  <w:tcW w:w="16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≤100</w:t>
                  </w:r>
                </w:p>
              </w:tc>
              <w:tc>
                <w:tcPr>
                  <w:tcW w:w="15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不得检出</w:t>
                  </w:r>
                </w:p>
              </w:tc>
              <w:tc>
                <w:tcPr>
                  <w:tcW w:w="13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不得检出</w:t>
                  </w:r>
                </w:p>
              </w:tc>
              <w:tc>
                <w:tcPr>
                  <w:tcW w:w="127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w:t>
                  </w:r>
                </w:p>
              </w:tc>
              <w:tc>
                <w:tcPr>
                  <w:tcW w:w="17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&gt;95</w:t>
                  </w:r>
                </w:p>
              </w:tc>
            </w:tr>
          </w:tbl>
          <w:p/>
        </w:tc>
      </w:tr>
    </w:tbl>
    <w:p>
      <w:pPr>
        <w:sectPr>
          <w:footerReference w:type="default" r:id="rId32"/>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3"/>
          <w:cols w:num="1" w:space="425"/>
          <w:titlePg w:val="0"/>
          <w:docGrid w:type="lines" w:linePitch="312" w:charSpace="0"/>
        </w:sectPr>
      </w:pPr>
    </w:p>
    <w:tbl>
      <w:tblPr>
        <w:tblStyle w:val="TableNormal"/>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436"/>
        <w:gridCol w:w="9732"/>
      </w:tblGrid>
      <w:tr>
        <w:tblPrEx>
          <w:tblW w:w="1016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3901"/>
        </w:trPr>
        <w:tc>
          <w:tcPr>
            <w:tcW w:w="436" w:type="dxa"/>
            <w:tcBorders>
              <w:top w:val="single" w:sz="4" w:space="0" w:color="auto"/>
              <w:left w:val="single" w:sz="6" w:space="0" w:color="auto"/>
              <w:bottom w:val="single" w:sz="6" w:space="0" w:color="auto"/>
              <w:right w:val="single" w:sz="6" w:space="0" w:color="auto"/>
            </w:tcBorders>
            <w:shd w:val="clear" w:color="auto" w:fill="auto"/>
            <w:tcMar>
              <w:left w:w="30" w:type="dxa"/>
              <w:right w:w="30" w:type="dxa"/>
            </w:tcMar>
            <w:vAlign w:val="center"/>
          </w:tcPr>
          <w:p/>
        </w:tc>
        <w:tc>
          <w:tcPr>
            <w:tcW w:w="9732" w:type="dxa"/>
            <w:tcBorders>
              <w:top w:val="single" w:sz="4" w:space="0" w:color="auto"/>
              <w:left w:val="nil"/>
              <w:bottom w:val="single" w:sz="6" w:space="0" w:color="auto"/>
              <w:right w:val="single" w:sz="6" w:space="0" w:color="auto"/>
            </w:tcBorders>
            <w:shd w:val="clear" w:color="auto" w:fill="auto"/>
            <w:tcMar>
              <w:left w:w="105" w:type="dxa"/>
              <w:right w:w="105" w:type="dxa"/>
            </w:tcMar>
            <w:vAlign w:val="center"/>
          </w:tcPr>
          <w:tbl>
            <w:tblPr>
              <w:tblStyle w:val="TableGrid13"/>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65"/>
              <w:gridCol w:w="1695"/>
              <w:gridCol w:w="1515"/>
              <w:gridCol w:w="1318"/>
              <w:gridCol w:w="1279"/>
              <w:gridCol w:w="1740"/>
            </w:tblGrid>
            <w:tr>
              <w:tblPrEx>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19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42" w:right="-42" w:firstLine="0" w:leftChars="-20" w:rightChars="-20" w:firstLineChars="0"/>
                    <w:jc w:val="left"/>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结核病医疗机构</w:t>
                  </w:r>
                </w:p>
              </w:tc>
              <w:tc>
                <w:tcPr>
                  <w:tcW w:w="16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≤100</w:t>
                  </w:r>
                </w:p>
              </w:tc>
              <w:tc>
                <w:tcPr>
                  <w:tcW w:w="15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w:t>
                  </w:r>
                </w:p>
              </w:tc>
              <w:tc>
                <w:tcPr>
                  <w:tcW w:w="13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w:t>
                  </w:r>
                </w:p>
              </w:tc>
              <w:tc>
                <w:tcPr>
                  <w:tcW w:w="127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不得检出</w:t>
                  </w:r>
                </w:p>
              </w:tc>
              <w:tc>
                <w:tcPr>
                  <w:tcW w:w="17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&gt;95</w:t>
                  </w:r>
                </w:p>
              </w:tc>
            </w:tr>
            <w:tr>
              <w:tblPrEx>
                <w:tblW w:w="9512" w:type="dxa"/>
                <w:jc w:val="center"/>
                <w:tblLayout w:type="fixed"/>
                <w:tblCellMar>
                  <w:top w:w="0" w:type="dxa"/>
                  <w:left w:w="108" w:type="dxa"/>
                  <w:bottom w:w="0" w:type="dxa"/>
                  <w:right w:w="108" w:type="dxa"/>
                </w:tblCellMar>
              </w:tblPrEx>
              <w:trPr>
                <w:trHeight w:val="312"/>
                <w:jc w:val="center"/>
              </w:trPr>
              <w:tc>
                <w:tcPr>
                  <w:tcW w:w="1965" w:type="dxa"/>
                  <w:tcBorders>
                    <w:tl2br w:val="nil"/>
                    <w:tr2bl w:val="nil"/>
                  </w:tcBorders>
                  <w:shd w:val="clear" w:color="auto" w:fill="BFBFBF"/>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42" w:right="-42" w:firstLine="0" w:leftChars="-20" w:rightChars="-20" w:firstLineChars="0"/>
                    <w:jc w:val="left"/>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综合医疗机构和其它医疗机构</w:t>
                  </w:r>
                </w:p>
              </w:tc>
              <w:tc>
                <w:tcPr>
                  <w:tcW w:w="1695" w:type="dxa"/>
                  <w:tcBorders>
                    <w:tl2br w:val="nil"/>
                    <w:tr2bl w:val="nil"/>
                  </w:tcBorders>
                  <w:shd w:val="clear" w:color="auto" w:fill="BFBFBF"/>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≤100</w:t>
                  </w:r>
                </w:p>
              </w:tc>
              <w:tc>
                <w:tcPr>
                  <w:tcW w:w="1515" w:type="dxa"/>
                  <w:tcBorders>
                    <w:tl2br w:val="nil"/>
                    <w:tr2bl w:val="nil"/>
                  </w:tcBorders>
                  <w:shd w:val="clear" w:color="auto" w:fill="BFBFBF"/>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w:t>
                  </w:r>
                </w:p>
              </w:tc>
              <w:tc>
                <w:tcPr>
                  <w:tcW w:w="1318" w:type="dxa"/>
                  <w:tcBorders>
                    <w:tl2br w:val="nil"/>
                    <w:tr2bl w:val="nil"/>
                  </w:tcBorders>
                  <w:shd w:val="clear" w:color="auto" w:fill="BFBFBF"/>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w:t>
                  </w:r>
                </w:p>
              </w:tc>
              <w:tc>
                <w:tcPr>
                  <w:tcW w:w="1279" w:type="dxa"/>
                  <w:tcBorders>
                    <w:tl2br w:val="nil"/>
                    <w:tr2bl w:val="nil"/>
                  </w:tcBorders>
                  <w:shd w:val="clear" w:color="auto" w:fill="BFBFBF"/>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w:t>
                  </w:r>
                </w:p>
              </w:tc>
              <w:tc>
                <w:tcPr>
                  <w:tcW w:w="1740" w:type="dxa"/>
                  <w:tcBorders>
                    <w:tl2br w:val="nil"/>
                    <w:tr2bl w:val="nil"/>
                  </w:tcBorders>
                  <w:shd w:val="clear" w:color="auto" w:fill="BFBFBF"/>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kern w:val="0"/>
                      <w:sz w:val="21"/>
                      <w:szCs w:val="21"/>
                      <w:highlight w:val="none"/>
                      <w:lang w:val="en-US" w:eastAsia="zh-CN" w:bidi="ar-SA"/>
                      <w14:textFill>
                        <w14:solidFill>
                          <w14:schemeClr w14:val="tx1"/>
                        </w14:solidFill>
                      </w14:textFill>
                    </w:rPr>
                    <w:t>&gt;95</w:t>
                  </w:r>
                </w:p>
              </w:tc>
            </w:tr>
          </w:tbl>
          <w:p>
            <w:pPr>
              <w:keepNext w:val="0"/>
              <w:keepLines w:val="0"/>
              <w:suppressLineNumbers w:val="0"/>
              <w:spacing w:before="0" w:beforeAutospacing="0" w:after="0" w:afterAutospacing="0" w:line="360" w:lineRule="auto"/>
              <w:ind w:left="0" w:right="0" w:firstLine="420" w:firstLineChars="200"/>
              <w:rPr>
                <w:rFonts w:ascii="Times New Roman" w:hAnsi="Times New Roman" w:cs="Times New Roman" w:hint="default"/>
                <w:color w:val="000000" w:themeColor="text1"/>
                <w:kern w:val="0"/>
                <w:szCs w:val="21"/>
                <w:highlight w:val="none"/>
                <w14:textFill>
                  <w14:solidFill>
                    <w14:schemeClr w14:val="tx1"/>
                  </w14:solidFill>
                </w14:textFill>
              </w:rPr>
            </w:pPr>
            <w:r>
              <w:rPr>
                <w:rFonts w:ascii="Times New Roman" w:hAnsi="Times New Roman" w:cs="Times New Roman" w:hint="eastAsia"/>
                <w:color w:val="000000" w:themeColor="text1"/>
                <w:kern w:val="0"/>
                <w:sz w:val="21"/>
                <w:szCs w:val="21"/>
                <w:highlight w:val="none"/>
                <w:lang w:eastAsia="zh-CN"/>
                <w14:textFill>
                  <w14:solidFill>
                    <w14:schemeClr w14:val="tx1"/>
                  </w14:solidFill>
                </w14:textFill>
              </w:rPr>
              <w:t>（</w:t>
            </w:r>
            <w:r>
              <w:rPr>
                <w:rFonts w:ascii="Times New Roman" w:hAnsi="Times New Roman" w:cs="Times New Roman" w:hint="eastAsia"/>
                <w:color w:val="000000" w:themeColor="text1"/>
                <w:kern w:val="0"/>
                <w:sz w:val="21"/>
                <w:szCs w:val="21"/>
                <w:highlight w:val="none"/>
                <w:lang w:val="en-US" w:eastAsia="zh-CN"/>
                <w14:textFill>
                  <w14:solidFill>
                    <w14:schemeClr w14:val="tx1"/>
                  </w14:solidFill>
                </w14:textFill>
              </w:rPr>
              <w:t>2</w:t>
            </w:r>
            <w:r>
              <w:rPr>
                <w:rFonts w:ascii="Times New Roman" w:hAnsi="Times New Roman" w:cs="Times New Roman" w:hint="eastAsia"/>
                <w:color w:val="000000" w:themeColor="text1"/>
                <w:kern w:val="0"/>
                <w:sz w:val="21"/>
                <w:szCs w:val="21"/>
                <w:highlight w:val="none"/>
                <w:lang w:eastAsia="zh-CN"/>
                <w14:textFill>
                  <w14:solidFill>
                    <w14:schemeClr w14:val="tx1"/>
                  </w14:solidFill>
                </w14:textFill>
              </w:rPr>
              <w:t>）</w:t>
            </w:r>
            <w:r>
              <w:rPr>
                <w:rFonts w:ascii="Times New Roman" w:hAnsi="Times New Roman" w:cs="Times New Roman" w:hint="eastAsia"/>
                <w:color w:val="000000" w:themeColor="text1"/>
                <w:sz w:val="21"/>
                <w:szCs w:val="21"/>
                <w:lang w:val="en-US" w:eastAsia="zh-CN"/>
                <w14:textFill>
                  <w14:solidFill>
                    <w14:schemeClr w14:val="tx1"/>
                  </w14:solidFill>
                </w14:textFill>
              </w:rPr>
              <w:t>施工期一般固废主要为施工生活垃圾和建筑垃圾；运营期一般固废为生活垃圾。</w:t>
            </w:r>
            <w:r>
              <w:rPr>
                <w:rFonts w:ascii="Times New Roman" w:hAnsi="Times New Roman" w:cs="Times New Roman" w:hint="default"/>
                <w:color w:val="000000" w:themeColor="text1"/>
                <w:sz w:val="21"/>
                <w:szCs w:val="21"/>
                <w14:textFill>
                  <w14:solidFill>
                    <w14:schemeClr w14:val="tx1"/>
                  </w14:solidFill>
                </w14:textFill>
              </w:rPr>
              <w:t>项目</w:t>
            </w:r>
            <w:r>
              <w:rPr>
                <w:rFonts w:ascii="Times New Roman" w:hAnsi="Times New Roman" w:cs="Times New Roman" w:hint="eastAsia"/>
                <w:color w:val="000000" w:themeColor="text1"/>
                <w:sz w:val="21"/>
                <w:szCs w:val="21"/>
                <w:lang w:val="en-US" w:eastAsia="zh-CN"/>
                <w14:textFill>
                  <w14:solidFill>
                    <w14:schemeClr w14:val="tx1"/>
                  </w14:solidFill>
                </w14:textFill>
              </w:rPr>
              <w:t>施工期和运营期</w:t>
            </w:r>
            <w:r>
              <w:rPr>
                <w:rFonts w:ascii="Times New Roman" w:hAnsi="Times New Roman" w:cs="Times New Roman" w:hint="default"/>
                <w:color w:val="000000" w:themeColor="text1"/>
                <w:sz w:val="21"/>
                <w:szCs w:val="21"/>
                <w14:textFill>
                  <w14:solidFill>
                    <w14:schemeClr w14:val="tx1"/>
                  </w14:solidFill>
                </w14:textFill>
              </w:rPr>
              <w:t>一般工业固废贮存执行《一般工业固体废物贮存和填埋污染控制标准》（GB18599-2020）。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right="0" w:leftChars="200" w:rightChars="0"/>
              <w:jc w:val="both"/>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医疗废物按《医疗废物管理条例》要求进行收集处置；其贮存按《医疗废物集中处置技术规范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（试行）》（环发[2003]206号）执行。</w:t>
            </w:r>
          </w:p>
          <w:p>
            <w:pPr>
              <w:spacing w:line="360" w:lineRule="auto"/>
              <w:ind w:firstLine="420" w:firstLineChars="200"/>
              <w:rPr>
                <w:rFonts w:ascii="Times New Roman" w:eastAsia="Microsoft YaHei UI" w:hAnsi="Times New Roman" w:cs="Times New Roman" w:hint="default"/>
                <w:i w:val="0"/>
                <w:caps w:val="0"/>
                <w:color w:val="000000" w:themeColor="text1"/>
                <w:spacing w:val="8"/>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4</w:t>
            </w:r>
            <w:r>
              <w:rPr>
                <w:rFonts w:ascii="Times New Roman"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hAnsi="Times New Roman" w:cs="Times New Roman" w:hint="default"/>
                <w:color w:val="000000" w:themeColor="text1"/>
                <w:sz w:val="21"/>
                <w:szCs w:val="21"/>
                <w:highlight w:val="none"/>
                <w14:textFill>
                  <w14:solidFill>
                    <w14:schemeClr w14:val="tx1"/>
                  </w14:solidFill>
                </w14:textFill>
              </w:rPr>
              <w:t>危险废物</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主要为医疗废物、检测废液、检测分析固体废物、污泥和废活性炭，</w:t>
            </w:r>
            <w:r>
              <w:rPr>
                <w:rFonts w:ascii="Times New Roman" w:hAnsi="Times New Roman" w:cs="Times New Roman" w:hint="default"/>
                <w:color w:val="000000" w:themeColor="text1"/>
                <w:sz w:val="21"/>
                <w:szCs w:val="21"/>
                <w:highlight w:val="none"/>
                <w14:textFill>
                  <w14:solidFill>
                    <w14:schemeClr w14:val="tx1"/>
                  </w14:solidFill>
                </w14:textFill>
              </w:rPr>
              <w:t>贮存执行《危险废物贮存污染控制标准》（GB18597-2001）</w:t>
            </w:r>
            <w:r>
              <w:rPr>
                <w:rFonts w:ascii="Times New Roman" w:hAnsi="Times New Roman" w:cs="Times New Roman" w:hint="default"/>
                <w:color w:val="000000" w:themeColor="text1"/>
                <w:sz w:val="21"/>
                <w:szCs w:val="21"/>
                <w:highlight w:val="none"/>
                <w:lang w:eastAsia="zh-CN"/>
                <w14:textFill>
                  <w14:solidFill>
                    <w14:schemeClr w14:val="tx1"/>
                  </w14:solidFill>
                </w14:textFill>
              </w:rPr>
              <w:t>及其</w:t>
            </w:r>
            <w:r>
              <w:rPr>
                <w:rFonts w:ascii="Times New Roman" w:hAnsi="Times New Roman" w:cs="Times New Roman" w:hint="default"/>
                <w:color w:val="000000" w:themeColor="text1"/>
                <w:sz w:val="21"/>
                <w:szCs w:val="21"/>
                <w:highlight w:val="none"/>
                <w14:textFill>
                  <w14:solidFill>
                    <w14:schemeClr w14:val="tx1"/>
                  </w14:solidFill>
                </w14:textFill>
              </w:rPr>
              <w:t>2013</w:t>
            </w:r>
            <w:r>
              <w:rPr>
                <w:rFonts w:ascii="Times New Roman" w:hAnsi="Times New Roman" w:cs="Times New Roman" w:hint="default"/>
                <w:color w:val="000000" w:themeColor="text1"/>
                <w:sz w:val="21"/>
                <w:szCs w:val="21"/>
                <w:highlight w:val="none"/>
                <w:lang w:eastAsia="zh-CN"/>
                <w14:textFill>
                  <w14:solidFill>
                    <w14:schemeClr w14:val="tx1"/>
                  </w14:solidFill>
                </w14:textFill>
              </w:rPr>
              <w:t>年修改单中的相关要求</w:t>
            </w:r>
            <w:r>
              <w:rPr>
                <w:rFonts w:ascii="Times New Roman" w:hAnsi="Times New Roman" w:cs="Times New Roman" w:hint="default"/>
                <w:color w:val="000000" w:themeColor="text1"/>
                <w:sz w:val="21"/>
                <w:szCs w:val="21"/>
                <w:highlight w:val="none"/>
                <w14:textFill>
                  <w14:solidFill>
                    <w14:schemeClr w14:val="tx1"/>
                  </w14:solidFill>
                </w14:textFill>
              </w:rPr>
              <w:t>。</w:t>
            </w:r>
          </w:p>
        </w:tc>
      </w:tr>
      <w:tr>
        <w:tblPrEx>
          <w:tblW w:w="10168" w:type="dxa"/>
          <w:tblInd w:w="0" w:type="dxa"/>
          <w:shd w:val="clear" w:color="auto" w:fill="FFFFFF"/>
          <w:tblLayout w:type="fixed"/>
          <w:tblCellMar>
            <w:top w:w="0" w:type="dxa"/>
            <w:left w:w="0" w:type="dxa"/>
            <w:bottom w:w="0" w:type="dxa"/>
            <w:right w:w="0" w:type="dxa"/>
          </w:tblCellMar>
        </w:tblPrEx>
        <w:trPr>
          <w:trHeight w:val="9578"/>
        </w:trPr>
        <w:tc>
          <w:tcPr>
            <w:tcW w:w="436" w:type="dxa"/>
            <w:tcBorders>
              <w:top w:val="nil"/>
              <w:left w:val="single" w:sz="6" w:space="0" w:color="auto"/>
              <w:bottom w:val="single" w:sz="6" w:space="0" w:color="auto"/>
              <w:right w:val="single" w:sz="6" w:space="0" w:color="auto"/>
            </w:tcBorders>
            <w:shd w:val="clear" w:color="auto" w:fill="auto"/>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总量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控制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指标</w:t>
            </w:r>
          </w:p>
        </w:tc>
        <w:tc>
          <w:tcPr>
            <w:tcW w:w="9732" w:type="dxa"/>
            <w:tcBorders>
              <w:top w:val="nil"/>
              <w:left w:val="nil"/>
              <w:bottom w:val="single" w:sz="6" w:space="0" w:color="auto"/>
              <w:right w:val="single" w:sz="6" w:space="0" w:color="auto"/>
            </w:tcBorders>
            <w:shd w:val="clear" w:color="auto" w:fill="auto"/>
            <w:tcMar>
              <w:left w:w="105" w:type="dxa"/>
              <w:right w:w="105" w:type="dxa"/>
            </w:tcMar>
            <w:vAlign w:val="center"/>
          </w:tcPr>
          <w:p>
            <w:pPr>
              <w:jc w:val="center"/>
              <w:rPr>
                <w:rFonts w:ascii="Times New Roman"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eastAsia"/>
                <w:b w:val="0"/>
                <w:bCs w:val="0"/>
                <w:color w:val="000000" w:themeColor="text1"/>
                <w:sz w:val="21"/>
                <w:szCs w:val="21"/>
                <w:highlight w:val="none"/>
                <w:lang w:val="en-US" w:eastAsia="zh-CN"/>
                <w14:textFill>
                  <w14:solidFill>
                    <w14:schemeClr w14:val="tx1"/>
                  </w14:solidFill>
                </w14:textFill>
              </w:rPr>
              <w:t>无</w:t>
            </w:r>
          </w:p>
          <w:p>
            <w:pPr>
              <w:pStyle w:val="NormalIndent"/>
              <w:ind w:left="0" w:firstLine="0" w:leftChars="0" w:firstLineChars="0"/>
              <w:rPr>
                <w:rFonts w:hAnsi="Times New Roman" w:cs="Times New Roman" w:hint="default"/>
                <w:color w:val="000000" w:themeColor="text1"/>
                <w:szCs w:val="21"/>
                <w:highlight w:val="none"/>
                <w14:textFill>
                  <w14:solidFill>
                    <w14:schemeClr w14:val="tx1"/>
                  </w14:solidFill>
                </w14:textFill>
              </w:rPr>
            </w:pPr>
          </w:p>
        </w:tc>
      </w:tr>
    </w:tbl>
    <w:p>
      <w:pPr>
        <w:sectPr>
          <w:footerReference w:type="default" r:id="rId33"/>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4"/>
          <w:cols w:num="1" w:space="425"/>
          <w:titlePg w:val="0"/>
          <w:docGrid w:type="lines" w:linePitch="312" w:charSpace="0"/>
        </w:sectPr>
      </w:pPr>
    </w:p>
    <w:p>
      <w:pPr>
        <w:pStyle w:val="Heading1"/>
        <w:bidi w:val="0"/>
        <w:rPr>
          <w:rFonts w:hint="eastAsia"/>
          <w:color w:val="000000" w:themeColor="text1"/>
          <w:sz w:val="32"/>
          <w:szCs w:val="32"/>
          <w:highlight w:val="none"/>
          <w:lang w:val="en-US" w:eastAsia="zh-CN"/>
          <w14:textFill>
            <w14:solidFill>
              <w14:schemeClr w14:val="tx1"/>
            </w14:solidFill>
          </w14:textFill>
        </w:rPr>
      </w:pPr>
      <w:r>
        <w:rPr>
          <w:rFonts w:hint="eastAsia"/>
          <w:color w:val="000000" w:themeColor="text1"/>
          <w:sz w:val="32"/>
          <w:szCs w:val="32"/>
          <w:highlight w:val="none"/>
          <w:lang w:val="en-US" w:eastAsia="zh-CN"/>
          <w14:textFill>
            <w14:solidFill>
              <w14:schemeClr w14:val="tx1"/>
            </w14:solidFill>
          </w14:textFill>
        </w:rPr>
        <w:t>四、主要环境影响和保护措施</w:t>
      </w:r>
    </w:p>
    <w:tbl>
      <w:tblPr>
        <w:tblStyle w:val="TableNormal"/>
        <w:tblW w:w="1015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855"/>
        <w:gridCol w:w="9300"/>
      </w:tblGrid>
      <w:tr>
        <w:tblPrEx>
          <w:tblW w:w="1015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13013"/>
        </w:trPr>
        <w:tc>
          <w:tcPr>
            <w:tcW w:w="855" w:type="dxa"/>
            <w:tcBorders>
              <w:top w:val="single" w:sz="6" w:space="0" w:color="auto"/>
              <w:left w:val="single" w:sz="6" w:space="0" w:color="auto"/>
              <w:bottom w:val="single" w:sz="4" w:space="0" w:color="auto"/>
              <w:right w:val="single" w:sz="6" w:space="0" w:color="auto"/>
            </w:tcBorders>
            <w:shd w:val="clear" w:color="auto" w:fill="auto"/>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施工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期环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境保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护措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施</w:t>
            </w:r>
          </w:p>
        </w:tc>
        <w:tc>
          <w:tcPr>
            <w:tcW w:w="9300" w:type="dxa"/>
            <w:tcBorders>
              <w:top w:val="single" w:sz="6" w:space="0" w:color="auto"/>
              <w:left w:val="nil"/>
              <w:bottom w:val="single" w:sz="4" w:space="0" w:color="auto"/>
              <w:right w:val="single" w:sz="6" w:space="0" w:color="auto"/>
            </w:tcBorders>
            <w:shd w:val="clear" w:color="auto" w:fill="auto"/>
            <w:tcMar>
              <w:left w:w="105" w:type="dxa"/>
              <w:right w:w="105" w:type="dxa"/>
            </w:tcMar>
            <w:vAlign w:val="top"/>
          </w:tcPr>
          <w:p>
            <w:pPr>
              <w:spacing w:after="0" w:line="360" w:lineRule="auto"/>
              <w:ind w:firstLine="420" w:firstLineChars="200"/>
              <w:jc w:val="both"/>
              <w:outlineLvl w:val="3"/>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项目租用</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已建成的</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大楼</w:t>
            </w:r>
            <w:r>
              <w:rPr>
                <w:rFonts w:ascii="Times New Roman" w:eastAsia="宋体" w:hAnsi="Times New Roman" w:cs="Times New Roman" w:hint="default"/>
                <w:color w:val="000000" w:themeColor="text1"/>
                <w:sz w:val="21"/>
                <w:szCs w:val="21"/>
                <w:highlight w:val="none"/>
                <w14:textFill>
                  <w14:solidFill>
                    <w14:schemeClr w14:val="tx1"/>
                  </w14:solidFill>
                </w14:textFill>
              </w:rPr>
              <w:t>进行医疗服务，</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项目</w:t>
            </w:r>
            <w:r>
              <w:rPr>
                <w:rFonts w:ascii="Times New Roman" w:eastAsia="宋体" w:hAnsi="Times New Roman" w:cs="Times New Roman" w:hint="default"/>
                <w:color w:val="000000" w:themeColor="text1"/>
                <w:sz w:val="21"/>
                <w:szCs w:val="21"/>
                <w:highlight w:val="none"/>
                <w14:textFill>
                  <w14:solidFill>
                    <w14:schemeClr w14:val="tx1"/>
                  </w14:solidFill>
                </w14:textFill>
              </w:rPr>
              <w:t>施工</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期间仅为设备安装调试及简单装修改造，工程量小，对环境的影响有限。</w:t>
            </w:r>
            <w:r>
              <w:rPr>
                <w:rFonts w:ascii="Times New Roman" w:eastAsia="宋体" w:hAnsi="Times New Roman" w:cs="Times New Roman" w:hint="default"/>
                <w:color w:val="000000" w:themeColor="text1"/>
                <w:sz w:val="21"/>
                <w:szCs w:val="21"/>
                <w:highlight w:val="none"/>
                <w14:textFill>
                  <w14:solidFill>
                    <w14:schemeClr w14:val="tx1"/>
                  </w14:solidFill>
                </w14:textFill>
              </w:rPr>
              <w:t>施工期间主要污染源为扬尘、车辆尾气、施工人员生活污水、噪声、废物料、施工人员生活垃圾等。</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项目施工过程产生的主要环境问题为装修废气、</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扬尘</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、固体废物、噪声</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及少量污水等</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，具体如下：</w:t>
            </w:r>
          </w:p>
          <w:p>
            <w:pPr>
              <w:spacing w:after="0" w:line="360" w:lineRule="auto"/>
              <w:ind w:firstLine="420" w:firstLineChars="200"/>
              <w:jc w:val="both"/>
              <w:outlineLvl w:val="3"/>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1、废水</w:t>
            </w:r>
          </w:p>
          <w:p>
            <w:pPr>
              <w:spacing w:after="0" w:line="360" w:lineRule="auto"/>
              <w:ind w:firstLine="420" w:firstLineChars="200"/>
              <w:jc w:val="both"/>
              <w:outlineLvl w:val="3"/>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本项目主要为</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室内内部</w:t>
            </w:r>
            <w:r>
              <w:rPr>
                <w:rFonts w:ascii="Times New Roman" w:eastAsia="宋体" w:hAnsi="Times New Roman" w:cs="Times New Roman" w:hint="default"/>
                <w:color w:val="000000" w:themeColor="text1"/>
                <w:sz w:val="21"/>
                <w:szCs w:val="21"/>
                <w:highlight w:val="none"/>
                <w14:textFill>
                  <w14:solidFill>
                    <w14:schemeClr w14:val="tx1"/>
                  </w14:solidFill>
                </w14:textFill>
              </w:rPr>
              <w:t>装修，主要为施工人员生活污水，生活污水</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依托周边居民的</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化粪池</w:t>
            </w:r>
            <w:r>
              <w:rPr>
                <w:rFonts w:ascii="Times New Roman" w:eastAsia="宋体" w:hAnsi="Times New Roman" w:cs="Times New Roman" w:hint="default"/>
                <w:color w:val="000000" w:themeColor="text1"/>
                <w:sz w:val="21"/>
                <w:szCs w:val="21"/>
                <w:highlight w:val="none"/>
                <w14:textFill>
                  <w14:solidFill>
                    <w14:schemeClr w14:val="tx1"/>
                  </w14:solidFill>
                </w14:textFill>
              </w:rPr>
              <w:t>处理后</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排入</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商品街十巷</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市政污水管网最终排入三亚市红沙污水处理厂</w:t>
            </w:r>
            <w:r>
              <w:rPr>
                <w:rFonts w:ascii="Times New Roman" w:eastAsia="宋体" w:hAnsi="Times New Roman" w:cs="Times New Roman" w:hint="default"/>
                <w:color w:val="000000" w:themeColor="text1"/>
                <w:sz w:val="21"/>
                <w:szCs w:val="21"/>
                <w:highlight w:val="none"/>
                <w14:textFill>
                  <w14:solidFill>
                    <w14:schemeClr w14:val="tx1"/>
                  </w14:solidFill>
                </w14:textFill>
              </w:rPr>
              <w:t>，对周边环境影响较小。</w:t>
            </w:r>
          </w:p>
          <w:p>
            <w:pPr>
              <w:spacing w:after="0" w:line="360" w:lineRule="auto"/>
              <w:ind w:firstLine="420" w:firstLineChars="200"/>
              <w:jc w:val="both"/>
              <w:outlineLvl w:val="3"/>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2、</w:t>
            </w: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废气</w:t>
            </w:r>
          </w:p>
          <w:p>
            <w:pPr>
              <w:spacing w:after="0" w:line="360" w:lineRule="auto"/>
              <w:ind w:firstLine="420" w:firstLineChars="200"/>
              <w:jc w:val="both"/>
              <w:outlineLvl w:val="3"/>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施工期大气环境影响主要污染物为施工扬尘，由于是在室内装修施工，项目建设施工单位只要把项目</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厂房</w:t>
            </w:r>
            <w:r>
              <w:rPr>
                <w:rFonts w:ascii="Times New Roman" w:eastAsia="宋体" w:hAnsi="Times New Roman" w:cs="Times New Roman" w:hint="default"/>
                <w:color w:val="000000" w:themeColor="text1"/>
                <w:sz w:val="21"/>
                <w:szCs w:val="21"/>
                <w:highlight w:val="none"/>
                <w14:textFill>
                  <w14:solidFill>
                    <w14:schemeClr w14:val="tx1"/>
                  </w14:solidFill>
                </w14:textFill>
              </w:rPr>
              <w:t>的门窗进行严格管理，基本上可以避免屋内的扬尘飘散</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施工期产生的废气对周边大气环境影响较小。</w:t>
            </w:r>
          </w:p>
          <w:p>
            <w:pPr>
              <w:spacing w:after="0" w:line="360" w:lineRule="auto"/>
              <w:ind w:firstLine="420" w:firstLineChars="200"/>
              <w:jc w:val="both"/>
              <w:outlineLvl w:val="3"/>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3、固体废物</w:t>
            </w:r>
          </w:p>
          <w:p>
            <w:pPr>
              <w:spacing w:after="0" w:line="360" w:lineRule="auto"/>
              <w:ind w:firstLine="420" w:firstLineChars="200"/>
              <w:jc w:val="both"/>
              <w:outlineLvl w:val="3"/>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生活垃圾要定点堆放，及时清运，严禁混入</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装修</w:t>
            </w:r>
            <w:r>
              <w:rPr>
                <w:rFonts w:ascii="Times New Roman" w:eastAsia="宋体" w:hAnsi="Times New Roman" w:cs="Times New Roman" w:hint="default"/>
                <w:color w:val="000000" w:themeColor="text1"/>
                <w:sz w:val="21"/>
                <w:szCs w:val="21"/>
                <w:highlight w:val="none"/>
                <w14:textFill>
                  <w14:solidFill>
                    <w14:schemeClr w14:val="tx1"/>
                  </w14:solidFill>
                </w14:textFill>
              </w:rPr>
              <w:t>垃圾，</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委托环卫部门清运</w:t>
            </w:r>
            <w:r>
              <w:rPr>
                <w:rFonts w:ascii="Times New Roman" w:eastAsia="宋体" w:hAnsi="Times New Roman" w:cs="Times New Roman" w:hint="default"/>
                <w:color w:val="000000" w:themeColor="text1"/>
                <w:sz w:val="21"/>
                <w:szCs w:val="21"/>
                <w:highlight w:val="none"/>
                <w14:textFill>
                  <w14:solidFill>
                    <w14:schemeClr w14:val="tx1"/>
                  </w14:solidFill>
                </w14:textFill>
              </w:rPr>
              <w:t>。所有</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装修</w:t>
            </w:r>
            <w:r>
              <w:rPr>
                <w:rFonts w:ascii="Times New Roman" w:eastAsia="宋体" w:hAnsi="Times New Roman" w:cs="Times New Roman" w:hint="default"/>
                <w:color w:val="000000" w:themeColor="text1"/>
                <w:sz w:val="21"/>
                <w:szCs w:val="21"/>
                <w:highlight w:val="none"/>
                <w14:textFill>
                  <w14:solidFill>
                    <w14:schemeClr w14:val="tx1"/>
                  </w14:solidFill>
                </w14:textFill>
              </w:rPr>
              <w:t>垃圾应运往规定的地点进行处理</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项目施工期间</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装修</w:t>
            </w:r>
            <w:r>
              <w:rPr>
                <w:rFonts w:ascii="Times New Roman" w:eastAsia="宋体" w:hAnsi="Times New Roman" w:cs="Times New Roman" w:hint="default"/>
                <w:color w:val="000000" w:themeColor="text1"/>
                <w:sz w:val="21"/>
                <w:szCs w:val="21"/>
                <w:highlight w:val="none"/>
                <w14:textFill>
                  <w14:solidFill>
                    <w14:schemeClr w14:val="tx1"/>
                  </w14:solidFill>
                </w14:textFill>
              </w:rPr>
              <w:t>垃圾应全部由</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建设单位</w:t>
            </w:r>
            <w:r>
              <w:rPr>
                <w:rFonts w:ascii="Times New Roman" w:eastAsia="宋体" w:hAnsi="Times New Roman" w:cs="Times New Roman" w:hint="default"/>
                <w:color w:val="000000" w:themeColor="text1"/>
                <w:sz w:val="21"/>
                <w:szCs w:val="21"/>
                <w:highlight w:val="none"/>
                <w14:textFill>
                  <w14:solidFill>
                    <w14:schemeClr w14:val="tx1"/>
                  </w14:solidFill>
                </w14:textFill>
              </w:rPr>
              <w:t>运往指定的地点处理</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装修过程中产生的废漆及油漆桶均属于危险废物，必须严格执行危险废物管理规定，由专人、专用容器进行收集，并委托有资质的单位处置。</w:t>
            </w:r>
            <w:r>
              <w:rPr>
                <w:rFonts w:ascii="Times New Roman" w:eastAsia="宋体" w:hAnsi="Times New Roman" w:cs="Times New Roman" w:hint="default"/>
                <w:color w:val="000000" w:themeColor="text1"/>
                <w:sz w:val="21"/>
                <w:szCs w:val="21"/>
                <w:highlight w:val="none"/>
                <w14:textFill>
                  <w14:solidFill>
                    <w14:schemeClr w14:val="tx1"/>
                  </w14:solidFill>
                </w14:textFill>
              </w:rPr>
              <w:t>通过对生活垃圾、</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装修</w:t>
            </w:r>
            <w:r>
              <w:rPr>
                <w:rFonts w:ascii="Times New Roman" w:eastAsia="宋体" w:hAnsi="Times New Roman" w:cs="Times New Roman" w:hint="default"/>
                <w:color w:val="000000" w:themeColor="text1"/>
                <w:sz w:val="21"/>
                <w:szCs w:val="21"/>
                <w:highlight w:val="none"/>
                <w14:textFill>
                  <w14:solidFill>
                    <w14:schemeClr w14:val="tx1"/>
                  </w14:solidFill>
                </w14:textFill>
              </w:rPr>
              <w:t>垃圾</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危险废物</w:t>
            </w:r>
            <w:r>
              <w:rPr>
                <w:rFonts w:ascii="Times New Roman" w:eastAsia="宋体" w:hAnsi="Times New Roman" w:cs="Times New Roman" w:hint="default"/>
                <w:color w:val="000000" w:themeColor="text1"/>
                <w:sz w:val="21"/>
                <w:szCs w:val="21"/>
                <w:highlight w:val="none"/>
                <w14:textFill>
                  <w14:solidFill>
                    <w14:schemeClr w14:val="tx1"/>
                  </w14:solidFill>
                </w14:textFill>
              </w:rPr>
              <w:t>的合理处置后，对环境影响较小。</w:t>
            </w:r>
          </w:p>
          <w:p>
            <w:pPr>
              <w:spacing w:after="0" w:line="360" w:lineRule="auto"/>
              <w:ind w:firstLine="420" w:firstLineChars="200"/>
              <w:jc w:val="both"/>
              <w:outlineLvl w:val="3"/>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4、噪声</w:t>
            </w:r>
          </w:p>
          <w:p>
            <w:pPr>
              <w:spacing w:after="0" w:line="360" w:lineRule="auto"/>
              <w:ind w:firstLine="420" w:firstLineChars="200"/>
              <w:jc w:val="both"/>
              <w:outlineLvl w:val="3"/>
              <w:rPr>
                <w:rFonts w:ascii="Times New Roman" w:eastAsia="宋体" w:hAnsi="Times New Roman" w:cs="Times New Roman" w:hint="default"/>
                <w:b w:val="0"/>
                <w:bCs w:val="0"/>
                <w:i w:val="0"/>
                <w:caps w:val="0"/>
                <w:color w:val="000000" w:themeColor="text1"/>
                <w:spacing w:val="8"/>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合理安排好高噪声设备的使用时间，对产生高噪声的施工机械采用声屏障、减振、吸声等降噪措施后，项目施工期产生的噪声对周围环境影响不大。项目装修时关闭门窗、选用先进的低噪声设备可控制施工场界噪声不</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得</w:t>
            </w:r>
            <w:r>
              <w:rPr>
                <w:rFonts w:ascii="Times New Roman" w:eastAsia="宋体" w:hAnsi="Times New Roman" w:cs="Times New Roman" w:hint="default"/>
                <w:color w:val="000000" w:themeColor="text1"/>
                <w:sz w:val="21"/>
                <w:szCs w:val="21"/>
                <w:highlight w:val="none"/>
                <w14:textFill>
                  <w14:solidFill>
                    <w14:schemeClr w14:val="tx1"/>
                  </w14:solidFill>
                </w14:textFill>
              </w:rPr>
              <w:t>超过《建筑施工场界环境噪声排放标准》（GB12523-2011）限值。且项目施工期较短，随着工程的竣工，施工噪声的影响也会消失，对环境影响不大</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r>
    </w:tbl>
    <w:p>
      <w:pPr>
        <w:sectPr>
          <w:footerReference w:type="default" r:id="rId34"/>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5"/>
          <w:cols w:num="1" w:space="425"/>
          <w:titlePg w:val="0"/>
          <w:docGrid w:type="lines" w:linePitch="312" w:charSpace="0"/>
        </w:sectPr>
      </w:pPr>
    </w:p>
    <w:tbl>
      <w:tblPr>
        <w:tblStyle w:val="TableNormal"/>
        <w:tblW w:w="1015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
      <w:tblGrid>
        <w:gridCol w:w="855"/>
        <w:gridCol w:w="9300"/>
      </w:tblGrid>
      <w:tr>
        <w:tblPrEx>
          <w:tblW w:w="1015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CellMar>
            <w:top w:w="0" w:type="dxa"/>
            <w:left w:w="0" w:type="dxa"/>
            <w:bottom w:w="0" w:type="dxa"/>
            <w:right w:w="0" w:type="dxa"/>
          </w:tblCellMar>
        </w:tblPrEx>
        <w:trPr>
          <w:trHeight w:val="13811"/>
        </w:trPr>
        <w:tc>
          <w:tcPr>
            <w:tcW w:w="855" w:type="dxa"/>
            <w:tcBorders>
              <w:top w:val="single" w:sz="4" w:space="0" w:color="auto"/>
              <w:left w:val="single" w:sz="4" w:space="0" w:color="auto"/>
              <w:bottom w:val="single" w:sz="4" w:space="0" w:color="auto"/>
              <w:right w:val="single" w:sz="6" w:space="0" w:color="auto"/>
            </w:tcBorders>
            <w:shd w:val="clear" w:color="auto" w:fill="auto"/>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运营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期环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境影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响和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保护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ind w:left="0" w:right="0"/>
              <w:jc w:val="center"/>
              <w:rPr>
                <w:rFonts w:ascii="Times New Roman"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i w:val="0"/>
                <w:caps w:val="0"/>
                <w:color w:val="000000" w:themeColor="text1"/>
                <w:spacing w:val="8"/>
                <w:sz w:val="21"/>
                <w:szCs w:val="21"/>
                <w:highlight w:val="none"/>
                <w14:textFill>
                  <w14:solidFill>
                    <w14:schemeClr w14:val="tx1"/>
                  </w14:solidFill>
                </w14:textFill>
              </w:rPr>
              <w:t>措施</w:t>
            </w:r>
          </w:p>
        </w:tc>
        <w:tc>
          <w:tcPr>
            <w:tcW w:w="9300" w:type="dxa"/>
            <w:tcBorders>
              <w:top w:val="single" w:sz="4" w:space="0" w:color="auto"/>
              <w:left w:val="nil"/>
              <w:bottom w:val="single" w:sz="4" w:space="0" w:color="auto"/>
              <w:right w:val="single" w:sz="4" w:space="0" w:color="auto"/>
            </w:tcBorders>
            <w:shd w:val="clear" w:color="auto" w:fill="auto"/>
            <w:tcMar>
              <w:left w:w="105" w:type="dxa"/>
              <w:right w:w="105" w:type="dxa"/>
            </w:tcMar>
            <w:vAlign w:val="center"/>
          </w:tcPr>
          <w:p>
            <w:pPr>
              <w:numPr>
                <w:ilvl w:val="0"/>
                <w:numId w:val="0"/>
              </w:numPr>
              <w:spacing w:line="360" w:lineRule="auto"/>
              <w:ind w:firstLine="420" w:firstLineChars="200"/>
              <w:rPr>
                <w:rFonts w:ascii="Times New Roman" w:hAnsi="Times New Roman" w:cs="Times New Roman" w:hint="default"/>
                <w:b/>
                <w:iCs/>
                <w:color w:val="000000" w:themeColor="text1"/>
                <w:szCs w:val="21"/>
                <w:highlight w:val="none"/>
                <w14:textFill>
                  <w14:solidFill>
                    <w14:schemeClr w14:val="tx1"/>
                  </w14:solidFill>
                </w14:textFill>
              </w:rPr>
            </w:pPr>
            <w:r>
              <w:rPr>
                <w:rFonts w:ascii="Times New Roman" w:hAnsi="Times New Roman" w:cs="Times New Roman" w:hint="default"/>
                <w:b/>
                <w:iCs/>
                <w:color w:val="000000" w:themeColor="text1"/>
                <w:sz w:val="21"/>
                <w:szCs w:val="21"/>
                <w:highlight w:val="none"/>
                <w:lang w:val="en-US" w:eastAsia="zh-CN"/>
                <w14:textFill>
                  <w14:solidFill>
                    <w14:schemeClr w14:val="tx1"/>
                  </w14:solidFill>
                </w14:textFill>
              </w:rPr>
              <w:t>1、大气环境影响和保护措施</w:t>
            </w:r>
          </w:p>
          <w:p>
            <w:pPr>
              <w:spacing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项目运营期大气污染源</w:t>
            </w:r>
            <w:r>
              <w:rPr>
                <w:rFonts w:ascii="Times New Roman" w:hAnsi="Times New Roman" w:cs="Times New Roman" w:hint="default"/>
                <w:color w:val="000000" w:themeColor="text1"/>
                <w:sz w:val="21"/>
                <w:szCs w:val="21"/>
                <w:highlight w:val="none"/>
                <w14:textFill>
                  <w14:solidFill>
                    <w14:schemeClr w14:val="tx1"/>
                  </w14:solidFill>
                </w14:textFill>
              </w:rPr>
              <w:t>主要包括：</w:t>
            </w:r>
            <w:r>
              <w:rPr>
                <w:rFonts w:ascii="Times New Roman" w:eastAsia="宋体" w:hAnsi="Times New Roman" w:cs="Times New Roman" w:hint="default"/>
                <w:color w:val="000000" w:themeColor="text1"/>
                <w:sz w:val="21"/>
                <w:szCs w:val="21"/>
                <w:highlight w:val="none"/>
                <w14:textFill>
                  <w14:solidFill>
                    <w14:schemeClr w14:val="tx1"/>
                  </w14:solidFill>
                </w14:textFill>
              </w:rPr>
              <w:t>污水处理设施废气</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含病原体废气及消毒异味</w:t>
            </w:r>
            <w:r>
              <w:rPr>
                <w:rFonts w:ascii="Times New Roman" w:eastAsia="宋体" w:hAnsi="Times New Roman" w:cs="Times New Roman" w:hint="default"/>
                <w:color w:val="000000" w:themeColor="text1"/>
                <w:sz w:val="21"/>
                <w:szCs w:val="21"/>
                <w:highlight w:val="none"/>
                <w:lang w:eastAsia="zh-CN"/>
                <w14:textFill>
                  <w14:solidFill>
                    <w14:schemeClr w14:val="tx1"/>
                  </w14:solidFill>
                </w14:textFill>
              </w:rPr>
              <w:t>、备用发电机废</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气等。</w:t>
            </w:r>
          </w:p>
          <w:p>
            <w:pPr>
              <w:spacing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 xml:space="preserve">（1）污水处理站废气 </w:t>
            </w:r>
          </w:p>
          <w:p>
            <w:pPr>
              <w:spacing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根据《污染源源强核算技术指南 准则》（HJ884-2018），本项目污水处理站废气采用系数法进行项目废气源强核算。</w:t>
            </w:r>
          </w:p>
          <w:p>
            <w:pPr>
              <w:spacing w:line="360" w:lineRule="auto"/>
              <w:ind w:firstLine="420" w:firstLineChars="200"/>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参照美国 EPA 对类似处理厂恶臭污染物产生情况的研究，每处理 1gBOD</w:t>
            </w:r>
            <w:r>
              <w:rPr>
                <w:rFonts w:ascii="Times New Roman" w:hAnsi="Times New Roman" w:cs="Times New Roman" w:hint="default"/>
                <w:color w:val="000000" w:themeColor="text1"/>
                <w:sz w:val="21"/>
                <w:szCs w:val="21"/>
                <w:highlight w:val="none"/>
                <w:vertAlign w:val="subscript"/>
                <w:lang w:val="en-US" w:eastAsia="zh-CN"/>
                <w14:textFill>
                  <w14:solidFill>
                    <w14:schemeClr w14:val="tx1"/>
                  </w14:solidFill>
                </w14:textFill>
              </w:rPr>
              <w:t>5</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可产生 0.0031g 的 NH</w:t>
            </w:r>
            <w:r>
              <w:rPr>
                <w:rFonts w:ascii="Times New Roman" w:hAnsi="Times New Roman" w:cs="Times New Roman" w:hint="default"/>
                <w:color w:val="000000" w:themeColor="text1"/>
                <w:sz w:val="21"/>
                <w:szCs w:val="21"/>
                <w:highlight w:val="none"/>
                <w:vertAlign w:val="subscript"/>
                <w:lang w:val="en-US" w:eastAsia="zh-CN"/>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、0.00012g的H</w:t>
            </w:r>
            <w:r>
              <w:rPr>
                <w:rFonts w:ascii="Times New Roman" w:hAnsi="Times New Roman" w:cs="Times New Roman" w:hint="default"/>
                <w:color w:val="000000" w:themeColor="text1"/>
                <w:sz w:val="21"/>
                <w:szCs w:val="21"/>
                <w:highlight w:val="none"/>
                <w:vertAlign w:val="subscript"/>
                <w:lang w:val="en-US" w:eastAsia="zh-CN"/>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S。项目废水 BOD</w:t>
            </w:r>
            <w:r>
              <w:rPr>
                <w:rFonts w:ascii="Times New Roman" w:hAnsi="Times New Roman" w:cs="Times New Roman" w:hint="default"/>
                <w:color w:val="000000" w:themeColor="text1"/>
                <w:sz w:val="21"/>
                <w:szCs w:val="21"/>
                <w:highlight w:val="none"/>
                <w:vertAlign w:val="subscript"/>
                <w:lang w:val="en-US" w:eastAsia="zh-CN"/>
                <w14:textFill>
                  <w14:solidFill>
                    <w14:schemeClr w14:val="tx1"/>
                  </w14:solidFill>
                </w14:textFill>
              </w:rPr>
              <w:t>5</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去除量为204.4kg/a，则污水处理设施的废气污染源强为NH</w:t>
            </w:r>
            <w:r>
              <w:rPr>
                <w:rFonts w:ascii="Times New Roman" w:hAnsi="Times New Roman" w:cs="Times New Roman" w:hint="default"/>
                <w:color w:val="000000" w:themeColor="text1"/>
                <w:sz w:val="21"/>
                <w:szCs w:val="21"/>
                <w:highlight w:val="none"/>
                <w:vertAlign w:val="subscript"/>
                <w:lang w:val="en-US" w:eastAsia="zh-CN"/>
                <w14:textFill>
                  <w14:solidFill>
                    <w14:schemeClr w14:val="tx1"/>
                  </w14:solidFill>
                </w14:textFill>
              </w:rPr>
              <w:t>3</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：0.64kg/a；H</w:t>
            </w:r>
            <w:r>
              <w:rPr>
                <w:rFonts w:ascii="Times New Roman" w:hAnsi="Times New Roman" w:cs="Times New Roman" w:hint="default"/>
                <w:color w:val="000000" w:themeColor="text1"/>
                <w:sz w:val="21"/>
                <w:szCs w:val="21"/>
                <w:highlight w:val="none"/>
                <w:vertAlign w:val="subscript"/>
                <w:lang w:val="en-US" w:eastAsia="zh-CN"/>
                <w14:textFill>
                  <w14:solidFill>
                    <w14:schemeClr w14:val="tx1"/>
                  </w14:solidFill>
                </w14:textFill>
              </w:rPr>
              <w:t>2</w:t>
            </w:r>
            <w:r>
              <w:rPr>
                <w:rFonts w:ascii="Times New Roman" w:hAnsi="Times New Roman" w:cs="Times New Roman" w:hint="default"/>
                <w:color w:val="000000" w:themeColor="text1"/>
                <w:sz w:val="21"/>
                <w:szCs w:val="21"/>
                <w:highlight w:val="none"/>
                <w:lang w:val="en-US" w:eastAsia="zh-CN"/>
                <w14:textFill>
                  <w14:solidFill>
                    <w14:schemeClr w14:val="tx1"/>
                  </w14:solidFill>
                </w14:textFill>
              </w:rPr>
              <w:t>S：0.025kg/a。</w:t>
            </w:r>
          </w:p>
          <w:p>
            <w:pPr>
              <w:keepNext w:val="0"/>
              <w:keepLines w:val="0"/>
              <w:pageBreakBefore w:val="0"/>
              <w:widowControl w:val="0"/>
              <w:kinsoku/>
              <w:wordWrap/>
              <w:overflowPunct/>
              <w:topLinePunct w:val="0"/>
              <w:autoSpaceDE/>
              <w:autoSpaceDN/>
              <w:bidi w:val="0"/>
              <w:adjustRightInd/>
              <w:snapToGrid w:val="0"/>
              <w:spacing w:after="0" w:line="360" w:lineRule="auto"/>
              <w:ind w:left="0" w:right="0" w:firstLine="420" w:leftChars="0" w:rightChars="0" w:firstLineChars="200"/>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采取活性炭吸附除臭措施，收集率约80%，恶臭去除效率可达85%，风量为3000m</w:t>
            </w:r>
            <w:r>
              <w:rPr>
                <w:rFonts w:ascii="Times New Roman" w:eastAsia="宋体" w:hAnsi="Times New Roman" w:cs="Times New Roman" w:hint="default"/>
                <w:color w:val="000000" w:themeColor="text1"/>
                <w:sz w:val="21"/>
                <w:szCs w:val="21"/>
                <w:highlight w:val="none"/>
                <w:vertAlign w:val="superscript"/>
                <w:lang w:val="en-US" w:eastAsia="zh-CN"/>
                <w14:textFill>
                  <w14:solidFill>
                    <w14:schemeClr w14:val="tx1"/>
                  </w14:solidFill>
                </w14:textFill>
              </w:rPr>
              <w:t>3</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/h。</w:t>
            </w:r>
            <w:r>
              <w:rPr>
                <w:rFonts w:ascii="Times New Roman" w:eastAsia="宋体" w:hAnsi="Times New Roman" w:cs="Times New Roman" w:hint="default"/>
                <w:color w:val="000000" w:themeColor="text1"/>
                <w:sz w:val="21"/>
                <w:szCs w:val="21"/>
                <w:highlight w:val="none"/>
                <w14:textFill>
                  <w14:solidFill>
                    <w14:schemeClr w14:val="tx1"/>
                  </w14:solidFill>
                </w14:textFill>
              </w:rPr>
              <w:t>拟建医院污水处理站恶臭气体</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排放情况见下表。</w:t>
            </w:r>
          </w:p>
          <w:p>
            <w:pPr>
              <w:keepNext w:val="0"/>
              <w:keepLines w:val="0"/>
              <w:pageBreakBefore w:val="0"/>
              <w:widowControl w:val="0"/>
              <w:kinsoku/>
              <w:wordWrap/>
              <w:overflowPunct/>
              <w:topLinePunct w:val="0"/>
              <w:autoSpaceDE/>
              <w:autoSpaceDN/>
              <w:bidi w:val="0"/>
              <w:adjustRightInd/>
              <w:spacing w:after="0" w:line="240" w:lineRule="auto"/>
              <w:ind w:left="0" w:right="0" w:leftChars="0" w:rightChars="0"/>
              <w:jc w:val="center"/>
              <w:textAlignment w:val="auto"/>
              <w:outlineLvl w:val="9"/>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表4-1 医院污水处理站恶臭排放情况一览表</w:t>
            </w:r>
          </w:p>
          <w:tbl>
            <w:tblPr>
              <w:tblStyle w:val="TableGrid14"/>
              <w:tblW w:w="90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36"/>
              <w:gridCol w:w="1136"/>
              <w:gridCol w:w="1136"/>
              <w:gridCol w:w="1136"/>
              <w:gridCol w:w="1136"/>
              <w:gridCol w:w="1136"/>
              <w:gridCol w:w="1136"/>
              <w:gridCol w:w="1138"/>
            </w:tblGrid>
            <w:tr>
              <w:tblPrEx>
                <w:tblW w:w="90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污染物</w:t>
                  </w:r>
                </w:p>
              </w:tc>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产生量kg/a</w:t>
                  </w:r>
                </w:p>
              </w:tc>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产生浓度mg/m</w:t>
                  </w:r>
                  <w:r>
                    <w:rPr>
                      <w:rFonts w:ascii="Times New Roman" w:eastAsia="宋体" w:hAnsi="Times New Roman" w:cs="Times New Roman" w:hint="default"/>
                      <w:b/>
                      <w:bCs/>
                      <w:color w:val="000000" w:themeColor="text1"/>
                      <w:sz w:val="21"/>
                      <w:szCs w:val="21"/>
                      <w:highlight w:val="none"/>
                      <w:vertAlign w:val="superscript"/>
                      <w:lang w:val="en-US" w:eastAsia="zh-CN" w:bidi="ar-SA"/>
                      <w14:textFill>
                        <w14:solidFill>
                          <w14:schemeClr w14:val="tx1"/>
                        </w14:solidFill>
                      </w14:textFill>
                    </w:rPr>
                    <w:t>3</w:t>
                  </w:r>
                </w:p>
              </w:tc>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治理措施</w:t>
                  </w:r>
                </w:p>
              </w:tc>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收集率</w:t>
                  </w:r>
                </w:p>
              </w:tc>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去除率</w:t>
                  </w:r>
                </w:p>
              </w:tc>
              <w:tc>
                <w:tcPr>
                  <w:tcW w:w="1136"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排放量kg/a</w:t>
                  </w:r>
                </w:p>
              </w:tc>
              <w:tc>
                <w:tcPr>
                  <w:tcW w:w="1138" w:type="dxa"/>
                  <w:vAlign w:val="center"/>
                </w:tcPr>
                <w:p>
                  <w:pPr>
                    <w:widowControl w:val="0"/>
                    <w:autoSpaceDE w:val="0"/>
                    <w:autoSpaceDN w:val="0"/>
                    <w:adjustRightInd w:val="0"/>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bidi="ar-SA"/>
                      <w14:textFill>
                        <w14:solidFill>
                          <w14:schemeClr w14:val="tx1"/>
                        </w14:solidFill>
                      </w14:textFill>
                    </w:rPr>
                    <w:t>排放浓度mg/m</w:t>
                  </w:r>
                  <w:r>
                    <w:rPr>
                      <w:rFonts w:ascii="Times New Roman" w:eastAsia="宋体" w:hAnsi="Times New Roman" w:cs="Times New Roman" w:hint="default"/>
                      <w:b/>
                      <w:bCs/>
                      <w:color w:val="000000" w:themeColor="text1"/>
                      <w:sz w:val="21"/>
                      <w:szCs w:val="21"/>
                      <w:highlight w:val="none"/>
                      <w:vertAlign w:val="superscript"/>
                      <w:lang w:val="en-US" w:eastAsia="zh-CN" w:bidi="ar-SA"/>
                      <w14:textFill>
                        <w14:solidFill>
                          <w14:schemeClr w14:val="tx1"/>
                        </w14:solidFill>
                      </w14:textFill>
                    </w:rPr>
                    <w:t>3</w:t>
                  </w:r>
                </w:p>
              </w:tc>
            </w:tr>
            <w:tr>
              <w:tblPrEx>
                <w:tblW w:w="9090" w:type="dxa"/>
                <w:tblInd w:w="0" w:type="dxa"/>
                <w:tblLayout w:type="fixed"/>
                <w:tblCellMar>
                  <w:top w:w="0" w:type="dxa"/>
                  <w:left w:w="108" w:type="dxa"/>
                  <w:bottom w:w="0" w:type="dxa"/>
                  <w:right w:w="108" w:type="dxa"/>
                </w:tblCellMar>
              </w:tblPrEx>
              <w:tc>
                <w:tcPr>
                  <w:tcW w:w="1136" w:type="dxa"/>
                  <w:vAlign w:val="center"/>
                </w:tcPr>
                <w:p>
                  <w:pPr>
                    <w:widowControl w:val="0"/>
                    <w:autoSpaceDE w:val="0"/>
                    <w:autoSpaceDN w:val="0"/>
                    <w:adjustRightInd w:val="0"/>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bidi="ar-SA"/>
                      <w14:textFill>
                        <w14:solidFill>
                          <w14:schemeClr w14:val="tx1"/>
                        </w14:solidFill>
                      </w14:textFill>
                    </w:rPr>
                    <w:t>NH</w:t>
                  </w:r>
                  <w:r>
                    <w:rPr>
                      <w:rFonts w:ascii="Times New Roman" w:eastAsia="宋体" w:hAnsi="Times New Roman" w:cs="Times New Roman" w:hint="default"/>
                      <w:b w:val="0"/>
                      <w:bCs w:val="0"/>
                      <w:color w:val="000000" w:themeColor="text1"/>
                      <w:sz w:val="21"/>
                      <w:szCs w:val="21"/>
                      <w:highlight w:val="none"/>
                      <w:vertAlign w:val="subscript"/>
                      <w:lang w:val="en-US" w:eastAsia="zh-CN" w:bidi="ar-SA"/>
                      <w14:textFill>
                        <w14:solidFill>
                          <w14:schemeClr w14:val="tx1"/>
                        </w14:solidFill>
                      </w14:textFill>
                    </w:rPr>
                    <w:t>3</w:t>
                  </w:r>
                </w:p>
              </w:tc>
              <w:tc>
                <w:tcPr>
                  <w:tcW w:w="1136"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0.64</w:t>
                  </w:r>
                </w:p>
              </w:tc>
              <w:tc>
                <w:tcPr>
                  <w:tcW w:w="1136"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0.58</w:t>
                  </w:r>
                </w:p>
              </w:tc>
              <w:tc>
                <w:tcPr>
                  <w:tcW w:w="1136" w:type="dxa"/>
                  <w:vMerge w:val="restart"/>
                  <w:vAlign w:val="center"/>
                </w:tcPr>
                <w:p>
                  <w:pPr>
                    <w:keepNext w:val="0"/>
                    <w:keepLines w:val="0"/>
                    <w:widowControl/>
                    <w:suppressLineNumbers w:val="0"/>
                    <w:jc w:val="center"/>
                    <w:textAlignment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80%</w:t>
                  </w:r>
                </w:p>
              </w:tc>
              <w:tc>
                <w:tcPr>
                  <w:tcW w:w="1136" w:type="dxa"/>
                  <w:vMerge w:val="restart"/>
                  <w:vAlign w:val="center"/>
                </w:tcPr>
                <w:p>
                  <w:pPr>
                    <w:keepNext w:val="0"/>
                    <w:keepLines w:val="0"/>
                    <w:widowControl/>
                    <w:suppressLineNumbers w:val="0"/>
                    <w:jc w:val="center"/>
                    <w:textAlignment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85%</w:t>
                  </w:r>
                </w:p>
              </w:tc>
              <w:tc>
                <w:tcPr>
                  <w:tcW w:w="1136" w:type="dxa"/>
                  <w:vMerge w:val="restart"/>
                  <w:vAlign w:val="center"/>
                </w:tcPr>
                <w:p>
                  <w:pPr>
                    <w:keepNext w:val="0"/>
                    <w:keepLines w:val="0"/>
                    <w:widowControl/>
                    <w:suppressLineNumbers w:val="0"/>
                    <w:jc w:val="center"/>
                    <w:textAlignment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14:textFill>
                        <w14:solidFill>
                          <w14:schemeClr w14:val="tx1"/>
                        </w14:solidFill>
                      </w14:textFill>
                    </w:rPr>
                    <w:t>3000</w:t>
                  </w:r>
                </w:p>
              </w:tc>
              <w:tc>
                <w:tcPr>
                  <w:tcW w:w="1136"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0.077</w:t>
                  </w:r>
                </w:p>
              </w:tc>
              <w:tc>
                <w:tcPr>
                  <w:tcW w:w="1138"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0.070</w:t>
                  </w:r>
                </w:p>
              </w:tc>
            </w:tr>
            <w:tr>
              <w:tblPrEx>
                <w:tblW w:w="9090" w:type="dxa"/>
                <w:tblInd w:w="0" w:type="dxa"/>
                <w:tblLayout w:type="fixed"/>
                <w:tblCellMar>
                  <w:top w:w="0" w:type="dxa"/>
                  <w:left w:w="108" w:type="dxa"/>
                  <w:bottom w:w="0" w:type="dxa"/>
                  <w:right w:w="108" w:type="dxa"/>
                </w:tblCellMar>
              </w:tblPrEx>
              <w:tc>
                <w:tcPr>
                  <w:tcW w:w="1136" w:type="dxa"/>
                  <w:vAlign w:val="center"/>
                </w:tcPr>
                <w:p>
                  <w:pPr>
                    <w:widowControl w:val="0"/>
                    <w:autoSpaceDE w:val="0"/>
                    <w:autoSpaceDN w:val="0"/>
                    <w:adjustRightInd w:val="0"/>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lang w:val="en-US" w:eastAsia="zh-CN" w:bidi="ar-SA"/>
                      <w14:textFill>
                        <w14:solidFill>
                          <w14:schemeClr w14:val="tx1"/>
                        </w14:solidFill>
                      </w14:textFill>
                    </w:rPr>
                    <w:t>H</w:t>
                  </w:r>
                  <w:r>
                    <w:rPr>
                      <w:rFonts w:ascii="Times New Roman" w:eastAsia="宋体" w:hAnsi="Times New Roman" w:cs="Times New Roman" w:hint="default"/>
                      <w:b w:val="0"/>
                      <w:bCs w:val="0"/>
                      <w:color w:val="000000" w:themeColor="text1"/>
                      <w:sz w:val="21"/>
                      <w:szCs w:val="21"/>
                      <w:highlight w:val="none"/>
                      <w:vertAlign w:val="subscript"/>
                      <w:lang w:val="en-US" w:eastAsia="zh-CN" w:bidi="ar-SA"/>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lang w:val="en-US" w:eastAsia="zh-CN" w:bidi="ar-SA"/>
                      <w14:textFill>
                        <w14:solidFill>
                          <w14:schemeClr w14:val="tx1"/>
                        </w14:solidFill>
                      </w14:textFill>
                    </w:rPr>
                    <w:t>S</w:t>
                  </w:r>
                </w:p>
              </w:tc>
              <w:tc>
                <w:tcPr>
                  <w:tcW w:w="1136"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0.025</w:t>
                  </w:r>
                </w:p>
              </w:tc>
              <w:tc>
                <w:tcPr>
                  <w:tcW w:w="1136"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0.00095</w:t>
                  </w:r>
                </w:p>
              </w:tc>
              <w:tc>
                <w:tcPr>
                  <w:tcW w:w="1136" w:type="dxa"/>
                  <w:vMerge/>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1136" w:type="dxa"/>
                  <w:vMerge/>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1136" w:type="dxa"/>
                  <w:vMerge/>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1136"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0.003</w:t>
                  </w:r>
                </w:p>
              </w:tc>
              <w:tc>
                <w:tcPr>
                  <w:tcW w:w="1138" w:type="dxa"/>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0.0027</w:t>
                  </w:r>
                </w:p>
              </w:tc>
            </w:tr>
          </w:tbl>
          <w:p>
            <w:pPr>
              <w:keepNext w:val="0"/>
              <w:keepLines w:val="0"/>
              <w:pageBreakBefore w:val="0"/>
              <w:kinsoku/>
              <w:wordWrap/>
              <w:overflowPunct/>
              <w:topLinePunct w:val="0"/>
              <w:autoSpaceDE/>
              <w:autoSpaceDN/>
              <w:bidi w:val="0"/>
              <w:spacing w:line="240" w:lineRule="auto"/>
              <w:jc w:val="center"/>
              <w:textAlignment w:val="auto"/>
              <w:rPr>
                <w:rFonts w:ascii="Times New Roman" w:eastAsia="宋体" w:hAnsi="Times New Roman" w:cs="Times New Roman" w:hint="default"/>
                <w:b/>
                <w:color w:val="000000" w:themeColor="text1"/>
                <w:szCs w:val="21"/>
                <w:highlight w:val="none"/>
                <w14:textFill>
                  <w14:solidFill>
                    <w14:schemeClr w14:val="tx1"/>
                  </w14:solidFill>
                </w14:textFill>
              </w:rPr>
            </w:pPr>
            <w:r>
              <w:rPr>
                <w:rFonts w:ascii="Times New Roman" w:eastAsia="宋体" w:hAnsi="Times New Roman" w:cs="Times New Roman" w:hint="default"/>
                <w:b/>
                <w:color w:val="000000" w:themeColor="text1"/>
                <w:sz w:val="21"/>
                <w:szCs w:val="21"/>
                <w:highlight w:val="none"/>
                <w14:textFill>
                  <w14:solidFill>
                    <w14:schemeClr w14:val="tx1"/>
                  </w14:solidFill>
                </w14:textFill>
              </w:rPr>
              <w:t>表</w:t>
            </w:r>
            <w:r>
              <w:rPr>
                <w:rFonts w:ascii="Times New Roman" w:eastAsia="宋体" w:hAnsi="Times New Roman" w:cs="Times New Roman" w:hint="default"/>
                <w:b/>
                <w:color w:val="000000" w:themeColor="text1"/>
                <w:sz w:val="21"/>
                <w:szCs w:val="21"/>
                <w:highlight w:val="none"/>
                <w:lang w:val="en-US" w:eastAsia="zh-CN"/>
                <w14:textFill>
                  <w14:solidFill>
                    <w14:schemeClr w14:val="tx1"/>
                  </w14:solidFill>
                </w14:textFill>
              </w:rPr>
              <w:t>4-2</w:t>
            </w:r>
            <w:r>
              <w:rPr>
                <w:rFonts w:ascii="Times New Roman" w:eastAsia="宋体" w:hAnsi="Times New Roman" w:cs="Times New Roman" w:hint="default"/>
                <w:b/>
                <w:color w:val="000000" w:themeColor="text1"/>
                <w:sz w:val="21"/>
                <w:szCs w:val="21"/>
                <w:highlight w:val="none"/>
                <w14:textFill>
                  <w14:solidFill>
                    <w14:schemeClr w14:val="tx1"/>
                  </w14:solidFill>
                </w14:textFill>
              </w:rPr>
              <w:t xml:space="preserve">  </w:t>
            </w:r>
            <w:r>
              <w:rPr>
                <w:rFonts w:ascii="Times New Roman" w:eastAsia="宋体" w:hAnsi="Times New Roman" w:cs="Times New Roman" w:hint="default"/>
                <w:b/>
                <w:color w:val="000000" w:themeColor="text1"/>
                <w:sz w:val="21"/>
                <w:szCs w:val="21"/>
                <w:highlight w:val="none"/>
                <w:lang w:val="en-US" w:eastAsia="zh-CN"/>
                <w14:textFill>
                  <w14:solidFill>
                    <w14:schemeClr w14:val="tx1"/>
                  </w14:solidFill>
                </w14:textFill>
              </w:rPr>
              <w:t>污水处理站废气</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产排污环节、污染物种类、污染物产生量和浓度一览表</w:t>
            </w:r>
          </w:p>
          <w:tbl>
            <w:tblPr>
              <w:tblStyle w:val="TableNormal"/>
              <w:tblW w:w="86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1267"/>
              <w:gridCol w:w="2436"/>
              <w:gridCol w:w="1017"/>
              <w:gridCol w:w="1319"/>
              <w:gridCol w:w="1319"/>
              <w:gridCol w:w="1320"/>
            </w:tblGrid>
            <w:tr>
              <w:tblPrEx>
                <w:tblW w:w="86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108"/>
                <w:jc w:val="center"/>
              </w:trPr>
              <w:tc>
                <w:tcPr>
                  <w:tcW w:w="126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产排污环节</w:t>
                  </w:r>
                </w:p>
              </w:tc>
              <w:tc>
                <w:tcPr>
                  <w:tcW w:w="3453"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污染物种类</w:t>
                  </w:r>
                </w:p>
              </w:tc>
              <w:tc>
                <w:tcPr>
                  <w:tcW w:w="3958"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污染物</w:t>
                  </w:r>
                  <w:r>
                    <w:rPr>
                      <w:rFonts w:ascii="Times New Roman" w:eastAsia="宋体" w:hAnsi="Times New Roman" w:cs="Times New Roman" w:hint="default"/>
                      <w:b/>
                      <w:bCs/>
                      <w:color w:val="000000" w:themeColor="text1"/>
                      <w:sz w:val="21"/>
                      <w:szCs w:val="21"/>
                      <w:highlight w:val="none"/>
                      <w14:textFill>
                        <w14:solidFill>
                          <w14:schemeClr w14:val="tx1"/>
                        </w14:solidFill>
                      </w14:textFill>
                    </w:rPr>
                    <w:t>产生情况</w:t>
                  </w:r>
                </w:p>
              </w:tc>
            </w:tr>
            <w:tr>
              <w:tblPrEx>
                <w:tblW w:w="8678" w:type="dxa"/>
                <w:jc w:val="center"/>
                <w:tblLayout w:type="fixed"/>
                <w:tblCellMar>
                  <w:top w:w="0" w:type="dxa"/>
                  <w:left w:w="108" w:type="dxa"/>
                  <w:bottom w:w="0" w:type="dxa"/>
                  <w:right w:w="108" w:type="dxa"/>
                </w:tblCellMar>
              </w:tblPrEx>
              <w:trPr>
                <w:trHeight w:val="197"/>
                <w:jc w:val="center"/>
              </w:trPr>
              <w:tc>
                <w:tcPr>
                  <w:tcW w:w="1267" w:type="dxa"/>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p>
              </w:tc>
              <w:tc>
                <w:tcPr>
                  <w:tcW w:w="3453" w:type="dxa"/>
                  <w:gridSpan w:val="2"/>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vertAlign w:val="subscript"/>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eastAsia="zh-CN"/>
                      <w14:textFill>
                        <w14:solidFill>
                          <w14:schemeClr w14:val="tx1"/>
                        </w14:solidFill>
                      </w14:textFill>
                    </w:rPr>
                    <w:t>产生浓度</w:t>
                  </w:r>
                  <w:r>
                    <w:rPr>
                      <w:rFonts w:ascii="Times New Roman" w:eastAsia="宋体" w:hAnsi="Times New Roman" w:cs="Times New Roman" w:hint="default"/>
                      <w:b/>
                      <w:bCs w:val="0"/>
                      <w:color w:val="000000" w:themeColor="text1"/>
                      <w:sz w:val="21"/>
                      <w:szCs w:val="21"/>
                      <w:highlight w:val="none"/>
                      <w14:textFill>
                        <w14:solidFill>
                          <w14:schemeClr w14:val="tx1"/>
                        </w14:solidFill>
                      </w14:textFill>
                    </w:rPr>
                    <w:t>mg/m</w:t>
                  </w:r>
                  <w:r>
                    <w:rPr>
                      <w:rFonts w:ascii="Times New Roman" w:eastAsia="宋体" w:hAnsi="Times New Roman" w:cs="Times New Roman" w:hint="default"/>
                      <w:b/>
                      <w:bCs w:val="0"/>
                      <w:color w:val="000000" w:themeColor="text1"/>
                      <w:sz w:val="21"/>
                      <w:szCs w:val="21"/>
                      <w:highlight w:val="none"/>
                      <w:vertAlign w:val="superscript"/>
                      <w14:textFill>
                        <w14:solidFill>
                          <w14:schemeClr w14:val="tx1"/>
                        </w14:solidFill>
                      </w14:textFill>
                    </w:rPr>
                    <w:t>3</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eastAsia="zh-CN"/>
                      <w14:textFill>
                        <w14:solidFill>
                          <w14:schemeClr w14:val="tx1"/>
                        </w14:solidFill>
                      </w14:textFill>
                    </w:rPr>
                    <w:t>产生速率</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kg/h</w:t>
                  </w:r>
                </w:p>
              </w:tc>
              <w:tc>
                <w:tcPr>
                  <w:tcW w:w="13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val="0"/>
                      <w:color w:val="000000" w:themeColor="text1"/>
                      <w:szCs w:val="21"/>
                      <w:highlight w:val="no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eastAsia="zh-CN"/>
                      <w14:textFill>
                        <w14:solidFill>
                          <w14:schemeClr w14:val="tx1"/>
                        </w14:solidFill>
                      </w14:textFill>
                    </w:rPr>
                    <w:t>产生量</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kg/a</w:t>
                  </w:r>
                </w:p>
              </w:tc>
            </w:tr>
            <w:tr>
              <w:tblPrEx>
                <w:tblW w:w="8678" w:type="dxa"/>
                <w:jc w:val="center"/>
                <w:tblLayout w:type="fixed"/>
                <w:tblCellMar>
                  <w:top w:w="0" w:type="dxa"/>
                  <w:left w:w="108" w:type="dxa"/>
                  <w:bottom w:w="0" w:type="dxa"/>
                  <w:right w:w="108" w:type="dxa"/>
                </w:tblCellMar>
              </w:tblPrEx>
              <w:trPr>
                <w:trHeight w:val="123"/>
                <w:jc w:val="center"/>
              </w:trPr>
              <w:tc>
                <w:tcPr>
                  <w:tcW w:w="1267"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污水处理站</w:t>
                  </w:r>
                </w:p>
              </w:tc>
              <w:tc>
                <w:tcPr>
                  <w:tcW w:w="2436" w:type="dxa"/>
                  <w:vMerge w:val="restart"/>
                  <w:tcBorders>
                    <w:tl2br w:val="nil"/>
                    <w:tr2bl w:val="nil"/>
                  </w:tcBorders>
                  <w:noWrap w:val="0"/>
                  <w:vAlign w:val="center"/>
                </w:tcPr>
                <w:p>
                  <w:pPr>
                    <w:spacing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eastAsiaTheme="minorEastAsia" w:cs="Times New Roman" w:hint="default"/>
                      <w:color w:val="000000" w:themeColor="text1"/>
                      <w:sz w:val="21"/>
                      <w:szCs w:val="21"/>
                      <w:highlight w:val="none"/>
                      <w:lang w:val="en-US" w:eastAsia="zh-CN"/>
                      <w14:textFill>
                        <w14:solidFill>
                          <w14:schemeClr w14:val="tx1"/>
                        </w14:solidFill>
                      </w14:textFill>
                    </w:rPr>
                    <w:t>污水处理站废气</w:t>
                  </w:r>
                </w:p>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（有组织）</w:t>
                  </w:r>
                </w:p>
              </w:tc>
              <w:tc>
                <w:tcPr>
                  <w:tcW w:w="1017" w:type="dxa"/>
                  <w:tcBorders>
                    <w:tl2br w:val="nil"/>
                    <w:tr2bl w:val="nil"/>
                  </w:tcBorders>
                  <w:noWrap w:val="0"/>
                  <w:vAlign w:val="center"/>
                </w:tcPr>
                <w:p>
                  <w:pPr>
                    <w:jc w:val="center"/>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NH</w:t>
                  </w:r>
                  <w:r>
                    <w:rPr>
                      <w:rFonts w:ascii="Times New Roman" w:eastAsia="宋体" w:hAnsi="Times New Roman" w:cs="Times New Roman" w:hint="default"/>
                      <w:color w:val="000000" w:themeColor="text1"/>
                      <w:sz w:val="21"/>
                      <w:szCs w:val="21"/>
                      <w:highlight w:val="none"/>
                      <w:vertAlign w:val="subscript"/>
                      <w:lang w:val="en-US" w:eastAsia="zh-CN" w:bidi="ar-SA"/>
                      <w14:textFill>
                        <w14:solidFill>
                          <w14:schemeClr w14:val="tx1"/>
                        </w14:solidFill>
                      </w14:textFill>
                    </w:rPr>
                    <w:t>3</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0.58</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0.000073</w:t>
                  </w:r>
                </w:p>
              </w:tc>
              <w:tc>
                <w:tcPr>
                  <w:tcW w:w="13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0.64</w:t>
                  </w:r>
                </w:p>
              </w:tc>
            </w:tr>
            <w:tr>
              <w:tblPrEx>
                <w:tblW w:w="8678" w:type="dxa"/>
                <w:jc w:val="center"/>
                <w:tblLayout w:type="fixed"/>
                <w:tblCellMar>
                  <w:top w:w="0" w:type="dxa"/>
                  <w:left w:w="108" w:type="dxa"/>
                  <w:bottom w:w="0" w:type="dxa"/>
                  <w:right w:w="108" w:type="dxa"/>
                </w:tblCellMar>
              </w:tblPrEx>
              <w:trPr>
                <w:trHeight w:val="123"/>
                <w:jc w:val="center"/>
              </w:trPr>
              <w:tc>
                <w:tcPr>
                  <w:tcW w:w="1267" w:type="dxa"/>
                  <w:vMerge/>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p>
              </w:tc>
              <w:tc>
                <w:tcPr>
                  <w:tcW w:w="2436" w:type="dxa"/>
                  <w:vMerge/>
                  <w:tcBorders>
                    <w:tl2br w:val="nil"/>
                    <w:tr2bl w:val="nil"/>
                  </w:tcBorders>
                  <w:noWrap w:val="0"/>
                  <w:vAlign w:val="center"/>
                </w:tcPr>
                <w:p>
                  <w:pPr>
                    <w:pStyle w:val="Default"/>
                    <w:jc w:val="center"/>
                    <w:rPr>
                      <w:rFonts w:ascii="Times New Roman" w:hAnsi="Times New Roman" w:cs="Times New Roman" w:hint="default"/>
                      <w:b w:val="0"/>
                      <w:bCs w:val="0"/>
                      <w:color w:themeColor="text1"/>
                      <w:sz w:val="21"/>
                      <w:szCs w:val="21"/>
                      <w:highlight w:val="none"/>
                      <w14:textFill>
                        <w14:solidFill>
                          <w14:schemeClr w14:val="tx1"/>
                        </w14:solidFill>
                      </w14:textFill>
                    </w:rPr>
                  </w:pPr>
                </w:p>
              </w:tc>
              <w:tc>
                <w:tcPr>
                  <w:tcW w:w="1017" w:type="dxa"/>
                  <w:tcBorders>
                    <w:tl2br w:val="nil"/>
                    <w:tr2bl w:val="nil"/>
                  </w:tcBorders>
                  <w:noWrap w:val="0"/>
                  <w:vAlign w:val="center"/>
                </w:tcPr>
                <w:p>
                  <w:pPr>
                    <w:jc w:val="center"/>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H</w:t>
                  </w:r>
                  <w:r>
                    <w:rPr>
                      <w:rFonts w:ascii="Times New Roman" w:eastAsia="宋体" w:hAnsi="Times New Roman" w:cs="Times New Roman" w:hint="default"/>
                      <w:b w:val="0"/>
                      <w:bCs w:val="0"/>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S</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0.00095</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0.0000029</w:t>
                  </w:r>
                </w:p>
              </w:tc>
              <w:tc>
                <w:tcPr>
                  <w:tcW w:w="13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0.025</w:t>
                  </w:r>
                </w:p>
              </w:tc>
            </w:tr>
            <w:tr>
              <w:tblPrEx>
                <w:tblW w:w="8678" w:type="dxa"/>
                <w:jc w:val="center"/>
                <w:tblLayout w:type="fixed"/>
                <w:tblCellMar>
                  <w:top w:w="0" w:type="dxa"/>
                  <w:left w:w="108" w:type="dxa"/>
                  <w:bottom w:w="0" w:type="dxa"/>
                  <w:right w:w="108" w:type="dxa"/>
                </w:tblCellMar>
              </w:tblPrEx>
              <w:trPr>
                <w:trHeight w:val="123"/>
                <w:jc w:val="center"/>
              </w:trPr>
              <w:tc>
                <w:tcPr>
                  <w:tcW w:w="1267" w:type="dxa"/>
                  <w:vMerge/>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p>
              </w:tc>
              <w:tc>
                <w:tcPr>
                  <w:tcW w:w="2436" w:type="dxa"/>
                  <w:vMerge w:val="restart"/>
                  <w:tcBorders>
                    <w:tl2br w:val="nil"/>
                    <w:tr2bl w:val="nil"/>
                  </w:tcBorders>
                  <w:noWrap w:val="0"/>
                  <w:vAlign w:val="center"/>
                </w:tcPr>
                <w:p>
                  <w:pPr>
                    <w:spacing w:line="240" w:lineRule="auto"/>
                    <w:jc w:val="center"/>
                    <w:rPr>
                      <w:rFonts w:ascii="Times New Roman" w:hAnsi="Times New Roman" w:cs="Times New Roman" w:hint="default"/>
                      <w:color w:val="000000" w:themeColor="text1"/>
                      <w:szCs w:val="21"/>
                      <w:highlight w:val="none"/>
                      <w14:textFill>
                        <w14:solidFill>
                          <w14:schemeClr w14:val="tx1"/>
                        </w14:solidFill>
                      </w14:textFill>
                    </w:rPr>
                  </w:pPr>
                  <w:r>
                    <w:rPr>
                      <w:rFonts w:ascii="Times New Roman" w:hAnsi="Times New Roman" w:eastAsiaTheme="minorEastAsia" w:cs="Times New Roman" w:hint="default"/>
                      <w:color w:val="000000" w:themeColor="text1"/>
                      <w:sz w:val="21"/>
                      <w:szCs w:val="21"/>
                      <w:highlight w:val="none"/>
                      <w:lang w:val="en-US" w:eastAsia="zh-CN"/>
                      <w14:textFill>
                        <w14:solidFill>
                          <w14:schemeClr w14:val="tx1"/>
                        </w14:solidFill>
                      </w14:textFill>
                    </w:rPr>
                    <w:t>污水处理站废气</w:t>
                  </w:r>
                </w:p>
                <w:p>
                  <w:pPr>
                    <w:pStyle w:val="Default"/>
                    <w:jc w:val="center"/>
                    <w:rPr>
                      <w:rFonts w:ascii="Times New Roman" w:hAnsi="Times New Roman" w:cs="Times New Roman" w:hint="default"/>
                      <w:b w:val="0"/>
                      <w:bCs w:val="0"/>
                      <w:color w:themeColor="text1"/>
                      <w:sz w:val="21"/>
                      <w:szCs w:val="21"/>
                      <w:highlight w:val="none"/>
                      <w14:textFill>
                        <w14:solidFill>
                          <w14:schemeClr w14:val="tx1"/>
                        </w14:solidFill>
                      </w14:textFill>
                    </w:rPr>
                  </w:pPr>
                  <w:r>
                    <w:rPr>
                      <w:rFonts w:ascii="Times New Roman" w:hAnsi="Times New Roman" w:cs="Times New Roman" w:hint="default"/>
                      <w:b w:val="0"/>
                      <w:bCs w:val="0"/>
                      <w:color w:val="000000" w:themeColor="text1"/>
                      <w:sz w:val="21"/>
                      <w:szCs w:val="21"/>
                      <w:highlight w:val="none"/>
                      <w:lang w:val="en-US" w:eastAsia="zh-CN"/>
                      <w14:textFill>
                        <w14:solidFill>
                          <w14:schemeClr w14:val="tx1"/>
                        </w14:solidFill>
                      </w14:textFill>
                    </w:rPr>
                    <w:t>（无组织）</w:t>
                  </w:r>
                </w:p>
              </w:tc>
              <w:tc>
                <w:tcPr>
                  <w:tcW w:w="1017" w:type="dxa"/>
                  <w:tcBorders>
                    <w:tl2br w:val="nil"/>
                    <w:tr2bl w:val="nil"/>
                  </w:tcBorders>
                  <w:noWrap w:val="0"/>
                  <w:vAlign w:val="center"/>
                </w:tcPr>
                <w:p>
                  <w:pPr>
                    <w:jc w:val="center"/>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NH</w:t>
                  </w:r>
                  <w:r>
                    <w:rPr>
                      <w:rFonts w:ascii="Times New Roman" w:eastAsia="宋体" w:hAnsi="Times New Roman" w:cs="Times New Roman" w:hint="default"/>
                      <w:color w:val="000000" w:themeColor="text1"/>
                      <w:sz w:val="21"/>
                      <w:szCs w:val="21"/>
                      <w:highlight w:val="none"/>
                      <w:vertAlign w:val="subscript"/>
                      <w:lang w:val="en-US" w:eastAsia="zh-CN" w:bidi="ar-SA"/>
                      <w14:textFill>
                        <w14:solidFill>
                          <w14:schemeClr w14:val="tx1"/>
                        </w14:solidFill>
                      </w14:textFill>
                    </w:rPr>
                    <w:t>3</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0.000015</w:t>
                  </w:r>
                </w:p>
              </w:tc>
              <w:tc>
                <w:tcPr>
                  <w:tcW w:w="13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0.13</w:t>
                  </w:r>
                </w:p>
              </w:tc>
            </w:tr>
            <w:tr>
              <w:tblPrEx>
                <w:tblW w:w="8678" w:type="dxa"/>
                <w:jc w:val="center"/>
                <w:tblLayout w:type="fixed"/>
                <w:tblCellMar>
                  <w:top w:w="0" w:type="dxa"/>
                  <w:left w:w="108" w:type="dxa"/>
                  <w:bottom w:w="0" w:type="dxa"/>
                  <w:right w:w="108" w:type="dxa"/>
                </w:tblCellMar>
              </w:tblPrEx>
              <w:trPr>
                <w:trHeight w:val="123"/>
                <w:jc w:val="center"/>
              </w:trPr>
              <w:tc>
                <w:tcPr>
                  <w:tcW w:w="1267" w:type="dxa"/>
                  <w:vMerge/>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p>
              </w:tc>
              <w:tc>
                <w:tcPr>
                  <w:tcW w:w="2436" w:type="dxa"/>
                  <w:vMerge/>
                  <w:tcBorders>
                    <w:tl2br w:val="nil"/>
                    <w:tr2bl w:val="nil"/>
                  </w:tcBorders>
                  <w:noWrap w:val="0"/>
                  <w:vAlign w:val="center"/>
                </w:tcPr>
                <w:p>
                  <w:pPr>
                    <w:pStyle w:val="Default"/>
                    <w:jc w:val="center"/>
                    <w:rPr>
                      <w:rFonts w:ascii="Times New Roman" w:hAnsi="Times New Roman" w:cs="Times New Roman" w:hint="default"/>
                      <w:b w:val="0"/>
                      <w:bCs w:val="0"/>
                      <w:color w:themeColor="text1"/>
                      <w:sz w:val="21"/>
                      <w:szCs w:val="21"/>
                      <w:highlight w:val="none"/>
                      <w14:textFill>
                        <w14:solidFill>
                          <w14:schemeClr w14:val="tx1"/>
                        </w14:solidFill>
                      </w14:textFill>
                    </w:rPr>
                  </w:pPr>
                </w:p>
              </w:tc>
              <w:tc>
                <w:tcPr>
                  <w:tcW w:w="1017" w:type="dxa"/>
                  <w:tcBorders>
                    <w:tl2br w:val="nil"/>
                    <w:tr2bl w:val="nil"/>
                  </w:tcBorders>
                  <w:noWrap w:val="0"/>
                  <w:vAlign w:val="center"/>
                </w:tcPr>
                <w:p>
                  <w:pPr>
                    <w:jc w:val="center"/>
                    <w:rPr>
                      <w:rFonts w:ascii="Times New Roman" w:eastAsia="宋体" w:hAnsi="Times New Roman" w:cs="Times New Roman" w:hint="default"/>
                      <w:b w:val="0"/>
                      <w:bCs w:val="0"/>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H</w:t>
                  </w:r>
                  <w:r>
                    <w:rPr>
                      <w:rFonts w:ascii="Times New Roman" w:eastAsia="宋体" w:hAnsi="Times New Roman" w:cs="Times New Roman" w:hint="default"/>
                      <w:b w:val="0"/>
                      <w:bCs w:val="0"/>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S</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3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0.00000057</w:t>
                  </w:r>
                </w:p>
              </w:tc>
              <w:tc>
                <w:tcPr>
                  <w:tcW w:w="13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0.005</w:t>
                  </w:r>
                </w:p>
              </w:tc>
            </w:tr>
          </w:tbl>
          <w:p>
            <w:pPr>
              <w:pStyle w:val="NormalIndent"/>
              <w:keepNext w:val="0"/>
              <w:keepLines w:val="0"/>
              <w:pageBreakBefore w:val="0"/>
              <w:widowControl w:val="0"/>
              <w:kinsoku/>
              <w:wordWrap/>
              <w:overflowPunct/>
              <w:topLinePunct w:val="0"/>
              <w:bidi w:val="0"/>
              <w:adjustRightInd w:val="0"/>
              <w:spacing w:before="0" w:beforeLines="0" w:after="0" w:afterLines="0" w:line="240" w:lineRule="auto"/>
              <w:ind w:left="0" w:firstLine="0" w:leftChars="0" w:firstLineChars="0"/>
              <w:jc w:val="center"/>
              <w:textAlignment w:val="auto"/>
              <w:rPr>
                <w:rFonts w:eastAsia="宋体" w:hAnsi="Times New Roman" w:cs="Times New Roman" w:hint="default"/>
                <w:b/>
                <w:bCs/>
                <w:color w:val="000000" w:themeColor="text1"/>
                <w:szCs w:val="21"/>
                <w:highlight w:val="none"/>
                <w:lang w:val="en-US" w:eastAsia="zh-CN"/>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表</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4-3 污水处理站废气排放形式、治理设施、污染物排放量和浓度一览表</w:t>
            </w:r>
          </w:p>
          <w:tbl>
            <w:tblPr>
              <w:tblStyle w:val="TableGrid14"/>
              <w:tblW w:w="88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917"/>
              <w:gridCol w:w="1019"/>
              <w:gridCol w:w="2002"/>
              <w:gridCol w:w="1097"/>
              <w:gridCol w:w="1208"/>
              <w:gridCol w:w="1377"/>
              <w:gridCol w:w="1198"/>
            </w:tblGrid>
            <w:tr>
              <w:tblPrEx>
                <w:tblW w:w="88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107"/>
                <w:jc w:val="center"/>
              </w:trPr>
              <w:tc>
                <w:tcPr>
                  <w:tcW w:w="917"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污染物种类</w:t>
                  </w:r>
                </w:p>
              </w:tc>
              <w:tc>
                <w:tcPr>
                  <w:tcW w:w="1019"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排放形式</w:t>
                  </w:r>
                </w:p>
              </w:tc>
              <w:tc>
                <w:tcPr>
                  <w:tcW w:w="3099" w:type="dxa"/>
                  <w:gridSpan w:val="2"/>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污染治理措施</w:t>
                  </w:r>
                </w:p>
              </w:tc>
              <w:tc>
                <w:tcPr>
                  <w:tcW w:w="3783" w:type="dxa"/>
                  <w:gridSpan w:val="3"/>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污染物</w:t>
                  </w:r>
                  <w:r>
                    <w:rPr>
                      <w:rFonts w:ascii="Times New Roman" w:eastAsia="宋体" w:hAnsi="Times New Roman" w:cs="Times New Roman" w:hint="default"/>
                      <w:b/>
                      <w:bCs/>
                      <w:color w:val="000000" w:themeColor="text1"/>
                      <w:sz w:val="21"/>
                      <w:szCs w:val="21"/>
                      <w:highlight w:val="none"/>
                      <w14:textFill>
                        <w14:solidFill>
                          <w14:schemeClr w14:val="tx1"/>
                        </w14:solidFill>
                      </w14:textFill>
                    </w:rPr>
                    <w:t>排放</w:t>
                  </w: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情况</w:t>
                  </w:r>
                </w:p>
              </w:tc>
            </w:tr>
            <w:tr>
              <w:tblPrEx>
                <w:tblW w:w="8818" w:type="dxa"/>
                <w:jc w:val="center"/>
                <w:tblLayout w:type="fixed"/>
                <w:tblCellMar>
                  <w:top w:w="0" w:type="dxa"/>
                  <w:left w:w="108" w:type="dxa"/>
                  <w:bottom w:w="0" w:type="dxa"/>
                  <w:right w:w="108" w:type="dxa"/>
                </w:tblCellMar>
              </w:tblPrEx>
              <w:trPr>
                <w:trHeight w:val="208"/>
                <w:jc w:val="center"/>
              </w:trPr>
              <w:tc>
                <w:tcPr>
                  <w:tcW w:w="917" w:type="dxa"/>
                  <w:vMerge/>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c>
                <w:tcPr>
                  <w:tcW w:w="1019" w:type="dxa"/>
                  <w:vMerge/>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c>
                <w:tcPr>
                  <w:tcW w:w="2002"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污染治理措施名称及工艺</w:t>
                  </w:r>
                </w:p>
              </w:tc>
              <w:tc>
                <w:tcPr>
                  <w:tcW w:w="1097"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是否为可行技术</w:t>
                  </w:r>
                </w:p>
              </w:tc>
              <w:tc>
                <w:tcPr>
                  <w:tcW w:w="12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eastAsia="zh-CN"/>
                      <w14:textFill>
                        <w14:solidFill>
                          <w14:schemeClr w14:val="tx1"/>
                        </w14:solidFill>
                      </w14:textFill>
                    </w:rPr>
                    <w:t>排放浓度</w:t>
                  </w:r>
                  <w:r>
                    <w:rPr>
                      <w:rFonts w:ascii="Times New Roman" w:eastAsia="宋体" w:hAnsi="Times New Roman" w:cs="Times New Roman" w:hint="default"/>
                      <w:b/>
                      <w:bCs w:val="0"/>
                      <w:color w:val="000000" w:themeColor="text1"/>
                      <w:sz w:val="21"/>
                      <w:szCs w:val="21"/>
                      <w:highlight w:val="none"/>
                      <w14:textFill>
                        <w14:solidFill>
                          <w14:schemeClr w14:val="tx1"/>
                        </w14:solidFill>
                      </w14:textFill>
                    </w:rPr>
                    <w:t>mg/m</w:t>
                  </w:r>
                  <w:r>
                    <w:rPr>
                      <w:rFonts w:ascii="Times New Roman" w:eastAsia="宋体" w:hAnsi="Times New Roman" w:cs="Times New Roman" w:hint="default"/>
                      <w:b/>
                      <w:bCs w:val="0"/>
                      <w:color w:val="000000" w:themeColor="text1"/>
                      <w:sz w:val="21"/>
                      <w:szCs w:val="21"/>
                      <w:highlight w:val="none"/>
                      <w:vertAlign w:val="superscript"/>
                      <w14:textFill>
                        <w14:solidFill>
                          <w14:schemeClr w14:val="tx1"/>
                        </w14:solidFill>
                      </w14:textFill>
                    </w:rPr>
                    <w:t>3</w:t>
                  </w:r>
                </w:p>
              </w:tc>
              <w:tc>
                <w:tcPr>
                  <w:tcW w:w="13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eastAsia="zh-CN"/>
                      <w14:textFill>
                        <w14:solidFill>
                          <w14:schemeClr w14:val="tx1"/>
                        </w14:solidFill>
                      </w14:textFill>
                    </w:rPr>
                    <w:t>排放速率</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kg/h</w:t>
                  </w:r>
                </w:p>
              </w:tc>
              <w:tc>
                <w:tcPr>
                  <w:tcW w:w="11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val="0"/>
                      <w:color w:val="000000" w:themeColor="text1"/>
                      <w:sz w:val="21"/>
                      <w:szCs w:val="21"/>
                      <w:highlight w:val="none"/>
                      <w:lang w:eastAsia="zh-CN"/>
                      <w14:textFill>
                        <w14:solidFill>
                          <w14:schemeClr w14:val="tx1"/>
                        </w14:solidFill>
                      </w14:textFill>
                    </w:rPr>
                    <w:t>排放量</w:t>
                  </w:r>
                  <w:r>
                    <w:rPr>
                      <w:rFonts w:ascii="Times New Roman" w:eastAsia="宋体" w:hAnsi="Times New Roman" w:cs="Times New Roman" w:hint="default"/>
                      <w:b/>
                      <w:bCs w:val="0"/>
                      <w:color w:val="000000" w:themeColor="text1"/>
                      <w:sz w:val="21"/>
                      <w:szCs w:val="21"/>
                      <w:highlight w:val="none"/>
                      <w:lang w:val="en-US" w:eastAsia="zh-CN"/>
                      <w14:textFill>
                        <w14:solidFill>
                          <w14:schemeClr w14:val="tx1"/>
                        </w14:solidFill>
                      </w14:textFill>
                    </w:rPr>
                    <w:t>kg/a</w:t>
                  </w:r>
                </w:p>
              </w:tc>
            </w:tr>
            <w:tr>
              <w:tblPrEx>
                <w:tblW w:w="8818" w:type="dxa"/>
                <w:jc w:val="center"/>
                <w:tblLayout w:type="fixed"/>
                <w:tblCellMar>
                  <w:top w:w="0" w:type="dxa"/>
                  <w:left w:w="108" w:type="dxa"/>
                  <w:bottom w:w="0" w:type="dxa"/>
                  <w:right w:w="108" w:type="dxa"/>
                </w:tblCellMar>
              </w:tblPrEx>
              <w:trPr>
                <w:trHeight w:val="107"/>
                <w:jc w:val="center"/>
              </w:trPr>
              <w:tc>
                <w:tcPr>
                  <w:tcW w:w="917" w:type="dxa"/>
                  <w:tcBorders>
                    <w:tl2br w:val="nil"/>
                    <w:tr2bl w:val="nil"/>
                  </w:tcBorders>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NH</w:t>
                  </w:r>
                  <w:r>
                    <w:rPr>
                      <w:rFonts w:ascii="Times New Roman" w:eastAsia="宋体" w:hAnsi="Times New Roman" w:cs="Times New Roman" w:hint="default"/>
                      <w:color w:val="000000" w:themeColor="text1"/>
                      <w:sz w:val="21"/>
                      <w:szCs w:val="21"/>
                      <w:highlight w:val="none"/>
                      <w:vertAlign w:val="subscript"/>
                      <w:lang w:val="en-US" w:eastAsia="zh-CN" w:bidi="ar-SA"/>
                      <w14:textFill>
                        <w14:solidFill>
                          <w14:schemeClr w14:val="tx1"/>
                        </w14:solidFill>
                      </w14:textFill>
                    </w:rPr>
                    <w:t>3</w:t>
                  </w:r>
                </w:p>
              </w:tc>
              <w:tc>
                <w:tcPr>
                  <w:tcW w:w="1019"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有</w:t>
                  </w: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组织排放</w:t>
                  </w:r>
                </w:p>
              </w:tc>
              <w:tc>
                <w:tcPr>
                  <w:tcW w:w="2002"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vertAlign w:val="baseline"/>
                      <w:lang w:val="en-US" w:eastAsia="zh-CN" w:bidi="ar-SA"/>
                      <w14:textFill>
                        <w14:solidFill>
                          <w14:schemeClr w14:val="tx1"/>
                        </w14:solidFill>
                      </w14:textFill>
                    </w:rPr>
                    <w:t>活性炭吸附+40m排气筒</w:t>
                  </w:r>
                </w:p>
              </w:tc>
              <w:tc>
                <w:tcPr>
                  <w:tcW w:w="1097"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是</w:t>
                  </w:r>
                </w:p>
              </w:tc>
              <w:tc>
                <w:tcPr>
                  <w:tcW w:w="12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0.070</w:t>
                  </w:r>
                </w:p>
              </w:tc>
              <w:tc>
                <w:tcPr>
                  <w:tcW w:w="13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hAnsi="Times New Roman" w:cs="Times New Roman" w:hint="default"/>
                      <w:snapToGrid w:val="0"/>
                      <w:color w:val="000000" w:themeColor="text1"/>
                      <w:kern w:val="0"/>
                      <w:sz w:val="21"/>
                      <w:szCs w:val="21"/>
                      <w:highlight w:val="none"/>
                      <w:lang w:val="en-US" w:eastAsia="zh-CN"/>
                      <w14:textFill>
                        <w14:solidFill>
                          <w14:schemeClr w14:val="tx1"/>
                        </w14:solidFill>
                      </w14:textFill>
                    </w:rPr>
                    <w:t>0.0000088</w:t>
                  </w:r>
                </w:p>
              </w:tc>
              <w:tc>
                <w:tcPr>
                  <w:tcW w:w="11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0.077</w:t>
                  </w:r>
                </w:p>
              </w:tc>
            </w:tr>
            <w:tr>
              <w:tblPrEx>
                <w:tblW w:w="8818" w:type="dxa"/>
                <w:jc w:val="center"/>
                <w:tblLayout w:type="fixed"/>
                <w:tblCellMar>
                  <w:top w:w="0" w:type="dxa"/>
                  <w:left w:w="108" w:type="dxa"/>
                  <w:bottom w:w="0" w:type="dxa"/>
                  <w:right w:w="108" w:type="dxa"/>
                </w:tblCellMar>
              </w:tblPrEx>
              <w:trPr>
                <w:trHeight w:val="208"/>
                <w:jc w:val="center"/>
              </w:trPr>
              <w:tc>
                <w:tcPr>
                  <w:tcW w:w="917" w:type="dxa"/>
                  <w:tcBorders>
                    <w:tl2br w:val="nil"/>
                    <w:tr2bl w:val="nil"/>
                  </w:tcBorders>
                  <w:noWrap w:val="0"/>
                  <w:vAlign w:val="center"/>
                </w:tcPr>
                <w:p>
                  <w:pPr>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H</w:t>
                  </w:r>
                  <w:r>
                    <w:rPr>
                      <w:rFonts w:ascii="Times New Roman" w:eastAsia="宋体" w:hAnsi="Times New Roman" w:cs="Times New Roman" w:hint="default"/>
                      <w:b w:val="0"/>
                      <w:bCs w:val="0"/>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S</w:t>
                  </w:r>
                </w:p>
              </w:tc>
              <w:tc>
                <w:tcPr>
                  <w:tcW w:w="1019" w:type="dxa"/>
                  <w:vMerge/>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2002" w:type="dxa"/>
                  <w:vMerge/>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1097" w:type="dxa"/>
                  <w:vMerge/>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12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0.0027</w:t>
                  </w:r>
                </w:p>
              </w:tc>
              <w:tc>
                <w:tcPr>
                  <w:tcW w:w="13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0.00000034</w:t>
                  </w:r>
                </w:p>
              </w:tc>
              <w:tc>
                <w:tcPr>
                  <w:tcW w:w="11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jc w:val="center"/>
                    <w:textAlignment w:val="auto"/>
                    <w:outlineLvl w:val="9"/>
                    <w:rPr>
                      <w:rFonts w:ascii="Times New Roman" w:hAnsi="Times New Roman" w:cs="Times New Roman" w:hint="default"/>
                      <w:snapToGrid w:val="0"/>
                      <w:color w:val="000000" w:themeColor="text1"/>
                      <w:kern w:val="0"/>
                      <w:szCs w:val="21"/>
                      <w:highlight w:val="no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bidi="ar-SA"/>
                      <w14:textFill>
                        <w14:solidFill>
                          <w14:schemeClr w14:val="tx1"/>
                        </w14:solidFill>
                      </w14:textFill>
                    </w:rPr>
                    <w:t>0.003</w:t>
                  </w:r>
                </w:p>
              </w:tc>
            </w:tr>
            <w:tr>
              <w:tblPrEx>
                <w:tblW w:w="8818" w:type="dxa"/>
                <w:jc w:val="center"/>
                <w:tblLayout w:type="fixed"/>
                <w:tblCellMar>
                  <w:top w:w="0" w:type="dxa"/>
                  <w:left w:w="108" w:type="dxa"/>
                  <w:bottom w:w="0" w:type="dxa"/>
                  <w:right w:w="108" w:type="dxa"/>
                </w:tblCellMar>
              </w:tblPrEx>
              <w:trPr>
                <w:trHeight w:val="107"/>
                <w:jc w:val="center"/>
              </w:trPr>
              <w:tc>
                <w:tcPr>
                  <w:tcW w:w="917" w:type="dxa"/>
                  <w:tcBorders>
                    <w:tl2br w:val="nil"/>
                    <w:tr2bl w:val="nil"/>
                  </w:tcBorders>
                  <w:noWrap w:val="0"/>
                  <w:vAlign w:val="center"/>
                </w:tcPr>
                <w:p>
                  <w:pPr>
                    <w:jc w:val="center"/>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bidi="ar-SA"/>
                      <w14:textFill>
                        <w14:solidFill>
                          <w14:schemeClr w14:val="tx1"/>
                        </w14:solidFill>
                      </w14:textFill>
                    </w:rPr>
                    <w:t>NH</w:t>
                  </w:r>
                  <w:r>
                    <w:rPr>
                      <w:rFonts w:ascii="Times New Roman" w:eastAsia="宋体" w:hAnsi="Times New Roman" w:cs="Times New Roman" w:hint="default"/>
                      <w:color w:val="000000" w:themeColor="text1"/>
                      <w:sz w:val="21"/>
                      <w:szCs w:val="21"/>
                      <w:highlight w:val="none"/>
                      <w:vertAlign w:val="subscript"/>
                      <w:lang w:val="en-US" w:eastAsia="zh-CN" w:bidi="ar-SA"/>
                      <w14:textFill>
                        <w14:solidFill>
                          <w14:schemeClr w14:val="tx1"/>
                        </w14:solidFill>
                      </w14:textFill>
                    </w:rPr>
                    <w:t>3</w:t>
                  </w:r>
                </w:p>
              </w:tc>
              <w:tc>
                <w:tcPr>
                  <w:tcW w:w="1019"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无</w:t>
                  </w:r>
                  <w:r>
                    <w:rPr>
                      <w:rFonts w:ascii="Times New Roman" w:eastAsia="宋体" w:hAnsi="Times New Roman" w:cs="Times New Roman" w:hint="default"/>
                      <w:b w:val="0"/>
                      <w:bCs w:val="0"/>
                      <w:color w:val="000000" w:themeColor="text1"/>
                      <w:sz w:val="21"/>
                      <w:szCs w:val="21"/>
                      <w:highlight w:val="none"/>
                      <w:vertAlign w:val="baseline"/>
                      <w:lang w:eastAsia="zh-CN"/>
                      <w14:textFill>
                        <w14:solidFill>
                          <w14:schemeClr w14:val="tx1"/>
                        </w14:solidFill>
                      </w14:textFill>
                    </w:rPr>
                    <w:t>组织排放</w:t>
                  </w:r>
                </w:p>
              </w:tc>
              <w:tc>
                <w:tcPr>
                  <w:tcW w:w="2002"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kern w:val="2"/>
                      <w:sz w:val="21"/>
                      <w:szCs w:val="21"/>
                      <w:highlight w:val="none"/>
                      <w:vertAlign w:val="baseline"/>
                      <w:lang w:val="en-US" w:eastAsia="zh-CN" w:bidi="ar-SA"/>
                      <w14:textFill>
                        <w14:solidFill>
                          <w14:schemeClr w14:val="tx1"/>
                        </w14:solidFill>
                      </w14:textFill>
                    </w:rPr>
                    <w:t>/</w:t>
                  </w:r>
                </w:p>
              </w:tc>
              <w:tc>
                <w:tcPr>
                  <w:tcW w:w="1097" w:type="dxa"/>
                  <w:vMerge w:val="restart"/>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vertAlign w:val="baseline"/>
                      <w:lang w:val="en-US" w:eastAsia="zh-CN"/>
                      <w14:textFill>
                        <w14:solidFill>
                          <w14:schemeClr w14:val="tx1"/>
                        </w14:solidFill>
                      </w14:textFill>
                    </w:rPr>
                    <w:t>/</w:t>
                  </w:r>
                </w:p>
              </w:tc>
              <w:tc>
                <w:tcPr>
                  <w:tcW w:w="12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3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0.000015</w:t>
                  </w:r>
                </w:p>
              </w:tc>
              <w:tc>
                <w:tcPr>
                  <w:tcW w:w="11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hAnsi="Times New Roman" w:cs="Times New Roman" w:hint="default"/>
                      <w:snapToGrid w:val="0"/>
                      <w:color w:val="000000" w:themeColor="text1"/>
                      <w:kern w:val="0"/>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0.13</w:t>
                  </w:r>
                </w:p>
              </w:tc>
            </w:tr>
            <w:tr>
              <w:tblPrEx>
                <w:tblW w:w="8818" w:type="dxa"/>
                <w:jc w:val="center"/>
                <w:tblLayout w:type="fixed"/>
                <w:tblCellMar>
                  <w:top w:w="0" w:type="dxa"/>
                  <w:left w:w="108" w:type="dxa"/>
                  <w:bottom w:w="0" w:type="dxa"/>
                  <w:right w:w="108" w:type="dxa"/>
                </w:tblCellMar>
              </w:tblPrEx>
              <w:trPr>
                <w:trHeight w:val="162"/>
                <w:jc w:val="center"/>
              </w:trPr>
              <w:tc>
                <w:tcPr>
                  <w:tcW w:w="917" w:type="dxa"/>
                  <w:tcBorders>
                    <w:tl2br w:val="nil"/>
                    <w:tr2bl w:val="nil"/>
                  </w:tcBorders>
                  <w:noWrap w:val="0"/>
                  <w:vAlign w:val="center"/>
                </w:tcPr>
                <w:p>
                  <w:pPr>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H</w:t>
                  </w:r>
                  <w:r>
                    <w:rPr>
                      <w:rFonts w:ascii="Times New Roman" w:eastAsia="宋体" w:hAnsi="Times New Roman" w:cs="Times New Roman" w:hint="default"/>
                      <w:b w:val="0"/>
                      <w:bCs w:val="0"/>
                      <w:color w:val="000000" w:themeColor="text1"/>
                      <w:sz w:val="21"/>
                      <w:szCs w:val="21"/>
                      <w:highlight w:val="none"/>
                      <w:vertAlign w:val="subscript"/>
                      <w14:textFill>
                        <w14:solidFill>
                          <w14:schemeClr w14:val="tx1"/>
                        </w14:solidFill>
                      </w14:textFill>
                    </w:rPr>
                    <w:t>2</w:t>
                  </w:r>
                  <w:r>
                    <w:rPr>
                      <w:rFonts w:ascii="Times New Roman" w:eastAsia="宋体" w:hAnsi="Times New Roman" w:cs="Times New Roman" w:hint="default"/>
                      <w:b w:val="0"/>
                      <w:bCs w:val="0"/>
                      <w:color w:val="000000" w:themeColor="text1"/>
                      <w:sz w:val="21"/>
                      <w:szCs w:val="21"/>
                      <w:highlight w:val="none"/>
                      <w14:textFill>
                        <w14:solidFill>
                          <w14:schemeClr w14:val="tx1"/>
                        </w14:solidFill>
                      </w14:textFill>
                    </w:rPr>
                    <w:t>S</w:t>
                  </w:r>
                </w:p>
              </w:tc>
              <w:tc>
                <w:tcPr>
                  <w:tcW w:w="1019" w:type="dxa"/>
                  <w:vMerge/>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2002" w:type="dxa"/>
                  <w:vMerge/>
                  <w:tcBorders>
                    <w:tl2br w:val="nil"/>
                    <w:tr2bl w:val="nil"/>
                  </w:tcBorders>
                  <w:noWrap w:val="0"/>
                  <w:vAlign w:val="center"/>
                </w:tcPr>
                <w:p>
                  <w:pPr>
                    <w:spacing w:line="240" w:lineRule="auto"/>
                    <w:jc w:val="center"/>
                    <w:rPr>
                      <w:rFonts w:ascii="Times New Roman" w:eastAsia="宋体" w:hAnsi="Times New Roman" w:cs="Times New Roman" w:hint="default"/>
                      <w:color w:val="000000" w:themeColor="text1"/>
                      <w:szCs w:val="21"/>
                      <w:highlight w:val="none"/>
                      <w14:textFill>
                        <w14:solidFill>
                          <w14:schemeClr w14:val="tx1"/>
                        </w14:solidFill>
                      </w14:textFill>
                    </w:rPr>
                  </w:pPr>
                </w:p>
              </w:tc>
              <w:tc>
                <w:tcPr>
                  <w:tcW w:w="1097" w:type="dxa"/>
                  <w:vMerge/>
                  <w:tcBorders>
                    <w:tl2br w:val="nil"/>
                    <w:tr2bl w:val="nil"/>
                  </w:tcBorders>
                  <w:noWrap w:val="0"/>
                  <w:vAlign w:val="center"/>
                </w:tcPr>
                <w:p>
                  <w:pPr>
                    <w:spacing w:line="240" w:lineRule="auto"/>
                    <w:jc w:val="center"/>
                    <w:rPr>
                      <w:rFonts w:ascii="Times New Roman" w:eastAsia="宋体" w:hAnsi="Times New Roman" w:cs="Times New Roman" w:hint="default"/>
                      <w:b w:val="0"/>
                      <w:bCs w:val="0"/>
                      <w:color w:val="000000" w:themeColor="text1"/>
                      <w:szCs w:val="21"/>
                      <w:highlight w:val="none"/>
                      <w:vertAlign w:val="baseline"/>
                      <w14:textFill>
                        <w14:solidFill>
                          <w14:schemeClr w14:val="tx1"/>
                        </w14:solidFill>
                      </w14:textFill>
                    </w:rPr>
                  </w:pPr>
                </w:p>
              </w:tc>
              <w:tc>
                <w:tcPr>
                  <w:tcW w:w="12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w:t>
                  </w:r>
                </w:p>
              </w:tc>
              <w:tc>
                <w:tcPr>
                  <w:tcW w:w="13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right="0" w:firstLine="0" w:leftChars="0" w:rightChars="0" w:firstLineChars="0"/>
                    <w:jc w:val="center"/>
                    <w:textAlignment w:val="auto"/>
                    <w:outlineLvl w:val="9"/>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0.00000057</w:t>
                  </w:r>
                </w:p>
              </w:tc>
              <w:tc>
                <w:tcPr>
                  <w:tcW w:w="11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jc w:val="center"/>
                    <w:textAlignment w:val="auto"/>
                    <w:rPr>
                      <w:rFonts w:ascii="Times New Roman" w:eastAsia="宋体" w:hAnsi="Times New Roman" w:cs="Times New Roman" w:hint="default"/>
                      <w:color w:val="000000" w:themeColor="text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0.005</w:t>
                  </w:r>
                </w:p>
              </w:tc>
            </w:tr>
          </w:tbl>
          <w:p>
            <w:pPr>
              <w:keepNext w:val="0"/>
              <w:keepLines w:val="0"/>
              <w:pageBreakBefore w:val="0"/>
              <w:kinsoku/>
              <w:wordWrap/>
              <w:overflowPunct/>
              <w:topLinePunct w:val="0"/>
              <w:autoSpaceDE/>
              <w:autoSpaceDN/>
              <w:bidi w:val="0"/>
              <w:spacing w:line="360" w:lineRule="auto"/>
              <w:ind w:firstLine="420" w:firstLineChars="200"/>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（2）达标排放分析</w:t>
            </w:r>
          </w:p>
          <w:p>
            <w:pPr>
              <w:keepNext w:val="0"/>
              <w:keepLines w:val="0"/>
              <w:pageBreakBefore w:val="0"/>
              <w:kinsoku/>
              <w:wordWrap/>
              <w:overflowPunct/>
              <w:topLinePunct w:val="0"/>
              <w:autoSpaceDE/>
              <w:autoSpaceDN/>
              <w:bidi w:val="0"/>
              <w:spacing w:line="360" w:lineRule="auto"/>
              <w:ind w:firstLine="420" w:firstLineChars="200"/>
              <w:textAlignment w:val="auto"/>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1）污水处理站有组织废气</w:t>
            </w: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达标排放情况</w:t>
            </w:r>
          </w:p>
          <w:p>
            <w:pPr>
              <w:pStyle w:val="NormalIndent"/>
              <w:keepNext w:val="0"/>
              <w:keepLines w:val="0"/>
              <w:pageBreakBefore w:val="0"/>
              <w:widowControl w:val="0"/>
              <w:kinsoku/>
              <w:wordWrap/>
              <w:overflowPunct/>
              <w:topLinePunct w:val="0"/>
              <w:bidi w:val="0"/>
              <w:adjustRightInd w:val="0"/>
              <w:spacing w:before="0" w:beforeLines="0" w:after="0" w:afterLines="0" w:line="240" w:lineRule="auto"/>
              <w:ind w:left="0" w:firstLine="0" w:leftChars="0" w:firstLineChars="0"/>
              <w:jc w:val="center"/>
              <w:textAlignment w:val="auto"/>
              <w:rPr>
                <w:rFonts w:eastAsia="宋体" w:hAnsi="Times New Roman" w:cs="Times New Roman" w:hint="default"/>
                <w:b/>
                <w:bCs/>
                <w:color w:val="000000" w:themeColor="text1"/>
                <w:szCs w:val="21"/>
                <w:highlight w:val="none"/>
                <w:lang w:val="en-US" w:eastAsia="zh-CN"/>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表</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4-4 污水处理站有组织废气达标排放情况一览表</w:t>
            </w:r>
          </w:p>
          <w:tbl>
            <w:tblPr>
              <w:tblStyle w:val="TableGrid14"/>
              <w:tblW w:w="885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825"/>
              <w:gridCol w:w="938"/>
              <w:gridCol w:w="3130"/>
              <w:gridCol w:w="2242"/>
              <w:gridCol w:w="978"/>
              <w:gridCol w:w="744"/>
            </w:tblGrid>
            <w:tr>
              <w:tblPrEx>
                <w:tblW w:w="885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130"/>
                <w:jc w:val="center"/>
              </w:trPr>
              <w:tc>
                <w:tcPr>
                  <w:tcW w:w="825" w:type="dxa"/>
                  <w:tcBorders>
                    <w:tl2br w:val="nil"/>
                    <w:tr2bl w:val="nil"/>
                  </w:tcBorders>
                  <w:noWrap w:val="0"/>
                  <w:vAlign w:val="center"/>
                </w:tcPr>
                <w:p>
                  <w:pPr>
                    <w:spacing w:after="0"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p>
              </w:tc>
              <w:tc>
                <w:tcPr>
                  <w:tcW w:w="938"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vertAlign w:val="baseline"/>
                      <w:lang w:eastAsia="zh-CN"/>
                      <w14:textFill>
                        <w14:solidFill>
                          <w14:schemeClr w14:val="tx1"/>
                        </w14:solidFill>
                      </w14:textFill>
                    </w:rPr>
                    <w:t>排放形式</w:t>
                  </w:r>
                </w:p>
              </w:tc>
              <w:tc>
                <w:tcPr>
                  <w:tcW w:w="3130"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污染物</w:t>
                  </w:r>
                  <w:r>
                    <w:rPr>
                      <w:rFonts w:ascii="Times New Roman" w:eastAsia="宋体" w:hAnsi="Times New Roman" w:cs="Times New Roman" w:hint="default"/>
                      <w:b/>
                      <w:bCs/>
                      <w:color w:val="000000" w:themeColor="text1"/>
                      <w:sz w:val="21"/>
                      <w:szCs w:val="21"/>
                      <w:highlight w:val="none"/>
                      <w14:textFill>
                        <w14:solidFill>
                          <w14:schemeClr w14:val="tx1"/>
                        </w14:solidFill>
                      </w14:textFill>
                    </w:rPr>
                    <w:t>排放</w:t>
                  </w: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情况</w:t>
                  </w:r>
                </w:p>
              </w:tc>
              <w:tc>
                <w:tcPr>
                  <w:tcW w:w="2242"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排放标准</w:t>
                  </w:r>
                </w:p>
              </w:tc>
              <w:tc>
                <w:tcPr>
                  <w:tcW w:w="978"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排放</w:t>
                  </w:r>
                  <w:r>
                    <w:rPr>
                      <w:rFonts w:ascii="Times New Roman" w:eastAsia="宋体" w:hAnsi="Times New Roman" w:cs="Times New Roman" w:hint="eastAsia"/>
                      <w:b/>
                      <w:bCs/>
                      <w:color w:val="000000" w:themeColor="text1"/>
                      <w:sz w:val="21"/>
                      <w:szCs w:val="21"/>
                      <w:highlight w:val="none"/>
                      <w:lang w:val="en-US" w:eastAsia="zh-CN"/>
                      <w14:textFill>
                        <w14:solidFill>
                          <w14:schemeClr w14:val="tx1"/>
                        </w14:solidFill>
                      </w14:textFill>
                    </w:rPr>
                    <w:t>量</w:t>
                  </w:r>
                  <w:r>
                    <w:rPr>
                      <w:rFonts w:ascii="Times New Roman" w:eastAsia="宋体" w:hAnsi="Times New Roman" w:cs="Times New Roman" w:hint="default"/>
                      <w:b/>
                      <w:bCs/>
                      <w:color w:val="000000" w:themeColor="text1"/>
                      <w:sz w:val="21"/>
                      <w:szCs w:val="21"/>
                      <w:highlight w:val="none"/>
                      <w:lang w:val="en-US" w:eastAsia="zh-CN"/>
                      <w14:textFill>
                        <w14:solidFill>
                          <w14:schemeClr w14:val="tx1"/>
                        </w14:solidFill>
                      </w14:textFill>
                    </w:rPr>
                    <w:t>kg/h</w:t>
                  </w:r>
                </w:p>
              </w:tc>
              <w:tc>
                <w:tcPr>
                  <w:tcW w:w="744" w:type="dxa"/>
                  <w:tcBorders>
                    <w:tl2br w:val="nil"/>
                    <w:tr2bl w:val="nil"/>
                  </w:tcBorders>
                  <w:noWrap w:val="0"/>
                  <w:vAlign w:val="center"/>
                </w:tcPr>
                <w:p>
                  <w:pPr>
                    <w:spacing w:line="240" w:lineRule="auto"/>
                    <w:jc w:val="center"/>
                    <w:rPr>
                      <w:rFonts w:ascii="Times New Roman" w:eastAsia="宋体" w:hAnsi="Times New Roman" w:cs="Times New Roman"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达标情况</w:t>
                  </w:r>
                </w:p>
              </w:tc>
            </w:tr>
          </w:tbl>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https://d.book118.com/788102005117006045</w:t>
        </w:r>
      </w:hyperlink>
    </w:p>
    <w:p/>
    <w:sectPr>
      <w:footerReference w:type="default" r:id="rId36"/>
      <w:type w:val="nextPage"/>
      <w:pgSz w:w="11906" w:h="16838"/>
      <w:pgMar w:top="1440" w:right="1080" w:bottom="1440" w:left="1080" w:header="851" w:footer="992" w:gutter="0"/>
      <w:pgBorders>
        <w:top w:val="none" w:sz="0" w:space="0" w:color="auto"/>
        <w:left w:val="none" w:sz="0" w:space="0" w:color="auto"/>
        <w:bottom w:val="none" w:sz="0" w:space="0" w:color="auto"/>
        <w:right w:val="none" w:sz="0" w:space="0" w:color="auto"/>
      </w:pgBorders>
      <w:pgNumType w:fmt="numberInDash"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140001" w:csb1="00000000"/>
    <w:embedRegular r:id="rId1" w:subsetted="1" w:fontKey="{340F1949-BF0C-4370-88C6-44F8CD108F8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D74BCDC1-91D4-4901-847A-8D0E2004E6FE}"/>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0002EFF" w:usb1="C000247B" w:usb2="00000009" w:usb3="00000000" w:csb0="200001FF" w:csb1="00000000"/>
    <w:embedRegular r:id="rId3" w:subsetted="1" w:fontKey="{FE61703B-98A1-42D4-A10A-19EECC85A9CF}"/>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4" w:subsetted="1" w:fontKey="{04D6026B-8532-4162-9EF0-1FDE57812CD0}"/>
  </w:font>
  <w:font w:name="楷体_GB2312">
    <w:panose1 w:val="02010609030101010101"/>
    <w:charset w:val="86"/>
    <w:family w:val="modern"/>
    <w:pitch w:val="default"/>
    <w:sig w:usb0="00000001" w:usb1="080E0000" w:usb2="00000000" w:usb3="00000000" w:csb0="00040000" w:csb1="00000000"/>
    <w:embedRegular r:id="rId5" w:subsetted="1" w:fontKey="{8D5A5096-5E1A-4D9E-B840-E108DD284D2A}"/>
  </w:font>
  <w:font w:name="仿宋">
    <w:panose1 w:val="02010609060101010101"/>
    <w:charset w:val="86"/>
    <w:family w:val="auto"/>
    <w:pitch w:val="default"/>
    <w:sig w:usb0="800002BF" w:usb1="38CF7CFA" w:usb2="00000016" w:usb3="00000000" w:csb0="00040001" w:csb1="00000000"/>
    <w:embedRegular r:id="rId6" w:subsetted="1" w:fontKey="{599B3AD0-FBAF-47FC-8273-6032CD35A394}"/>
  </w:font>
  <w:font w:name="Wingdings 2">
    <w:panose1 w:val="05020102010507070707"/>
    <w:charset w:val="00"/>
    <w:family w:val="auto"/>
    <w:pitch w:val="default"/>
    <w:sig w:usb0="00000000" w:usb1="00000000" w:usb2="00000000" w:usb3="00000000" w:csb0="80000001" w:csb1="00000000"/>
    <w:embedRegular r:id="rId7" w:subsetted="1" w:fontKey="{4793B893-22D8-4DB2-85D0-6B40A29C8A82}"/>
  </w:font>
  <w:font w:name="Microsoft YaHei UI">
    <w:panose1 w:val="020B0503020204020204"/>
    <w:charset w:val="86"/>
    <w:family w:val="auto"/>
    <w:pitch w:val="default"/>
    <w:sig w:usb0="80000287" w:usb1="2ACF3C50" w:usb2="00000016" w:usb3="00000000" w:csb0="0004001F" w:csb1="00000000"/>
  </w:font>
  <w:font w:name="Calibri Light">
    <w:charset w:val="00"/>
    <w:family w:val="auto"/>
    <w:pitch w:val="default"/>
  </w:font>
  <w:font w:name="SimSun">
    <w:charset w:val="00"/>
    <w:family w:val="auto"/>
    <w:pitch w:val="default"/>
    <w:sig w:usb0="00000000" w:usb1="00000000" w:usb2="00000000" w:usb3="00000000" w:csb0="00000001" w:csb1="00000000"/>
    <w:embedRegular r:id="rId8" w:subsetted="1" w:fontKey="{44B793BE-9C96-4F1E-90BE-E3E1975F0C1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60" name="文本框 3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0" o:spid="_x0000_s2049" type="#_x0000_t202" style="width:2in;height:2in;margin-top:0;margin-left:0;mso-position-horizontal:inside;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5" o:spid="_x0000_s2050" type="#_x0000_t202" style="width:2in;height:2in;margin-top:0;margin-left:0;mso-position-horizontal:inside;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- 2 -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1215615559"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5" o:spid="_x0000_s2051" type="#_x0000_t202" style="width:2in;height:2in;margin-top:0;margin-left:0;mso-position-horizontal:inside;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- 3 -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5408" behindDoc="0" locked="0" layoutInCell="1" allowOverlap="1">
              <wp:simplePos x="0" y="0"/>
              <wp:positionH relativeFrom="margin">
                <wp:align>inside</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2" type="#_x0000_t202" style="width:2in;height:2in;margin-top:0;margin-left:0;mso-position-horizontal:inside;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- 4 -</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7456" behindDoc="0" locked="0" layoutInCell="1" allowOverlap="1">
              <wp:simplePos x="0" y="0"/>
              <wp:positionH relativeFrom="margin">
                <wp:align>inside</wp:align>
              </wp:positionH>
              <wp:positionV relativeFrom="paragraph">
                <wp:posOffset>0</wp:posOffset>
              </wp:positionV>
              <wp:extent cx="1828800" cy="1828800"/>
              <wp:effectExtent l="0" t="0" r="0" b="0"/>
              <wp:wrapNone/>
              <wp:docPr id="1848127213"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2" o:spid="_x0000_s2053" type="#_x0000_t202" style="width:2in;height:2in;margin-top:0;margin-left:0;mso-position-horizontal:inside;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- 5 -</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9504" behindDoc="0" locked="0" layoutInCell="1" allowOverlap="1">
              <wp:simplePos x="0" y="0"/>
              <wp:positionH relativeFrom="margin">
                <wp:align>inside</wp:align>
              </wp:positionH>
              <wp:positionV relativeFrom="paragraph">
                <wp:posOffset>0</wp:posOffset>
              </wp:positionV>
              <wp:extent cx="1828800" cy="1828800"/>
              <wp:effectExtent l="0" t="0" r="0" b="0"/>
              <wp:wrapNone/>
              <wp:docPr id="229"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54" type="#_x0000_t202" style="width:2in;height:2in;margin-top:0;margin-left:0;mso-position-horizontal:inside;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- 6 -</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1552" behindDoc="0" locked="0" layoutInCell="1" allowOverlap="1">
              <wp:simplePos x="0" y="0"/>
              <wp:positionH relativeFrom="margin">
                <wp:align>inside</wp:align>
              </wp:positionH>
              <wp:positionV relativeFrom="paragraph">
                <wp:posOffset>0</wp:posOffset>
              </wp:positionV>
              <wp:extent cx="1828800" cy="1828800"/>
              <wp:effectExtent l="0" t="0" r="0" b="0"/>
              <wp:wrapNone/>
              <wp:docPr id="192019028"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55" type="#_x0000_t202" style="width:2in;height:2in;margin-top:0;margin-left:0;mso-position-horizontal:inside;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- 7 -</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3600" behindDoc="0" locked="0" layoutInCell="1" allowOverlap="1">
              <wp:simplePos x="0" y="0"/>
              <wp:positionH relativeFrom="margin">
                <wp:align>inside</wp:align>
              </wp:positionH>
              <wp:positionV relativeFrom="paragraph">
                <wp:posOffset>0</wp:posOffset>
              </wp:positionV>
              <wp:extent cx="1828800" cy="1828800"/>
              <wp:effectExtent l="0" t="0" r="0" b="0"/>
              <wp:wrapNone/>
              <wp:docPr id="1143917099"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56" type="#_x0000_t202" style="width:2in;height:2in;margin-top:0;margin-left:0;mso-position-horizontal:inside;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- 8 -</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5648" behindDoc="0" locked="0" layoutInCell="1" allowOverlap="1">
              <wp:simplePos x="0" y="0"/>
              <wp:positionH relativeFrom="margin">
                <wp:align>inside</wp:align>
              </wp:positionH>
              <wp:positionV relativeFrom="paragraph">
                <wp:posOffset>0</wp:posOffset>
              </wp:positionV>
              <wp:extent cx="1828800" cy="1828800"/>
              <wp:effectExtent l="0" t="0" r="0" b="0"/>
              <wp:wrapNone/>
              <wp:docPr id="2011845287"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57" type="#_x0000_t202" style="width:2in;height:2in;margin-top:0;margin-left:0;mso-position-horizontal:inside;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- 9 -</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7696" behindDoc="0" locked="0" layoutInCell="1" allowOverlap="1">
              <wp:simplePos x="0" y="0"/>
              <wp:positionH relativeFrom="margin">
                <wp:align>inside</wp:align>
              </wp:positionH>
              <wp:positionV relativeFrom="paragraph">
                <wp:posOffset>0</wp:posOffset>
              </wp:positionV>
              <wp:extent cx="1828800" cy="1828800"/>
              <wp:effectExtent l="0" t="0" r="0" b="0"/>
              <wp:wrapNone/>
              <wp:docPr id="1116381495"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58" type="#_x0000_t202" style="width:2in;height:2in;margin-top:0;margin-left:0;mso-position-horizontal:inside;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- 10 -</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9744" behindDoc="0" locked="0" layoutInCell="1" allowOverlap="1">
              <wp:simplePos x="0" y="0"/>
              <wp:positionH relativeFrom="margin">
                <wp:align>inside</wp:align>
              </wp:positionH>
              <wp:positionV relativeFrom="paragraph">
                <wp:posOffset>0</wp:posOffset>
              </wp:positionV>
              <wp:extent cx="1828800" cy="1828800"/>
              <wp:effectExtent l="0" t="0" r="0" b="0"/>
              <wp:wrapNone/>
              <wp:docPr id="705777250"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59" type="#_x0000_t202" style="width:2in;height:2in;margin-top:0;margin-left:0;mso-position-horizontal:inside;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- 11 -</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1792" behindDoc="0" locked="0" layoutInCell="1" allowOverlap="1">
              <wp:simplePos x="0" y="0"/>
              <wp:positionH relativeFrom="margin">
                <wp:align>inside</wp:align>
              </wp:positionH>
              <wp:positionV relativeFrom="paragraph">
                <wp:posOffset>0</wp:posOffset>
              </wp:positionV>
              <wp:extent cx="1828800" cy="1828800"/>
              <wp:effectExtent l="0" t="0" r="0" b="0"/>
              <wp:wrapNone/>
              <wp:docPr id="646149373"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0" type="#_x0000_t202" style="width:2in;height:2in;margin-top:0;margin-left:0;mso-position-horizontal:inside;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- 12 -</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3840" behindDoc="0" locked="0" layoutInCell="1" allowOverlap="1">
              <wp:simplePos x="0" y="0"/>
              <wp:positionH relativeFrom="margin">
                <wp:align>inside</wp:align>
              </wp:positionH>
              <wp:positionV relativeFrom="paragraph">
                <wp:posOffset>0</wp:posOffset>
              </wp:positionV>
              <wp:extent cx="1828800" cy="1828800"/>
              <wp:effectExtent l="0" t="0" r="0" b="0"/>
              <wp:wrapNone/>
              <wp:docPr id="266217272"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1" type="#_x0000_t202" style="width:2in;height:2in;margin-top:0;margin-left:0;mso-position-horizontal:inside;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- 13 -</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5888" behindDoc="0" locked="0" layoutInCell="1" allowOverlap="1">
              <wp:simplePos x="0" y="0"/>
              <wp:positionH relativeFrom="margin">
                <wp:align>inside</wp:align>
              </wp:positionH>
              <wp:positionV relativeFrom="paragraph">
                <wp:posOffset>0</wp:posOffset>
              </wp:positionV>
              <wp:extent cx="1828800" cy="1828800"/>
              <wp:effectExtent l="0" t="0" r="0" b="0"/>
              <wp:wrapNone/>
              <wp:docPr id="1087441531"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2" type="#_x0000_t202" style="width:2in;height:2in;margin-top:0;margin-left:0;mso-position-horizontal:inside;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- 14 -</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7936" behindDoc="0" locked="0" layoutInCell="1" allowOverlap="1">
              <wp:simplePos x="0" y="0"/>
              <wp:positionH relativeFrom="margin">
                <wp:align>inside</wp:align>
              </wp:positionH>
              <wp:positionV relativeFrom="paragraph">
                <wp:posOffset>0</wp:posOffset>
              </wp:positionV>
              <wp:extent cx="1828800" cy="1828800"/>
              <wp:effectExtent l="0" t="0" r="0" b="0"/>
              <wp:wrapNone/>
              <wp:docPr id="1254078881"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3" type="#_x0000_t202" style="width:2in;height:2in;margin-top:0;margin-left:0;mso-position-horizontal:inside;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- 15 -</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9984" behindDoc="0" locked="0" layoutInCell="1" allowOverlap="1">
              <wp:simplePos x="0" y="0"/>
              <wp:positionH relativeFrom="margin">
                <wp:align>inside</wp:align>
              </wp:positionH>
              <wp:positionV relativeFrom="paragraph">
                <wp:posOffset>0</wp:posOffset>
              </wp:positionV>
              <wp:extent cx="1828800" cy="1828800"/>
              <wp:effectExtent l="0" t="0" r="0" b="0"/>
              <wp:wrapNone/>
              <wp:docPr id="1538574014"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4" type="#_x0000_t202" style="width:2in;height:2in;margin-top:0;margin-left:0;mso-position-horizontal:inside;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- 16 -</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2032" behindDoc="0" locked="0" layoutInCell="1" allowOverlap="1">
              <wp:simplePos x="0" y="0"/>
              <wp:positionH relativeFrom="margin">
                <wp:align>inside</wp:align>
              </wp:positionH>
              <wp:positionV relativeFrom="paragraph">
                <wp:posOffset>0</wp:posOffset>
              </wp:positionV>
              <wp:extent cx="1828800" cy="1828800"/>
              <wp:effectExtent l="0" t="0" r="0" b="0"/>
              <wp:wrapNone/>
              <wp:docPr id="324342697"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5" type="#_x0000_t202" style="width:2in;height:2in;margin-top:0;margin-left:0;mso-position-horizontal:inside;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- 17 -</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4080" behindDoc="0" locked="0" layoutInCell="1" allowOverlap="1">
              <wp:simplePos x="0" y="0"/>
              <wp:positionH relativeFrom="margin">
                <wp:align>inside</wp:align>
              </wp:positionH>
              <wp:positionV relativeFrom="paragraph">
                <wp:posOffset>0</wp:posOffset>
              </wp:positionV>
              <wp:extent cx="1828800" cy="1828800"/>
              <wp:effectExtent l="0" t="0" r="0" b="0"/>
              <wp:wrapNone/>
              <wp:docPr id="802801399"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6" type="#_x0000_t202" style="width:2in;height:2in;margin-top:0;margin-left:0;mso-position-horizontal:inside;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- 18 -</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6128" behindDoc="0" locked="0" layoutInCell="1" allowOverlap="1">
              <wp:simplePos x="0" y="0"/>
              <wp:positionH relativeFrom="margin">
                <wp:align>inside</wp:align>
              </wp:positionH>
              <wp:positionV relativeFrom="paragraph">
                <wp:posOffset>0</wp:posOffset>
              </wp:positionV>
              <wp:extent cx="1828800" cy="1828800"/>
              <wp:effectExtent l="0" t="0" r="0" b="0"/>
              <wp:wrapNone/>
              <wp:docPr id="153605993"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7" type="#_x0000_t202" style="width:2in;height:2in;margin-top:0;margin-left:0;mso-position-horizontal:inside;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- 19 -</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8176" behindDoc="0" locked="0" layoutInCell="1" allowOverlap="1">
              <wp:simplePos x="0" y="0"/>
              <wp:positionH relativeFrom="margin">
                <wp:align>inside</wp:align>
              </wp:positionH>
              <wp:positionV relativeFrom="paragraph">
                <wp:posOffset>0</wp:posOffset>
              </wp:positionV>
              <wp:extent cx="1828800" cy="1828800"/>
              <wp:effectExtent l="0" t="0" r="0" b="0"/>
              <wp:wrapNone/>
              <wp:docPr id="493361510"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8" type="#_x0000_t202" style="width:2in;height:2in;margin-top:0;margin-left:0;mso-position-horizontal:inside;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- 20 -</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0224" behindDoc="0" locked="0" layoutInCell="1" allowOverlap="1">
              <wp:simplePos x="0" y="0"/>
              <wp:positionH relativeFrom="margin">
                <wp:align>inside</wp:align>
              </wp:positionH>
              <wp:positionV relativeFrom="paragraph">
                <wp:posOffset>0</wp:posOffset>
              </wp:positionV>
              <wp:extent cx="1828800" cy="1828800"/>
              <wp:effectExtent l="0" t="0" r="0" b="0"/>
              <wp:wrapNone/>
              <wp:docPr id="841979187"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69" type="#_x0000_t202" style="width:2in;height:2in;margin-top:0;margin-left:0;mso-position-horizontal:inside;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- 21 -</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2272" behindDoc="0" locked="0" layoutInCell="1" allowOverlap="1">
              <wp:simplePos x="0" y="0"/>
              <wp:positionH relativeFrom="margin">
                <wp:align>inside</wp:align>
              </wp:positionH>
              <wp:positionV relativeFrom="paragraph">
                <wp:posOffset>0</wp:posOffset>
              </wp:positionV>
              <wp:extent cx="1828800" cy="1828800"/>
              <wp:effectExtent l="0" t="0" r="0" b="0"/>
              <wp:wrapNone/>
              <wp:docPr id="491429957"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70" type="#_x0000_t202" style="width:2in;height:2in;margin-top:0;margin-left:0;mso-position-horizontal:inside;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- 22 -</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4320" behindDoc="0" locked="0" layoutInCell="1" allowOverlap="1">
              <wp:simplePos x="0" y="0"/>
              <wp:positionH relativeFrom="margin">
                <wp:align>inside</wp:align>
              </wp:positionH>
              <wp:positionV relativeFrom="paragraph">
                <wp:posOffset>0</wp:posOffset>
              </wp:positionV>
              <wp:extent cx="1828800" cy="1828800"/>
              <wp:effectExtent l="0" t="0" r="0" b="0"/>
              <wp:wrapNone/>
              <wp:docPr id="516415447"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71" type="#_x0000_t202" style="width:2in;height:2in;margin-top:0;margin-left:0;mso-position-horizontal:inside;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- 23 -</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6368" behindDoc="0" locked="0" layoutInCell="1" allowOverlap="1">
              <wp:simplePos x="0" y="0"/>
              <wp:positionH relativeFrom="margin">
                <wp:align>inside</wp:align>
              </wp:positionH>
              <wp:positionV relativeFrom="paragraph">
                <wp:posOffset>0</wp:posOffset>
              </wp:positionV>
              <wp:extent cx="1828800" cy="1828800"/>
              <wp:effectExtent l="0" t="0" r="0" b="0"/>
              <wp:wrapNone/>
              <wp:docPr id="729972537"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72" type="#_x0000_t202" style="width:2in;height:2in;margin-top:0;margin-left:0;mso-position-horizontal:inside;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- 24 -</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8416" behindDoc="0" locked="0" layoutInCell="1" allowOverlap="1">
              <wp:simplePos x="0" y="0"/>
              <wp:positionH relativeFrom="margin">
                <wp:align>inside</wp:align>
              </wp:positionH>
              <wp:positionV relativeFrom="paragraph">
                <wp:posOffset>0</wp:posOffset>
              </wp:positionV>
              <wp:extent cx="1828800" cy="1828800"/>
              <wp:effectExtent l="0" t="0" r="0" b="0"/>
              <wp:wrapNone/>
              <wp:docPr id="532595364"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73" type="#_x0000_t202" style="width:2in;height:2in;margin-top:0;margin-left:0;mso-position-horizontal:inside;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- 25 -</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104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237861275" name="文本框 2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9" o:spid="_x0000_s2074" type="#_x0000_t202" style="width:2in;height:2in;margin-top:0;margin-left:0;mso-position-horizontal:inside;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- 27 -</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48EFE1E"/>
    <w:multiLevelType w:val="singleLevel"/>
    <w:tmpl w:val="448EFE1E"/>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TrueTypeFonts/>
  <w:saveSubsetFonts/>
  <w:defaultTabStop w:val="420"/>
  <w:drawingGridVerticalSpacing w:val="157"/>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E05A9"/>
    <w:rsid w:val="00310860"/>
    <w:rsid w:val="003752C8"/>
    <w:rsid w:val="003E236B"/>
    <w:rsid w:val="00650430"/>
    <w:rsid w:val="007E4CA5"/>
    <w:rsid w:val="008B6D7E"/>
    <w:rsid w:val="00917EE0"/>
    <w:rsid w:val="00B449F9"/>
    <w:rsid w:val="00E7449D"/>
    <w:rsid w:val="010538CA"/>
    <w:rsid w:val="01525F9E"/>
    <w:rsid w:val="01822117"/>
    <w:rsid w:val="01882ADD"/>
    <w:rsid w:val="019C1747"/>
    <w:rsid w:val="01D0487C"/>
    <w:rsid w:val="01D50BD5"/>
    <w:rsid w:val="01E12691"/>
    <w:rsid w:val="01E12FEE"/>
    <w:rsid w:val="02140871"/>
    <w:rsid w:val="022D586C"/>
    <w:rsid w:val="027308D8"/>
    <w:rsid w:val="029854D8"/>
    <w:rsid w:val="02A57925"/>
    <w:rsid w:val="02A70E88"/>
    <w:rsid w:val="02D36903"/>
    <w:rsid w:val="02D71E70"/>
    <w:rsid w:val="030D0348"/>
    <w:rsid w:val="031857B8"/>
    <w:rsid w:val="0338148E"/>
    <w:rsid w:val="03A02417"/>
    <w:rsid w:val="03AE740B"/>
    <w:rsid w:val="03E64A0F"/>
    <w:rsid w:val="03EF665B"/>
    <w:rsid w:val="04190023"/>
    <w:rsid w:val="042744F5"/>
    <w:rsid w:val="04BB4EC9"/>
    <w:rsid w:val="052F03AE"/>
    <w:rsid w:val="052F236D"/>
    <w:rsid w:val="05354071"/>
    <w:rsid w:val="05621863"/>
    <w:rsid w:val="05C41973"/>
    <w:rsid w:val="05EC0CCD"/>
    <w:rsid w:val="061303AC"/>
    <w:rsid w:val="06601511"/>
    <w:rsid w:val="067937A0"/>
    <w:rsid w:val="071935BF"/>
    <w:rsid w:val="073B3E12"/>
    <w:rsid w:val="07886409"/>
    <w:rsid w:val="078F7CD1"/>
    <w:rsid w:val="07C818B8"/>
    <w:rsid w:val="082E0141"/>
    <w:rsid w:val="08356407"/>
    <w:rsid w:val="08413188"/>
    <w:rsid w:val="08BC53BF"/>
    <w:rsid w:val="08BE3F1C"/>
    <w:rsid w:val="08C04F4A"/>
    <w:rsid w:val="08E92C56"/>
    <w:rsid w:val="08FC2D85"/>
    <w:rsid w:val="09266291"/>
    <w:rsid w:val="09372B11"/>
    <w:rsid w:val="093D4EC6"/>
    <w:rsid w:val="095B1F56"/>
    <w:rsid w:val="097B2056"/>
    <w:rsid w:val="097D4E5E"/>
    <w:rsid w:val="09A33F5B"/>
    <w:rsid w:val="09B83C79"/>
    <w:rsid w:val="09D81F18"/>
    <w:rsid w:val="0A02484E"/>
    <w:rsid w:val="0A1F1931"/>
    <w:rsid w:val="0A253FBE"/>
    <w:rsid w:val="0A2B010F"/>
    <w:rsid w:val="0A6F4D12"/>
    <w:rsid w:val="0A825C35"/>
    <w:rsid w:val="0A9B30A2"/>
    <w:rsid w:val="0A9C6591"/>
    <w:rsid w:val="0AC35ED5"/>
    <w:rsid w:val="0AC92AA9"/>
    <w:rsid w:val="0AD7086E"/>
    <w:rsid w:val="0B017CE9"/>
    <w:rsid w:val="0BBD52AE"/>
    <w:rsid w:val="0BF0162A"/>
    <w:rsid w:val="0C1018B8"/>
    <w:rsid w:val="0C143F92"/>
    <w:rsid w:val="0C5B2109"/>
    <w:rsid w:val="0CAF3539"/>
    <w:rsid w:val="0CF81CF5"/>
    <w:rsid w:val="0D493F23"/>
    <w:rsid w:val="0D811024"/>
    <w:rsid w:val="0D8247D9"/>
    <w:rsid w:val="0DD4130A"/>
    <w:rsid w:val="0DE1684B"/>
    <w:rsid w:val="0DE72FEC"/>
    <w:rsid w:val="0E046121"/>
    <w:rsid w:val="0E5600AF"/>
    <w:rsid w:val="0E5966F9"/>
    <w:rsid w:val="0E8F0F46"/>
    <w:rsid w:val="0E9F70EB"/>
    <w:rsid w:val="0EA62AB8"/>
    <w:rsid w:val="0EC31A5C"/>
    <w:rsid w:val="0EF519BB"/>
    <w:rsid w:val="0F232368"/>
    <w:rsid w:val="0F2E1F4B"/>
    <w:rsid w:val="0F4646C3"/>
    <w:rsid w:val="0F6D03FA"/>
    <w:rsid w:val="0FC458E8"/>
    <w:rsid w:val="10471216"/>
    <w:rsid w:val="108605D2"/>
    <w:rsid w:val="108A66C8"/>
    <w:rsid w:val="10A333B2"/>
    <w:rsid w:val="10B6120E"/>
    <w:rsid w:val="10C97127"/>
    <w:rsid w:val="10F0553C"/>
    <w:rsid w:val="10F91CF8"/>
    <w:rsid w:val="116220BD"/>
    <w:rsid w:val="11865EF5"/>
    <w:rsid w:val="11EC2CD0"/>
    <w:rsid w:val="12677142"/>
    <w:rsid w:val="126C5C56"/>
    <w:rsid w:val="12C854A0"/>
    <w:rsid w:val="12E850F3"/>
    <w:rsid w:val="12F47EA8"/>
    <w:rsid w:val="131F45EB"/>
    <w:rsid w:val="13A51976"/>
    <w:rsid w:val="13DB735E"/>
    <w:rsid w:val="13E15316"/>
    <w:rsid w:val="14070F8D"/>
    <w:rsid w:val="14172727"/>
    <w:rsid w:val="1428738A"/>
    <w:rsid w:val="146705D2"/>
    <w:rsid w:val="146D039A"/>
    <w:rsid w:val="147825A5"/>
    <w:rsid w:val="14BD1DC5"/>
    <w:rsid w:val="14CB44CC"/>
    <w:rsid w:val="14E618E3"/>
    <w:rsid w:val="14EA642B"/>
    <w:rsid w:val="150B3507"/>
    <w:rsid w:val="15247B8E"/>
    <w:rsid w:val="15960284"/>
    <w:rsid w:val="159B7AD7"/>
    <w:rsid w:val="15B12AA0"/>
    <w:rsid w:val="15C609E3"/>
    <w:rsid w:val="15E44AF0"/>
    <w:rsid w:val="15E82E97"/>
    <w:rsid w:val="162817E1"/>
    <w:rsid w:val="162B334F"/>
    <w:rsid w:val="162B750A"/>
    <w:rsid w:val="166D490A"/>
    <w:rsid w:val="16950F8C"/>
    <w:rsid w:val="16AA75C6"/>
    <w:rsid w:val="16BB3ACA"/>
    <w:rsid w:val="16D3338B"/>
    <w:rsid w:val="16E17E98"/>
    <w:rsid w:val="16FF1BC8"/>
    <w:rsid w:val="17454E6D"/>
    <w:rsid w:val="1753657D"/>
    <w:rsid w:val="17654312"/>
    <w:rsid w:val="176B04A7"/>
    <w:rsid w:val="17A3335F"/>
    <w:rsid w:val="17D61850"/>
    <w:rsid w:val="17F328AF"/>
    <w:rsid w:val="182B502F"/>
    <w:rsid w:val="18595F60"/>
    <w:rsid w:val="18660D3B"/>
    <w:rsid w:val="18825CA6"/>
    <w:rsid w:val="18840524"/>
    <w:rsid w:val="18A72D85"/>
    <w:rsid w:val="18B42801"/>
    <w:rsid w:val="18C42C28"/>
    <w:rsid w:val="192F4E41"/>
    <w:rsid w:val="194859F8"/>
    <w:rsid w:val="196514CE"/>
    <w:rsid w:val="196E2D75"/>
    <w:rsid w:val="19831ECF"/>
    <w:rsid w:val="1991327B"/>
    <w:rsid w:val="19A467F4"/>
    <w:rsid w:val="19BB438A"/>
    <w:rsid w:val="19D542D5"/>
    <w:rsid w:val="19EA4300"/>
    <w:rsid w:val="1A221576"/>
    <w:rsid w:val="1A25529C"/>
    <w:rsid w:val="1A2B3791"/>
    <w:rsid w:val="1A9360B9"/>
    <w:rsid w:val="1A9C6F24"/>
    <w:rsid w:val="1AA16540"/>
    <w:rsid w:val="1AA34F60"/>
    <w:rsid w:val="1AB44200"/>
    <w:rsid w:val="1AD10DB0"/>
    <w:rsid w:val="1AD12414"/>
    <w:rsid w:val="1ADA1770"/>
    <w:rsid w:val="1AE71464"/>
    <w:rsid w:val="1AEC7218"/>
    <w:rsid w:val="1B1045EC"/>
    <w:rsid w:val="1B3F7A95"/>
    <w:rsid w:val="1B8E29B8"/>
    <w:rsid w:val="1B9370A5"/>
    <w:rsid w:val="1BD93E74"/>
    <w:rsid w:val="1BE86E8D"/>
    <w:rsid w:val="1BF822C9"/>
    <w:rsid w:val="1C4A2FA8"/>
    <w:rsid w:val="1C4F1DBB"/>
    <w:rsid w:val="1C59115B"/>
    <w:rsid w:val="1D720A67"/>
    <w:rsid w:val="1DA95C40"/>
    <w:rsid w:val="1DC30BBD"/>
    <w:rsid w:val="1DC86331"/>
    <w:rsid w:val="1DCA5583"/>
    <w:rsid w:val="1DD17C40"/>
    <w:rsid w:val="1E035E13"/>
    <w:rsid w:val="1E075D4C"/>
    <w:rsid w:val="1E310B1D"/>
    <w:rsid w:val="1E4C2703"/>
    <w:rsid w:val="1E7458AC"/>
    <w:rsid w:val="1E8748B2"/>
    <w:rsid w:val="1E8C387B"/>
    <w:rsid w:val="1E95420F"/>
    <w:rsid w:val="1EBD2062"/>
    <w:rsid w:val="1EC0236C"/>
    <w:rsid w:val="1EDB512F"/>
    <w:rsid w:val="1EFF4C2E"/>
    <w:rsid w:val="1F1F5691"/>
    <w:rsid w:val="1F445FB7"/>
    <w:rsid w:val="1F54736B"/>
    <w:rsid w:val="1F706925"/>
    <w:rsid w:val="1F820A56"/>
    <w:rsid w:val="1FB21E1D"/>
    <w:rsid w:val="1FCD54C2"/>
    <w:rsid w:val="1FF70AB6"/>
    <w:rsid w:val="200D5C44"/>
    <w:rsid w:val="2067219A"/>
    <w:rsid w:val="206F261D"/>
    <w:rsid w:val="209061C6"/>
    <w:rsid w:val="209C3893"/>
    <w:rsid w:val="20AE1417"/>
    <w:rsid w:val="20B6486E"/>
    <w:rsid w:val="20E45514"/>
    <w:rsid w:val="2120419A"/>
    <w:rsid w:val="216F1DCE"/>
    <w:rsid w:val="217D4141"/>
    <w:rsid w:val="219F2BEF"/>
    <w:rsid w:val="21B46707"/>
    <w:rsid w:val="21B50629"/>
    <w:rsid w:val="21FA6FC4"/>
    <w:rsid w:val="22213F21"/>
    <w:rsid w:val="222922A3"/>
    <w:rsid w:val="223C00C4"/>
    <w:rsid w:val="223E2DF0"/>
    <w:rsid w:val="228C06EB"/>
    <w:rsid w:val="22D234CD"/>
    <w:rsid w:val="235D0380"/>
    <w:rsid w:val="23717EED"/>
    <w:rsid w:val="237C661D"/>
    <w:rsid w:val="23E96F34"/>
    <w:rsid w:val="24014EDA"/>
    <w:rsid w:val="24117092"/>
    <w:rsid w:val="242918BE"/>
    <w:rsid w:val="244336D7"/>
    <w:rsid w:val="24462E17"/>
    <w:rsid w:val="244F17B7"/>
    <w:rsid w:val="24D86D93"/>
    <w:rsid w:val="24E122FF"/>
    <w:rsid w:val="24FF5A85"/>
    <w:rsid w:val="252E7A46"/>
    <w:rsid w:val="257760D2"/>
    <w:rsid w:val="25904CDA"/>
    <w:rsid w:val="25BE7CF3"/>
    <w:rsid w:val="25DA6DFA"/>
    <w:rsid w:val="25DD396C"/>
    <w:rsid w:val="25F640C9"/>
    <w:rsid w:val="25FB762A"/>
    <w:rsid w:val="26302EC4"/>
    <w:rsid w:val="263E6679"/>
    <w:rsid w:val="26665C1E"/>
    <w:rsid w:val="26805BDD"/>
    <w:rsid w:val="26937852"/>
    <w:rsid w:val="26955FF5"/>
    <w:rsid w:val="2697041A"/>
    <w:rsid w:val="26BE5410"/>
    <w:rsid w:val="26E2170A"/>
    <w:rsid w:val="26EF4607"/>
    <w:rsid w:val="26F55A2A"/>
    <w:rsid w:val="27013D32"/>
    <w:rsid w:val="271B33FC"/>
    <w:rsid w:val="272011A2"/>
    <w:rsid w:val="274F1B8B"/>
    <w:rsid w:val="27530387"/>
    <w:rsid w:val="2756789B"/>
    <w:rsid w:val="277F4129"/>
    <w:rsid w:val="277F76C7"/>
    <w:rsid w:val="27A117AD"/>
    <w:rsid w:val="27D26E58"/>
    <w:rsid w:val="27EF3C78"/>
    <w:rsid w:val="27F43225"/>
    <w:rsid w:val="281A2C06"/>
    <w:rsid w:val="282047C7"/>
    <w:rsid w:val="2827117C"/>
    <w:rsid w:val="282F4130"/>
    <w:rsid w:val="287A6E1A"/>
    <w:rsid w:val="28A02149"/>
    <w:rsid w:val="28AC7DDA"/>
    <w:rsid w:val="28D36FBE"/>
    <w:rsid w:val="297F1AD8"/>
    <w:rsid w:val="29B944EA"/>
    <w:rsid w:val="29BE6ECF"/>
    <w:rsid w:val="29EA3F3C"/>
    <w:rsid w:val="29EA69C6"/>
    <w:rsid w:val="2A061630"/>
    <w:rsid w:val="2A34531A"/>
    <w:rsid w:val="2A4F5C2B"/>
    <w:rsid w:val="2A59256A"/>
    <w:rsid w:val="2A695A5B"/>
    <w:rsid w:val="2A853517"/>
    <w:rsid w:val="2A9C3DF6"/>
    <w:rsid w:val="2AC62C21"/>
    <w:rsid w:val="2AEB3AE9"/>
    <w:rsid w:val="2B150CD6"/>
    <w:rsid w:val="2B5D06F7"/>
    <w:rsid w:val="2B6F12BB"/>
    <w:rsid w:val="2B737238"/>
    <w:rsid w:val="2B956FBE"/>
    <w:rsid w:val="2BCB6ACF"/>
    <w:rsid w:val="2BCC06C6"/>
    <w:rsid w:val="2BD55ED6"/>
    <w:rsid w:val="2BD91045"/>
    <w:rsid w:val="2BF47C2A"/>
    <w:rsid w:val="2C0B1233"/>
    <w:rsid w:val="2C121686"/>
    <w:rsid w:val="2C5A7B6E"/>
    <w:rsid w:val="2C5F45C6"/>
    <w:rsid w:val="2C713BEE"/>
    <w:rsid w:val="2CB949F4"/>
    <w:rsid w:val="2D15524D"/>
    <w:rsid w:val="2D170DFB"/>
    <w:rsid w:val="2D546046"/>
    <w:rsid w:val="2D581E26"/>
    <w:rsid w:val="2DAC286F"/>
    <w:rsid w:val="2DCB3744"/>
    <w:rsid w:val="2DD9151B"/>
    <w:rsid w:val="2DED2B3A"/>
    <w:rsid w:val="2E036B5F"/>
    <w:rsid w:val="2E0B6FC4"/>
    <w:rsid w:val="2E182127"/>
    <w:rsid w:val="2E3440DF"/>
    <w:rsid w:val="2E8746AC"/>
    <w:rsid w:val="2E916E1E"/>
    <w:rsid w:val="2EC23510"/>
    <w:rsid w:val="2EC6337D"/>
    <w:rsid w:val="2EF50657"/>
    <w:rsid w:val="2F261D45"/>
    <w:rsid w:val="2F2D375F"/>
    <w:rsid w:val="2F2F18E6"/>
    <w:rsid w:val="2F3A3A5B"/>
    <w:rsid w:val="2F5073C2"/>
    <w:rsid w:val="2F743201"/>
    <w:rsid w:val="2F7610DD"/>
    <w:rsid w:val="2F8E23D9"/>
    <w:rsid w:val="2F960E86"/>
    <w:rsid w:val="2FA70495"/>
    <w:rsid w:val="30291588"/>
    <w:rsid w:val="30B570FA"/>
    <w:rsid w:val="31586A2C"/>
    <w:rsid w:val="31B606FC"/>
    <w:rsid w:val="31E607C9"/>
    <w:rsid w:val="320078BE"/>
    <w:rsid w:val="320504D2"/>
    <w:rsid w:val="323A4A73"/>
    <w:rsid w:val="32752E17"/>
    <w:rsid w:val="32933DD7"/>
    <w:rsid w:val="329A0909"/>
    <w:rsid w:val="32A00F50"/>
    <w:rsid w:val="32E0268D"/>
    <w:rsid w:val="32EC63EB"/>
    <w:rsid w:val="32ED5E1F"/>
    <w:rsid w:val="33103F82"/>
    <w:rsid w:val="331842F1"/>
    <w:rsid w:val="332F1693"/>
    <w:rsid w:val="334C50FA"/>
    <w:rsid w:val="33524E23"/>
    <w:rsid w:val="3376367E"/>
    <w:rsid w:val="33AC1994"/>
    <w:rsid w:val="33E37AF5"/>
    <w:rsid w:val="340A6B69"/>
    <w:rsid w:val="34105C22"/>
    <w:rsid w:val="341B2502"/>
    <w:rsid w:val="34443945"/>
    <w:rsid w:val="344E216A"/>
    <w:rsid w:val="34C50F61"/>
    <w:rsid w:val="34DF4F0A"/>
    <w:rsid w:val="350639C4"/>
    <w:rsid w:val="35697E9C"/>
    <w:rsid w:val="357041C5"/>
    <w:rsid w:val="357B5CC3"/>
    <w:rsid w:val="358A50B1"/>
    <w:rsid w:val="358D7989"/>
    <w:rsid w:val="359D3E41"/>
    <w:rsid w:val="35AE0CD9"/>
    <w:rsid w:val="35AF114F"/>
    <w:rsid w:val="35B84F87"/>
    <w:rsid w:val="35D0399B"/>
    <w:rsid w:val="360C209E"/>
    <w:rsid w:val="36287CF1"/>
    <w:rsid w:val="362910F0"/>
    <w:rsid w:val="3686078F"/>
    <w:rsid w:val="368C5F9C"/>
    <w:rsid w:val="36B04C59"/>
    <w:rsid w:val="36CA53FD"/>
    <w:rsid w:val="36F7241D"/>
    <w:rsid w:val="37444B4C"/>
    <w:rsid w:val="375D4C8D"/>
    <w:rsid w:val="377B67DF"/>
    <w:rsid w:val="378900AE"/>
    <w:rsid w:val="37954DBF"/>
    <w:rsid w:val="37B17736"/>
    <w:rsid w:val="37D54A07"/>
    <w:rsid w:val="37DF41B6"/>
    <w:rsid w:val="37F60F5D"/>
    <w:rsid w:val="37FA321C"/>
    <w:rsid w:val="38767EBE"/>
    <w:rsid w:val="38771BE8"/>
    <w:rsid w:val="38950DA7"/>
    <w:rsid w:val="38B64B1F"/>
    <w:rsid w:val="38DC54EA"/>
    <w:rsid w:val="38EA56EF"/>
    <w:rsid w:val="38F30A02"/>
    <w:rsid w:val="38F608BA"/>
    <w:rsid w:val="38FE0CD4"/>
    <w:rsid w:val="390C7CB8"/>
    <w:rsid w:val="39136875"/>
    <w:rsid w:val="391A2988"/>
    <w:rsid w:val="392B0630"/>
    <w:rsid w:val="394E3C9F"/>
    <w:rsid w:val="397810D7"/>
    <w:rsid w:val="399D4C54"/>
    <w:rsid w:val="39BF7BEC"/>
    <w:rsid w:val="39DB7F55"/>
    <w:rsid w:val="39E56E83"/>
    <w:rsid w:val="39E76302"/>
    <w:rsid w:val="3A3117FB"/>
    <w:rsid w:val="3A4031D7"/>
    <w:rsid w:val="3AC77224"/>
    <w:rsid w:val="3B0E2B60"/>
    <w:rsid w:val="3B672BA8"/>
    <w:rsid w:val="3B682CC5"/>
    <w:rsid w:val="3B990893"/>
    <w:rsid w:val="3BA06A16"/>
    <w:rsid w:val="3BC9425D"/>
    <w:rsid w:val="3BD17D98"/>
    <w:rsid w:val="3BD56C98"/>
    <w:rsid w:val="3BDC4A68"/>
    <w:rsid w:val="3C194CE9"/>
    <w:rsid w:val="3C301782"/>
    <w:rsid w:val="3C367414"/>
    <w:rsid w:val="3CA70E5C"/>
    <w:rsid w:val="3CF722AD"/>
    <w:rsid w:val="3D1F2EDE"/>
    <w:rsid w:val="3D3546B1"/>
    <w:rsid w:val="3D3E6C70"/>
    <w:rsid w:val="3D6E2D4A"/>
    <w:rsid w:val="3DEE1C50"/>
    <w:rsid w:val="3DFB2DBB"/>
    <w:rsid w:val="3E0413C2"/>
    <w:rsid w:val="3E160216"/>
    <w:rsid w:val="3E4E12A8"/>
    <w:rsid w:val="3E762E96"/>
    <w:rsid w:val="3E8478AE"/>
    <w:rsid w:val="3EE66E7C"/>
    <w:rsid w:val="3EF2788E"/>
    <w:rsid w:val="3F0935BE"/>
    <w:rsid w:val="3F0E5B00"/>
    <w:rsid w:val="3F2561B1"/>
    <w:rsid w:val="3F2B5E86"/>
    <w:rsid w:val="3F431BC8"/>
    <w:rsid w:val="3F4361C5"/>
    <w:rsid w:val="3F4C5E5D"/>
    <w:rsid w:val="3F831A1A"/>
    <w:rsid w:val="3F967E47"/>
    <w:rsid w:val="3F9E3B3F"/>
    <w:rsid w:val="3FAF39B2"/>
    <w:rsid w:val="3FF7219C"/>
    <w:rsid w:val="3FFC3A48"/>
    <w:rsid w:val="40116268"/>
    <w:rsid w:val="405679B2"/>
    <w:rsid w:val="40752ABC"/>
    <w:rsid w:val="408C0BBD"/>
    <w:rsid w:val="40B15598"/>
    <w:rsid w:val="40D56626"/>
    <w:rsid w:val="40DB5054"/>
    <w:rsid w:val="416C2734"/>
    <w:rsid w:val="41AE3884"/>
    <w:rsid w:val="41DE1966"/>
    <w:rsid w:val="42044763"/>
    <w:rsid w:val="424C6AEC"/>
    <w:rsid w:val="42721F4D"/>
    <w:rsid w:val="428B6A6F"/>
    <w:rsid w:val="42C25C88"/>
    <w:rsid w:val="42C56017"/>
    <w:rsid w:val="42CA07D7"/>
    <w:rsid w:val="42DA382B"/>
    <w:rsid w:val="42DD056C"/>
    <w:rsid w:val="42E16C0C"/>
    <w:rsid w:val="430D7EC7"/>
    <w:rsid w:val="43142363"/>
    <w:rsid w:val="431534CB"/>
    <w:rsid w:val="43341F0E"/>
    <w:rsid w:val="43957458"/>
    <w:rsid w:val="439C4084"/>
    <w:rsid w:val="43DB5A0A"/>
    <w:rsid w:val="43F0115B"/>
    <w:rsid w:val="43FF44F8"/>
    <w:rsid w:val="441A0376"/>
    <w:rsid w:val="44273ED1"/>
    <w:rsid w:val="445B75C3"/>
    <w:rsid w:val="44A77C39"/>
    <w:rsid w:val="44A926FE"/>
    <w:rsid w:val="44C46A8C"/>
    <w:rsid w:val="44CD2EA1"/>
    <w:rsid w:val="453C6991"/>
    <w:rsid w:val="4541415F"/>
    <w:rsid w:val="45417B7F"/>
    <w:rsid w:val="45643F5B"/>
    <w:rsid w:val="45650852"/>
    <w:rsid w:val="45770BE6"/>
    <w:rsid w:val="457D6555"/>
    <w:rsid w:val="459300FF"/>
    <w:rsid w:val="45A432C2"/>
    <w:rsid w:val="45B85B30"/>
    <w:rsid w:val="45D21658"/>
    <w:rsid w:val="46203170"/>
    <w:rsid w:val="464B1909"/>
    <w:rsid w:val="4663136C"/>
    <w:rsid w:val="467B0413"/>
    <w:rsid w:val="46A72D1C"/>
    <w:rsid w:val="46ED3C01"/>
    <w:rsid w:val="47034F9F"/>
    <w:rsid w:val="47122CBC"/>
    <w:rsid w:val="47272B68"/>
    <w:rsid w:val="47477F1D"/>
    <w:rsid w:val="47524B89"/>
    <w:rsid w:val="47747644"/>
    <w:rsid w:val="47AF0E4C"/>
    <w:rsid w:val="47D13DE4"/>
    <w:rsid w:val="47DE079B"/>
    <w:rsid w:val="481878D6"/>
    <w:rsid w:val="48234C5E"/>
    <w:rsid w:val="483714B2"/>
    <w:rsid w:val="486E0E2D"/>
    <w:rsid w:val="48B14AB8"/>
    <w:rsid w:val="48B8593E"/>
    <w:rsid w:val="48B86A90"/>
    <w:rsid w:val="48BD038C"/>
    <w:rsid w:val="48CA2A39"/>
    <w:rsid w:val="48D9091D"/>
    <w:rsid w:val="48F1652B"/>
    <w:rsid w:val="49353CB9"/>
    <w:rsid w:val="49C432A5"/>
    <w:rsid w:val="49D63741"/>
    <w:rsid w:val="4A0E00E2"/>
    <w:rsid w:val="4A2D17DA"/>
    <w:rsid w:val="4A4D0A1F"/>
    <w:rsid w:val="4A734D0A"/>
    <w:rsid w:val="4A987ED5"/>
    <w:rsid w:val="4AC312FF"/>
    <w:rsid w:val="4AFD21EB"/>
    <w:rsid w:val="4B40074A"/>
    <w:rsid w:val="4BE13631"/>
    <w:rsid w:val="4BF44A78"/>
    <w:rsid w:val="4C1B515A"/>
    <w:rsid w:val="4C2B19C8"/>
    <w:rsid w:val="4C57497D"/>
    <w:rsid w:val="4C5C7AFD"/>
    <w:rsid w:val="4C72586B"/>
    <w:rsid w:val="4C8F32D7"/>
    <w:rsid w:val="4C904DB2"/>
    <w:rsid w:val="4C971919"/>
    <w:rsid w:val="4CB6269D"/>
    <w:rsid w:val="4CCD0536"/>
    <w:rsid w:val="4CDC061F"/>
    <w:rsid w:val="4D203FBB"/>
    <w:rsid w:val="4D9D1381"/>
    <w:rsid w:val="4DD22DD3"/>
    <w:rsid w:val="4E5A1458"/>
    <w:rsid w:val="4ECB3393"/>
    <w:rsid w:val="4F0B5114"/>
    <w:rsid w:val="4F4530E1"/>
    <w:rsid w:val="4F511519"/>
    <w:rsid w:val="4F592761"/>
    <w:rsid w:val="4F7A7719"/>
    <w:rsid w:val="4FA7030B"/>
    <w:rsid w:val="4FAC5499"/>
    <w:rsid w:val="4FC6582F"/>
    <w:rsid w:val="50115C68"/>
    <w:rsid w:val="503A3CBF"/>
    <w:rsid w:val="515522A9"/>
    <w:rsid w:val="515A2943"/>
    <w:rsid w:val="51C616B7"/>
    <w:rsid w:val="51F45E9D"/>
    <w:rsid w:val="520364C3"/>
    <w:rsid w:val="52217930"/>
    <w:rsid w:val="52502B12"/>
    <w:rsid w:val="52785339"/>
    <w:rsid w:val="52891D80"/>
    <w:rsid w:val="528D492A"/>
    <w:rsid w:val="529C3023"/>
    <w:rsid w:val="52D60518"/>
    <w:rsid w:val="53045614"/>
    <w:rsid w:val="53073871"/>
    <w:rsid w:val="530B2E0B"/>
    <w:rsid w:val="533D70E2"/>
    <w:rsid w:val="534E6B6B"/>
    <w:rsid w:val="53790328"/>
    <w:rsid w:val="539B439B"/>
    <w:rsid w:val="53E532DF"/>
    <w:rsid w:val="53E66FFE"/>
    <w:rsid w:val="54306155"/>
    <w:rsid w:val="5472623E"/>
    <w:rsid w:val="5495528E"/>
    <w:rsid w:val="549A4580"/>
    <w:rsid w:val="54BE5FDE"/>
    <w:rsid w:val="54D63972"/>
    <w:rsid w:val="551B466E"/>
    <w:rsid w:val="552B1AC9"/>
    <w:rsid w:val="559E4AB5"/>
    <w:rsid w:val="55A40221"/>
    <w:rsid w:val="55A61974"/>
    <w:rsid w:val="55AA445D"/>
    <w:rsid w:val="55D55AC9"/>
    <w:rsid w:val="561A5309"/>
    <w:rsid w:val="56246660"/>
    <w:rsid w:val="56572D96"/>
    <w:rsid w:val="568117BE"/>
    <w:rsid w:val="56925218"/>
    <w:rsid w:val="56AC2F82"/>
    <w:rsid w:val="56CF6350"/>
    <w:rsid w:val="570A6AA8"/>
    <w:rsid w:val="572A199D"/>
    <w:rsid w:val="57750F45"/>
    <w:rsid w:val="57C428E0"/>
    <w:rsid w:val="57C84316"/>
    <w:rsid w:val="57EB10A4"/>
    <w:rsid w:val="580E58D8"/>
    <w:rsid w:val="58372E90"/>
    <w:rsid w:val="5874462F"/>
    <w:rsid w:val="5880435F"/>
    <w:rsid w:val="588B1F89"/>
    <w:rsid w:val="589F0E21"/>
    <w:rsid w:val="58C15F70"/>
    <w:rsid w:val="58DC35F4"/>
    <w:rsid w:val="58FD506A"/>
    <w:rsid w:val="59054E28"/>
    <w:rsid w:val="5913791F"/>
    <w:rsid w:val="59574268"/>
    <w:rsid w:val="595835E7"/>
    <w:rsid w:val="595E63BC"/>
    <w:rsid w:val="597B2CA5"/>
    <w:rsid w:val="59A77D29"/>
    <w:rsid w:val="59C7015B"/>
    <w:rsid w:val="59F47211"/>
    <w:rsid w:val="5A3B69CE"/>
    <w:rsid w:val="5AB32B59"/>
    <w:rsid w:val="5AEB447E"/>
    <w:rsid w:val="5B04529A"/>
    <w:rsid w:val="5B1E41F8"/>
    <w:rsid w:val="5B4E77E9"/>
    <w:rsid w:val="5B743B2B"/>
    <w:rsid w:val="5BB5583E"/>
    <w:rsid w:val="5C0E74A0"/>
    <w:rsid w:val="5C204DCC"/>
    <w:rsid w:val="5C373F4C"/>
    <w:rsid w:val="5C3F5989"/>
    <w:rsid w:val="5C6A00A1"/>
    <w:rsid w:val="5C737D4D"/>
    <w:rsid w:val="5C7C52A2"/>
    <w:rsid w:val="5C903405"/>
    <w:rsid w:val="5C922AE6"/>
    <w:rsid w:val="5C9F2BA9"/>
    <w:rsid w:val="5CDE3CAF"/>
    <w:rsid w:val="5CEA0412"/>
    <w:rsid w:val="5CFE05A9"/>
    <w:rsid w:val="5D172DF8"/>
    <w:rsid w:val="5D206156"/>
    <w:rsid w:val="5D413262"/>
    <w:rsid w:val="5D8B42FF"/>
    <w:rsid w:val="5D8C0BEF"/>
    <w:rsid w:val="5D961E9F"/>
    <w:rsid w:val="5DAC53A1"/>
    <w:rsid w:val="5E011217"/>
    <w:rsid w:val="5E07266A"/>
    <w:rsid w:val="5E2636F4"/>
    <w:rsid w:val="5E53524B"/>
    <w:rsid w:val="5EB65B6A"/>
    <w:rsid w:val="5EE035CF"/>
    <w:rsid w:val="5F0157EF"/>
    <w:rsid w:val="5F090B3B"/>
    <w:rsid w:val="5F301ECA"/>
    <w:rsid w:val="5F3B6266"/>
    <w:rsid w:val="5F4B5D55"/>
    <w:rsid w:val="5F5524BB"/>
    <w:rsid w:val="5F9A0B64"/>
    <w:rsid w:val="5F9A5398"/>
    <w:rsid w:val="5FFD154D"/>
    <w:rsid w:val="602650DA"/>
    <w:rsid w:val="602A0D69"/>
    <w:rsid w:val="605C60EC"/>
    <w:rsid w:val="60A24AF5"/>
    <w:rsid w:val="60D568B4"/>
    <w:rsid w:val="60DC5A5D"/>
    <w:rsid w:val="610751B5"/>
    <w:rsid w:val="61114E76"/>
    <w:rsid w:val="61181030"/>
    <w:rsid w:val="611E064B"/>
    <w:rsid w:val="616A1459"/>
    <w:rsid w:val="618F14FE"/>
    <w:rsid w:val="62717122"/>
    <w:rsid w:val="628255D4"/>
    <w:rsid w:val="62916036"/>
    <w:rsid w:val="62A27238"/>
    <w:rsid w:val="62CA755A"/>
    <w:rsid w:val="62D40B12"/>
    <w:rsid w:val="62DF6342"/>
    <w:rsid w:val="62ED7994"/>
    <w:rsid w:val="62F97DE8"/>
    <w:rsid w:val="63840EAE"/>
    <w:rsid w:val="63D4188B"/>
    <w:rsid w:val="64344E81"/>
    <w:rsid w:val="643D19DF"/>
    <w:rsid w:val="64570E69"/>
    <w:rsid w:val="646C3456"/>
    <w:rsid w:val="64F17270"/>
    <w:rsid w:val="650A0D04"/>
    <w:rsid w:val="65135974"/>
    <w:rsid w:val="651D0772"/>
    <w:rsid w:val="6533194F"/>
    <w:rsid w:val="6540370E"/>
    <w:rsid w:val="65A735E7"/>
    <w:rsid w:val="65B86875"/>
    <w:rsid w:val="65DC12BF"/>
    <w:rsid w:val="66202C39"/>
    <w:rsid w:val="66334588"/>
    <w:rsid w:val="66663C6B"/>
    <w:rsid w:val="66AE6A0F"/>
    <w:rsid w:val="67740E4A"/>
    <w:rsid w:val="67C93707"/>
    <w:rsid w:val="67D77E95"/>
    <w:rsid w:val="67E519C1"/>
    <w:rsid w:val="67EF2522"/>
    <w:rsid w:val="67F61CE7"/>
    <w:rsid w:val="68047DD8"/>
    <w:rsid w:val="680C5410"/>
    <w:rsid w:val="68881657"/>
    <w:rsid w:val="68A12DD4"/>
    <w:rsid w:val="68CE2A78"/>
    <w:rsid w:val="69096054"/>
    <w:rsid w:val="694F5B0F"/>
    <w:rsid w:val="69776D49"/>
    <w:rsid w:val="69874A41"/>
    <w:rsid w:val="69922662"/>
    <w:rsid w:val="69AE3265"/>
    <w:rsid w:val="69C1710D"/>
    <w:rsid w:val="6A186E50"/>
    <w:rsid w:val="6A7056AE"/>
    <w:rsid w:val="6A7C5970"/>
    <w:rsid w:val="6A9844C1"/>
    <w:rsid w:val="6ABE60DD"/>
    <w:rsid w:val="6AC40660"/>
    <w:rsid w:val="6AC9274F"/>
    <w:rsid w:val="6AE213F9"/>
    <w:rsid w:val="6B24051D"/>
    <w:rsid w:val="6B2A658B"/>
    <w:rsid w:val="6B460C38"/>
    <w:rsid w:val="6B542A6D"/>
    <w:rsid w:val="6B956EDC"/>
    <w:rsid w:val="6BA773FF"/>
    <w:rsid w:val="6BA83C23"/>
    <w:rsid w:val="6BB55A83"/>
    <w:rsid w:val="6BC24598"/>
    <w:rsid w:val="6BC92144"/>
    <w:rsid w:val="6BCF68D7"/>
    <w:rsid w:val="6BD93FC6"/>
    <w:rsid w:val="6BF03D47"/>
    <w:rsid w:val="6BFF7F9B"/>
    <w:rsid w:val="6C2B5F16"/>
    <w:rsid w:val="6C5E13B4"/>
    <w:rsid w:val="6C9E3E1F"/>
    <w:rsid w:val="6CCC78A7"/>
    <w:rsid w:val="6CF957A0"/>
    <w:rsid w:val="6D206DC5"/>
    <w:rsid w:val="6D2F2932"/>
    <w:rsid w:val="6D326C1C"/>
    <w:rsid w:val="6D6913CF"/>
    <w:rsid w:val="6D766347"/>
    <w:rsid w:val="6D82189D"/>
    <w:rsid w:val="6D86691D"/>
    <w:rsid w:val="6DF55500"/>
    <w:rsid w:val="6E0761AD"/>
    <w:rsid w:val="6E3E210C"/>
    <w:rsid w:val="6E437859"/>
    <w:rsid w:val="6E65267E"/>
    <w:rsid w:val="6E6C06E7"/>
    <w:rsid w:val="6E795D11"/>
    <w:rsid w:val="6E9142D7"/>
    <w:rsid w:val="6EAC1E3E"/>
    <w:rsid w:val="6ED25938"/>
    <w:rsid w:val="6EE844E0"/>
    <w:rsid w:val="6F2811CE"/>
    <w:rsid w:val="6F2D4B06"/>
    <w:rsid w:val="6F456399"/>
    <w:rsid w:val="6FF41853"/>
    <w:rsid w:val="702E78FB"/>
    <w:rsid w:val="7047113B"/>
    <w:rsid w:val="70624A07"/>
    <w:rsid w:val="7085046F"/>
    <w:rsid w:val="708F6461"/>
    <w:rsid w:val="7096425B"/>
    <w:rsid w:val="70A668C4"/>
    <w:rsid w:val="70E12822"/>
    <w:rsid w:val="710D3D50"/>
    <w:rsid w:val="711A60A3"/>
    <w:rsid w:val="71495812"/>
    <w:rsid w:val="71762D2B"/>
    <w:rsid w:val="71825B57"/>
    <w:rsid w:val="71C47D2B"/>
    <w:rsid w:val="71DB530C"/>
    <w:rsid w:val="71DB7C89"/>
    <w:rsid w:val="71F339B5"/>
    <w:rsid w:val="72001125"/>
    <w:rsid w:val="722A4D00"/>
    <w:rsid w:val="722D002B"/>
    <w:rsid w:val="72643E42"/>
    <w:rsid w:val="727B4DF5"/>
    <w:rsid w:val="7284181A"/>
    <w:rsid w:val="72B26FA0"/>
    <w:rsid w:val="72BC1D10"/>
    <w:rsid w:val="72D65216"/>
    <w:rsid w:val="731E2833"/>
    <w:rsid w:val="7379604F"/>
    <w:rsid w:val="739B6D9E"/>
    <w:rsid w:val="73A6646D"/>
    <w:rsid w:val="73F00909"/>
    <w:rsid w:val="73FD0E00"/>
    <w:rsid w:val="74063667"/>
    <w:rsid w:val="742024D2"/>
    <w:rsid w:val="74250473"/>
    <w:rsid w:val="745512E2"/>
    <w:rsid w:val="746C7002"/>
    <w:rsid w:val="74887CA7"/>
    <w:rsid w:val="74E421D5"/>
    <w:rsid w:val="74F71B7F"/>
    <w:rsid w:val="75001DD5"/>
    <w:rsid w:val="75874327"/>
    <w:rsid w:val="75937413"/>
    <w:rsid w:val="75962B09"/>
    <w:rsid w:val="75A13617"/>
    <w:rsid w:val="75C5155C"/>
    <w:rsid w:val="75FD0754"/>
    <w:rsid w:val="762D16A9"/>
    <w:rsid w:val="763E2BEB"/>
    <w:rsid w:val="76656246"/>
    <w:rsid w:val="76783F89"/>
    <w:rsid w:val="769400BD"/>
    <w:rsid w:val="76A2380D"/>
    <w:rsid w:val="76ED0FA9"/>
    <w:rsid w:val="77107201"/>
    <w:rsid w:val="774B0495"/>
    <w:rsid w:val="77907283"/>
    <w:rsid w:val="77A8100C"/>
    <w:rsid w:val="77E43E02"/>
    <w:rsid w:val="77ED3B06"/>
    <w:rsid w:val="78115B17"/>
    <w:rsid w:val="781F663A"/>
    <w:rsid w:val="787768D5"/>
    <w:rsid w:val="78813360"/>
    <w:rsid w:val="78B85EB1"/>
    <w:rsid w:val="78DC3FE9"/>
    <w:rsid w:val="795124C5"/>
    <w:rsid w:val="795C7367"/>
    <w:rsid w:val="79A07CA5"/>
    <w:rsid w:val="79CB3B5E"/>
    <w:rsid w:val="7A0444A8"/>
    <w:rsid w:val="7A64725E"/>
    <w:rsid w:val="7A6B4B71"/>
    <w:rsid w:val="7ADF5961"/>
    <w:rsid w:val="7AE74C21"/>
    <w:rsid w:val="7B15007C"/>
    <w:rsid w:val="7B8C33E7"/>
    <w:rsid w:val="7C136CFD"/>
    <w:rsid w:val="7C244364"/>
    <w:rsid w:val="7C621CDD"/>
    <w:rsid w:val="7C6F57A0"/>
    <w:rsid w:val="7C726573"/>
    <w:rsid w:val="7C7442AA"/>
    <w:rsid w:val="7C81371A"/>
    <w:rsid w:val="7CA92029"/>
    <w:rsid w:val="7CBF7B02"/>
    <w:rsid w:val="7D57749B"/>
    <w:rsid w:val="7D5871F4"/>
    <w:rsid w:val="7D692B44"/>
    <w:rsid w:val="7D7833DD"/>
    <w:rsid w:val="7D8D3436"/>
    <w:rsid w:val="7DB87CB7"/>
    <w:rsid w:val="7DCA7094"/>
    <w:rsid w:val="7E187C65"/>
    <w:rsid w:val="7E8244D0"/>
    <w:rsid w:val="7EA628B6"/>
    <w:rsid w:val="7EEC1319"/>
    <w:rsid w:val="7F033168"/>
    <w:rsid w:val="7F674918"/>
    <w:rsid w:val="7FD556BC"/>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uiPriority="0" w:unhideWhenUsed="0" w:qFormat="1"/>
    <w:lsdException w:name="caption" w:semiHidden="0" w:uiPriority="35" w:qFormat="1"/>
    <w:lsdException w:name="table of figures" w:semiHidden="0"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qFormat="1"/>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qFormat="1"/>
    <w:lsdException w:name="Hyperlink" w:semiHidden="0" w:qFormat="1"/>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1"/>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qFormat/>
    <w:pPr>
      <w:keepNext/>
      <w:ind w:firstLine="505" w:firstLineChars="200"/>
      <w:outlineLvl w:val="0"/>
    </w:pPr>
    <w:rPr>
      <w:rFonts w:ascii="仿宋_GB2312"/>
      <w:b/>
      <w:kern w:val="2"/>
      <w:sz w:val="28"/>
    </w:rPr>
  </w:style>
  <w:style w:type="paragraph" w:styleId="Heading2">
    <w:name w:val="heading 2"/>
    <w:basedOn w:val="Normal"/>
    <w:next w:val="Normal"/>
    <w:qFormat/>
    <w:pPr>
      <w:keepNext/>
      <w:keepLines/>
      <w:spacing w:before="260" w:beforeLines="0" w:after="260" w:afterLines="0" w:line="413" w:lineRule="auto"/>
      <w:outlineLvl w:val="1"/>
    </w:pPr>
    <w:rPr>
      <w:rFonts w:ascii="Arial" w:eastAsia="黑体" w:hAnsi="Arial"/>
      <w:b/>
      <w:bCs/>
      <w:kern w:val="2"/>
      <w:sz w:val="32"/>
      <w:szCs w:val="32"/>
    </w:rPr>
  </w:style>
  <w:style w:type="paragraph" w:styleId="Heading3">
    <w:name w:val="heading 3"/>
    <w:basedOn w:val="Normal"/>
    <w:next w:val="Normal"/>
    <w:qFormat/>
    <w:pPr>
      <w:widowControl/>
      <w:spacing w:before="100" w:beforeAutospacing="1" w:after="100" w:afterAutospacing="1"/>
      <w:jc w:val="center"/>
      <w:outlineLvl w:val="2"/>
    </w:pPr>
    <w:rPr>
      <w:rFonts w:ascii="宋体" w:eastAsia="宋体" w:hAnsi="宋体"/>
      <w:b/>
      <w:bCs/>
      <w:color w:val="FF0000"/>
      <w:kern w:val="0"/>
      <w:sz w:val="32"/>
      <w:szCs w:val="32"/>
    </w:rPr>
  </w:style>
  <w:style w:type="paragraph" w:styleId="Heading4">
    <w:name w:val="heading 4"/>
    <w:basedOn w:val="Normal"/>
    <w:next w:val="Normal"/>
    <w:qFormat/>
    <w:pPr>
      <w:keepNext/>
      <w:keepLines/>
      <w:spacing w:before="280" w:after="290" w:line="376" w:lineRule="auto"/>
      <w:outlineLvl w:val="3"/>
    </w:pPr>
    <w:rPr>
      <w:rFonts w:ascii="Arial" w:eastAsia="黑体" w:hAnsi="Arial"/>
      <w:b/>
      <w:bCs/>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21">
    <w:name w:val="正文首行缩进 21"/>
    <w:basedOn w:val="1"/>
    <w:qFormat/>
    <w:pPr>
      <w:ind w:firstLine="640" w:firstLineChars="200"/>
    </w:pPr>
    <w:rPr>
      <w:rFonts w:ascii="宋体" w:hAnsi="宋体"/>
      <w:sz w:val="30"/>
      <w:szCs w:val="30"/>
    </w:rPr>
  </w:style>
  <w:style w:type="paragraph" w:customStyle="1" w:styleId="1">
    <w:name w:val="正文文本缩进1"/>
    <w:basedOn w:val="Normal"/>
    <w:qFormat/>
    <w:pPr>
      <w:spacing w:after="120"/>
      <w:ind w:left="420" w:leftChars="200"/>
    </w:pPr>
  </w:style>
  <w:style w:type="paragraph" w:styleId="NormalIndent">
    <w:name w:val="Normal Indent"/>
    <w:basedOn w:val="Normal"/>
    <w:next w:val="Normal"/>
    <w:qFormat/>
    <w:pPr>
      <w:ind w:firstLine="420"/>
    </w:pPr>
    <w:rPr>
      <w:rFonts w:ascii="Times New Roman"/>
      <w:kern w:val="2"/>
      <w:sz w:val="21"/>
      <w:szCs w:val="24"/>
    </w:rPr>
  </w:style>
  <w:style w:type="paragraph" w:styleId="Caption">
    <w:name w:val="caption"/>
    <w:next w:val="Normal"/>
    <w:uiPriority w:val="35"/>
    <w:unhideWhenUsed/>
    <w:qFormat/>
    <w:pPr>
      <w:widowControl w:val="0"/>
      <w:jc w:val="both"/>
    </w:pPr>
    <w:rPr>
      <w:rFonts w:ascii="Arial" w:eastAsia="黑体" w:hAnsi="Arial" w:cs="Arial"/>
      <w:kern w:val="2"/>
      <w:sz w:val="20"/>
      <w:szCs w:val="24"/>
      <w:lang w:val="en-US" w:eastAsia="zh-CN" w:bidi="ar-SA"/>
    </w:rPr>
  </w:style>
  <w:style w:type="paragraph" w:styleId="CommentText">
    <w:name w:val="annotation text"/>
    <w:basedOn w:val="Normal"/>
    <w:qFormat/>
    <w:pPr>
      <w:adjustRightInd w:val="0"/>
      <w:snapToGrid w:val="0"/>
      <w:spacing w:line="360" w:lineRule="auto"/>
      <w:ind w:firstLine="425" w:firstLineChars="200"/>
      <w:jc w:val="left"/>
    </w:pPr>
    <w:rPr>
      <w:rFonts w:ascii="等线" w:eastAsia="等线" w:hAnsi="等线" w:cs="Times New Roman"/>
      <w:sz w:val="24"/>
      <w:szCs w:val="22"/>
    </w:rPr>
  </w:style>
  <w:style w:type="paragraph" w:styleId="BodyText">
    <w:name w:val="Body Text"/>
    <w:basedOn w:val="Normal"/>
    <w:next w:val="Normal"/>
    <w:qFormat/>
    <w:pPr>
      <w:jc w:val="center"/>
    </w:pPr>
    <w:rPr>
      <w:rFonts w:ascii="仿宋_GB2312"/>
      <w:kern w:val="2"/>
      <w:sz w:val="21"/>
    </w:rPr>
  </w:style>
  <w:style w:type="paragraph" w:styleId="BodyTextIndent">
    <w:name w:val="Body Text Indent"/>
    <w:basedOn w:val="Normal"/>
    <w:next w:val="BodyTextFirstIndent2"/>
    <w:qFormat/>
    <w:pPr>
      <w:spacing w:before="240" w:beforeLines="0" w:beforeAutospacing="0"/>
      <w:ind w:left="164" w:firstLine="391"/>
    </w:pPr>
    <w:rPr>
      <w:rFonts w:ascii="仿宋_GB2312"/>
      <w:kern w:val="2"/>
      <w:sz w:val="28"/>
    </w:rPr>
  </w:style>
  <w:style w:type="paragraph" w:styleId="BodyTextFirstIndent2">
    <w:name w:val="Body Text First Indent 2"/>
    <w:basedOn w:val="BodyTextIndent"/>
    <w:next w:val="Normal"/>
    <w:qFormat/>
    <w:pPr>
      <w:spacing w:after="120" w:line="240" w:lineRule="auto"/>
      <w:ind w:left="420" w:firstLine="420" w:leftChars="200" w:firstLineChars="200"/>
    </w:pPr>
    <w:rPr>
      <w:rFonts w:eastAsia="仿宋_GB2312"/>
      <w:snapToGrid w:val="0"/>
      <w:color w:val="000000"/>
      <w:kern w:val="0"/>
      <w:sz w:val="28"/>
      <w:szCs w:val="20"/>
    </w:rPr>
  </w:style>
  <w:style w:type="paragraph" w:styleId="BlockText">
    <w:name w:val="Block Text"/>
    <w:basedOn w:val="Normal"/>
    <w:qFormat/>
    <w:pPr>
      <w:spacing w:before="120" w:beforeLines="0" w:beforeAutospacing="0" w:line="480" w:lineRule="exact"/>
      <w:ind w:left="129" w:firstLine="570" w:leftChars="51" w:rightChars="51"/>
    </w:pPr>
    <w:rPr>
      <w:rFonts w:ascii="仿宋_GB2312"/>
    </w:rPr>
  </w:style>
  <w:style w:type="paragraph" w:styleId="PlainText">
    <w:name w:val="Plain Text"/>
    <w:basedOn w:val="Normal"/>
    <w:unhideWhenUsed/>
    <w:qFormat/>
    <w:rPr>
      <w:rFonts w:hAnsi="Courier New"/>
      <w:kern w:val="2"/>
      <w:sz w:val="28"/>
    </w:rPr>
  </w:style>
  <w:style w:type="paragraph" w:styleId="BodyTextIndent2">
    <w:name w:val="Body Text Indent 2"/>
    <w:basedOn w:val="Normal"/>
    <w:qFormat/>
    <w:pPr>
      <w:widowControl w:val="0"/>
      <w:spacing w:line="500" w:lineRule="exact"/>
      <w:ind w:firstLine="556"/>
      <w:jc w:val="both"/>
    </w:pPr>
    <w:rPr>
      <w:rFonts w:ascii="仿宋_GB2312" w:eastAsia="宋体" w:hAnsi="Times New Roman" w:cs="Times New Roman"/>
      <w:sz w:val="24"/>
      <w:lang w:val="en-US" w:eastAsia="zh-CN" w:bidi="ar-SA"/>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qFormat/>
    <w:pPr>
      <w:spacing w:line="192" w:lineRule="auto"/>
      <w:jc w:val="center"/>
    </w:pPr>
    <w:rPr>
      <w:rFonts w:ascii="宋体" w:hAnsi="宋体"/>
      <w:szCs w:val="20"/>
    </w:rPr>
  </w:style>
  <w:style w:type="paragraph" w:styleId="TableofFigures">
    <w:name w:val="table of figures"/>
    <w:basedOn w:val="Normal"/>
    <w:next w:val="Normal"/>
    <w:qFormat/>
    <w:pPr>
      <w:ind w:left="200" w:hanging="200" w:leftChars="200" w:hangingChars="200"/>
    </w:pPr>
    <w:rPr>
      <w:rFonts w:ascii="Calibri" w:eastAsia="宋体" w:hAnsi="Calibri" w:cs="Times New Roman"/>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BodyTextFirstIndent">
    <w:name w:val="Body Text First Indent"/>
    <w:basedOn w:val="BodyText"/>
    <w:uiPriority w:val="99"/>
    <w:unhideWhenUsed/>
    <w:qFormat/>
    <w:pPr>
      <w:spacing w:after="120" w:line="240" w:lineRule="auto"/>
      <w:ind w:firstLine="420" w:firstLineChars="100"/>
    </w:pPr>
    <w:rPr>
      <w:rFonts w:ascii="Times New Roman" w:eastAsia="宋体" w:hAnsi="Times New Roman"/>
      <w:sz w:val="21"/>
      <w:szCs w:val="2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basedOn w:val="DefaultParagraphFont"/>
    <w:uiPriority w:val="99"/>
    <w:unhideWhenUsed/>
    <w:qFormat/>
    <w:rPr>
      <w:color w:val="3366CC"/>
      <w:u w:val="single"/>
    </w:rPr>
  </w:style>
  <w:style w:type="character" w:styleId="CommentReference">
    <w:name w:val="annotation reference"/>
    <w:basedOn w:val="DefaultParagraphFont"/>
    <w:uiPriority w:val="99"/>
    <w:unhideWhenUsed/>
    <w:qFormat/>
    <w:rPr>
      <w:sz w:val="21"/>
      <w:szCs w:val="21"/>
    </w:rPr>
  </w:style>
  <w:style w:type="paragraph" w:customStyle="1" w:styleId="Default">
    <w:name w:val="Default"/>
    <w:basedOn w:val="10"/>
    <w:next w:val="11"/>
    <w:qFormat/>
    <w:pPr>
      <w:widowControl w:val="0"/>
      <w:autoSpaceDE w:val="0"/>
      <w:autoSpaceDN w:val="0"/>
      <w:adjustRightInd w:val="0"/>
    </w:pPr>
    <w:rPr>
      <w:rFonts w:ascii="宋体" w:eastAsia="宋体" w:hAnsi="Calibri" w:cs="宋体"/>
      <w:color w:val="000000"/>
      <w:sz w:val="24"/>
      <w:szCs w:val="24"/>
      <w:lang w:val="en-US" w:eastAsia="zh-CN" w:bidi="ar-SA"/>
    </w:rPr>
  </w:style>
  <w:style w:type="paragraph" w:customStyle="1" w:styleId="10">
    <w:name w:val="纯文本1"/>
    <w:basedOn w:val="Normal"/>
    <w:qFormat/>
    <w:rPr>
      <w:rFonts w:ascii="宋体" w:eastAsia="宋体" w:hAnsi="Courier New" w:cs="宋体"/>
      <w:sz w:val="20"/>
    </w:rPr>
  </w:style>
  <w:style w:type="paragraph" w:customStyle="1" w:styleId="11">
    <w:name w:val="样式1"/>
    <w:basedOn w:val="IndexHeading"/>
    <w:next w:val="Normal"/>
    <w:qFormat/>
    <w:pPr>
      <w:snapToGrid w:val="0"/>
      <w:jc w:val="center"/>
    </w:pPr>
    <w:rPr>
      <w:rFonts w:ascii="宋体" w:eastAsia="宋体"/>
      <w:sz w:val="21"/>
    </w:rPr>
  </w:style>
  <w:style w:type="paragraph" w:customStyle="1" w:styleId="a">
    <w:name w:val="报告书正文"/>
    <w:basedOn w:val="BodyTextFirstIndent"/>
    <w:qFormat/>
    <w:pPr>
      <w:spacing w:after="0" w:line="360" w:lineRule="auto"/>
      <w:ind w:firstLine="200" w:firstLineChars="200"/>
    </w:pPr>
    <w:rPr>
      <w:sz w:val="24"/>
      <w:szCs w:val="24"/>
    </w:rPr>
  </w:style>
  <w:style w:type="paragraph" w:customStyle="1" w:styleId="a0">
    <w:name w:val="报告正文"/>
    <w:basedOn w:val="Normal"/>
    <w:qFormat/>
    <w:pPr>
      <w:snapToGrid w:val="0"/>
      <w:spacing w:line="360" w:lineRule="auto"/>
      <w:ind w:firstLine="480" w:firstLineChars="200"/>
    </w:pPr>
    <w:rPr>
      <w:rFonts w:eastAsia="宋体"/>
      <w:kern w:val="0"/>
      <w:sz w:val="24"/>
      <w:szCs w:val="24"/>
    </w:rPr>
  </w:style>
  <w:style w:type="paragraph" w:customStyle="1" w:styleId="a1">
    <w:name w:val="表标题"/>
    <w:basedOn w:val="Normal"/>
    <w:qFormat/>
    <w:pPr>
      <w:tabs>
        <w:tab w:val="left" w:pos="0"/>
      </w:tabs>
      <w:spacing w:before="240" w:after="120"/>
      <w:jc w:val="center"/>
    </w:pPr>
    <w:rPr>
      <w:rFonts w:eastAsia="宋体"/>
      <w:b/>
      <w:sz w:val="24"/>
    </w:rPr>
  </w:style>
  <w:style w:type="paragraph" w:customStyle="1" w:styleId="Char">
    <w:name w:val="Char"/>
    <w:qFormat/>
    <w:pPr>
      <w:snapToGrid w:val="0"/>
      <w:spacing w:line="560" w:lineRule="exact"/>
      <w:ind w:firstLine="200" w:firstLineChars="200"/>
    </w:pPr>
    <w:rPr>
      <w:rFonts w:ascii="Calibri" w:eastAsia="宋体" w:hAnsi="Calibri" w:cs="Calibri"/>
      <w:kern w:val="2"/>
      <w:sz w:val="24"/>
      <w:szCs w:val="24"/>
      <w:lang w:val="en-US" w:eastAsia="zh-CN" w:bidi="ar-SA"/>
    </w:rPr>
  </w:style>
  <w:style w:type="paragraph" w:customStyle="1" w:styleId="a2">
    <w:name w:val="表格内容"/>
    <w:basedOn w:val="Normal"/>
    <w:qFormat/>
    <w:pPr>
      <w:overflowPunct w:val="0"/>
      <w:adjustRightInd w:val="0"/>
      <w:spacing w:before="40" w:after="60" w:line="200" w:lineRule="atLeast"/>
      <w:textAlignment w:val="baseline"/>
    </w:pPr>
    <w:rPr>
      <w:rFonts w:ascii="Arial" w:eastAsia="仿宋_GB2312" w:hAnsi="Arial"/>
      <w:kern w:val="0"/>
      <w:sz w:val="24"/>
    </w:rPr>
  </w:style>
  <w:style w:type="paragraph" w:customStyle="1" w:styleId="2">
    <w:name w:val="正文2"/>
    <w:basedOn w:val="Normal"/>
    <w:qFormat/>
    <w:pPr>
      <w:adjustRightInd w:val="0"/>
      <w:snapToGrid w:val="0"/>
      <w:spacing w:line="440" w:lineRule="atLeast"/>
      <w:ind w:firstLine="567"/>
    </w:pPr>
    <w:rPr>
      <w:rFonts w:eastAsia="宋体"/>
      <w:sz w:val="24"/>
    </w:rPr>
  </w:style>
  <w:style w:type="paragraph" w:customStyle="1" w:styleId="a3">
    <w:name w:val="表格"/>
    <w:basedOn w:val="TableofFigures"/>
    <w:next w:val="Normal"/>
    <w:qFormat/>
    <w:pPr>
      <w:overflowPunct w:val="0"/>
      <w:autoSpaceDE w:val="0"/>
      <w:autoSpaceDN w:val="0"/>
      <w:adjustRightInd w:val="0"/>
      <w:snapToGrid w:val="0"/>
      <w:spacing w:line="360" w:lineRule="auto"/>
      <w:ind w:firstLine="480"/>
      <w:jc w:val="center"/>
      <w:textAlignment w:val="top"/>
    </w:pPr>
    <w:rPr>
      <w:rFonts w:ascii="宋体" w:eastAsia="宋体" w:hAnsi="宋体"/>
      <w:position w:val="-16"/>
      <w:sz w:val="24"/>
      <w:szCs w:val="24"/>
    </w:rPr>
  </w:style>
  <w:style w:type="paragraph" w:customStyle="1" w:styleId="a4">
    <w:name w:val="表格标题"/>
    <w:basedOn w:val="Normal"/>
    <w:next w:val="a2"/>
    <w:qFormat/>
    <w:pPr>
      <w:spacing w:before="120"/>
      <w:jc w:val="center"/>
    </w:pPr>
    <w:rPr>
      <w:sz w:val="24"/>
    </w:rPr>
  </w:style>
  <w:style w:type="paragraph" w:customStyle="1" w:styleId="TableParagraph">
    <w:name w:val="Table Paragraph"/>
    <w:basedOn w:val="Normal"/>
    <w:uiPriority w:val="1"/>
    <w:qFormat/>
  </w:style>
  <w:style w:type="paragraph" w:customStyle="1" w:styleId="a5">
    <w:name w:val="表格内文字"/>
    <w:qFormat/>
    <w:pPr>
      <w:widowControl w:val="0"/>
      <w:spacing w:line="320" w:lineRule="exact"/>
      <w:jc w:val="center"/>
    </w:pPr>
    <w:rPr>
      <w:rFonts w:ascii="Times New Roman" w:eastAsia="宋体" w:hAnsi="Times New Roman" w:cs="Times New Roman"/>
      <w:spacing w:val="10"/>
      <w:kern w:val="2"/>
      <w:sz w:val="24"/>
      <w:szCs w:val="20"/>
      <w:lang w:val="en-US" w:eastAsia="zh-CN" w:bidi="ar-SA"/>
    </w:rPr>
  </w:style>
  <w:style w:type="paragraph" w:customStyle="1" w:styleId="ListParagraph">
    <w:name w:val="List Paragraph"/>
    <w:basedOn w:val="Normal"/>
    <w:qFormat/>
    <w:pPr>
      <w:ind w:firstLine="420" w:firstLineChars="200"/>
    </w:pPr>
    <w:rPr>
      <w:rFonts w:eastAsia="宋体"/>
      <w:sz w:val="21"/>
      <w:szCs w:val="24"/>
    </w:rPr>
  </w:style>
  <w:style w:type="paragraph" w:customStyle="1" w:styleId="CharCharCharCharCharCharChar">
    <w:name w:val=" Char Char Char Char Char Char Char"/>
    <w:basedOn w:val="Normal"/>
    <w:qFormat/>
    <w:pPr>
      <w:snapToGrid w:val="0"/>
      <w:spacing w:line="360" w:lineRule="auto"/>
      <w:ind w:firstLine="529" w:firstLineChars="200"/>
    </w:pPr>
  </w:style>
  <w:style w:type="paragraph" w:customStyle="1" w:styleId="a6">
    <w:name w:val="正文修改"/>
    <w:qFormat/>
    <w:pPr>
      <w:widowControl w:val="0"/>
      <w:spacing w:line="360" w:lineRule="auto"/>
      <w:ind w:firstLine="480" w:firstLineChars="200"/>
      <w:jc w:val="both"/>
    </w:pPr>
    <w:rPr>
      <w:rFonts w:ascii="宋体" w:eastAsia="宋体" w:hAnsi="Times New Roman" w:cs="Times New Roman"/>
      <w:sz w:val="24"/>
      <w:szCs w:val="20"/>
      <w:lang w:val="en-US" w:eastAsia="zh-CN" w:bidi="ar-SA"/>
    </w:rPr>
  </w:style>
  <w:style w:type="paragraph" w:customStyle="1" w:styleId="20">
    <w:name w:val="正文首行缩进2"/>
    <w:qFormat/>
    <w:pPr>
      <w:widowControl w:val="0"/>
      <w:tabs>
        <w:tab w:val="left" w:pos="0"/>
        <w:tab w:val="left" w:pos="870"/>
        <w:tab w:val="left" w:pos="3150"/>
      </w:tabs>
      <w:autoSpaceDE w:val="0"/>
      <w:autoSpaceDN w:val="0"/>
      <w:spacing w:line="360" w:lineRule="auto"/>
      <w:ind w:firstLine="200" w:firstLineChars="200"/>
      <w:jc w:val="left"/>
    </w:pPr>
    <w:rPr>
      <w:rFonts w:ascii="宋体" w:eastAsia="宋体" w:hAnsi="Times New Roman" w:cs="Times New Roman"/>
      <w:sz w:val="24"/>
      <w:szCs w:val="20"/>
      <w:lang w:val="en-US" w:eastAsia="zh-CN" w:bidi="ar-SA"/>
    </w:rPr>
  </w:style>
  <w:style w:type="paragraph" w:customStyle="1" w:styleId="a7">
    <w:name w:val="表格文字 居中"/>
    <w:qFormat/>
    <w:pPr>
      <w:widowControl w:val="0"/>
      <w:jc w:val="center"/>
    </w:pPr>
    <w:rPr>
      <w:rFonts w:ascii="宋体" w:eastAsia="华文仿宋" w:hAnsi="Times New Roman" w:cs="宋体"/>
      <w:sz w:val="21"/>
      <w:lang w:val="en-US" w:eastAsia="zh-CN" w:bidi="ar-SA"/>
    </w:rPr>
  </w:style>
  <w:style w:type="paragraph" w:customStyle="1" w:styleId="a8">
    <w:name w:val="环正文"/>
    <w:qFormat/>
    <w:pPr>
      <w:widowControl/>
      <w:suppressAutoHyphens/>
      <w:adjustRightInd w:val="0"/>
      <w:spacing w:line="240" w:lineRule="atLeast"/>
      <w:ind w:firstLine="512" w:firstLineChars="187"/>
      <w:jc w:val="both"/>
      <w:textAlignment w:val="baseline"/>
    </w:pPr>
    <w:rPr>
      <w:rFonts w:ascii="宋体" w:eastAsia="宋体" w:hAnsi="宋体" w:cs="Times New Roman"/>
      <w:sz w:val="24"/>
      <w:szCs w:val="20"/>
      <w:lang w:val="en-US" w:eastAsia="zh-CN" w:bidi="ar-SA"/>
    </w:rPr>
  </w:style>
  <w:style w:type="character" w:customStyle="1" w:styleId="1Char">
    <w:name w:val="标题 1 Char"/>
    <w:link w:val="Heading1"/>
    <w:qFormat/>
    <w:rPr>
      <w:rFonts w:ascii="仿宋_GB2312"/>
      <w:b/>
      <w:kern w:val="2"/>
      <w:sz w:val="28"/>
    </w:rPr>
  </w:style>
  <w:style w:type="paragraph" w:customStyle="1" w:styleId="a9">
    <w:name w:val="表中内容"/>
    <w:qFormat/>
    <w:pPr>
      <w:widowControl/>
      <w:spacing w:line="240" w:lineRule="exact"/>
      <w:jc w:val="center"/>
    </w:pPr>
    <w:rPr>
      <w:rFonts w:ascii="宋体" w:eastAsia="宋体" w:hAnsi="Times New Roman" w:cs="Times New Roman"/>
      <w:kern w:val="0"/>
      <w:sz w:val="20"/>
      <w:szCs w:val="21"/>
      <w:lang w:val="en-US" w:eastAsia="zh-CN" w:bidi="ar-SA"/>
    </w:rPr>
  </w:style>
  <w:style w:type="character" w:customStyle="1" w:styleId="a10">
    <w:name w:val="表格字体 华文仿宋"/>
    <w:qFormat/>
    <w:rPr>
      <w:rFonts w:ascii="华文仿宋" w:eastAsia="华文仿宋" w:hAnsi="华文仿宋"/>
    </w:rPr>
  </w:style>
  <w:style w:type="paragraph" w:customStyle="1" w:styleId="a11">
    <w:name w:val="表内容"/>
    <w:basedOn w:val="a12"/>
    <w:qFormat/>
    <w:pPr>
      <w:adjustRightInd/>
      <w:snapToGrid/>
      <w:spacing w:line="240" w:lineRule="auto"/>
      <w:ind w:firstLine="0" w:firstLineChars="0"/>
      <w:jc w:val="center"/>
    </w:pPr>
    <w:rPr>
      <w:sz w:val="21"/>
    </w:rPr>
  </w:style>
  <w:style w:type="paragraph" w:customStyle="1" w:styleId="a12">
    <w:name w:val="文本"/>
    <w:basedOn w:val="Normal"/>
    <w:qFormat/>
    <w:pPr>
      <w:spacing w:line="360" w:lineRule="auto"/>
      <w:ind w:firstLine="800" w:firstLineChars="200"/>
    </w:pPr>
  </w:style>
  <w:style w:type="paragraph" w:customStyle="1" w:styleId="p0">
    <w:name w:val="p0"/>
    <w:qFormat/>
    <w:pPr>
      <w:widowControl/>
      <w:jc w:val="both"/>
    </w:pPr>
    <w:rPr>
      <w:rFonts w:asciiTheme="minorHAnsi" w:eastAsiaTheme="minorEastAsia" w:hAnsiTheme="minorHAnsi" w:cstheme="minorBidi"/>
      <w:kern w:val="0"/>
      <w:sz w:val="21"/>
      <w:szCs w:val="21"/>
      <w:lang w:val="en-US" w:eastAsia="zh-CN" w:bidi="ar-SA"/>
    </w:rPr>
  </w:style>
  <w:style w:type="paragraph" w:customStyle="1" w:styleId="22">
    <w:name w:val="标题2"/>
    <w:uiPriority w:val="2"/>
    <w:unhideWhenUsed/>
    <w:qFormat/>
    <w:pPr>
      <w:outlineLvl w:val="2"/>
    </w:pPr>
    <w:rPr>
      <w:rFonts w:ascii="Calibri" w:eastAsia="宋体" w:hAnsi="Calibri" w:cs="Times New Roman"/>
      <w:kern w:val="2"/>
      <w:sz w:val="21"/>
      <w:szCs w:val="22"/>
      <w:lang w:val="en-US" w:eastAsia="zh-CN" w:bidi="ar-SA"/>
    </w:rPr>
  </w:style>
  <w:style w:type="paragraph" w:customStyle="1" w:styleId="a13">
    <w:name w:val="样式 表中文字 +"/>
    <w:basedOn w:val="Normal"/>
    <w:qFormat/>
    <w:pPr>
      <w:keepNext w:val="0"/>
      <w:keepLines w:val="0"/>
      <w:widowControl w:val="0"/>
      <w:suppressLineNumbers w:val="0"/>
      <w:adjustRightInd w:val="0"/>
      <w:snapToGrid w:val="0"/>
      <w:spacing w:before="0" w:beforeAutospacing="0" w:after="0" w:afterAutospacing="0" w:line="400" w:lineRule="exact"/>
      <w:ind w:left="0" w:right="0"/>
      <w:jc w:val="center"/>
    </w:pPr>
    <w:rPr>
      <w:rFonts w:ascii="Times New Roman" w:eastAsia="宋体" w:hAnsi="Times New Roman" w:cs="Times New Roman" w:hint="default"/>
      <w:kern w:val="0"/>
      <w:sz w:val="21"/>
      <w:szCs w:val="20"/>
      <w:lang w:val="en-US" w:eastAsia="zh-CN" w:bidi="ar"/>
    </w:rPr>
  </w:style>
  <w:style w:type="character" w:customStyle="1" w:styleId="font31">
    <w:name w:val="font31"/>
    <w:basedOn w:val="DefaultParagraphFont"/>
    <w:qFormat/>
    <w:rPr>
      <w:rFonts w:ascii="Times New Roman" w:hAnsi="Times New Roman" w:cs="Times New Roman" w:hint="default"/>
      <w:color w:val="000000"/>
      <w:sz w:val="21"/>
      <w:szCs w:val="21"/>
      <w:u w:val="none"/>
      <w:vertAlign w:val="subscript"/>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paragraph" w:customStyle="1" w:styleId="a14">
    <w:name w:val="表头"/>
    <w:basedOn w:val="Normal"/>
    <w:next w:val="Normal"/>
    <w:qFormat/>
    <w:pPr>
      <w:adjustRightInd w:val="0"/>
      <w:jc w:val="center"/>
      <w:textAlignment w:val="baseline"/>
    </w:pPr>
    <w:rPr>
      <w:rFonts w:ascii="黑体" w:eastAsia="黑体"/>
      <w:kern w:val="0"/>
      <w:sz w:val="24"/>
      <w:szCs w:val="20"/>
    </w:rPr>
  </w:style>
  <w:style w:type="paragraph" w:customStyle="1" w:styleId="a15">
    <w:name w:val="样式 表格内容 + 小四"/>
    <w:basedOn w:val="Normal"/>
    <w:qFormat/>
    <w:pPr>
      <w:overflowPunct w:val="0"/>
      <w:adjustRightInd w:val="0"/>
      <w:snapToGrid w:val="0"/>
      <w:spacing w:line="560" w:lineRule="exact"/>
      <w:jc w:val="center"/>
      <w:textAlignment w:val="baseline"/>
    </w:pPr>
    <w:rPr>
      <w:kern w:val="0"/>
      <w:sz w:val="24"/>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_1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baike.so.com/doc/5723988-5936723.html" TargetMode="External" /><Relationship Id="rId18" Type="http://schemas.openxmlformats.org/officeDocument/2006/relationships/hyperlink" Target="https://baike.so.com/doc/5946815-7117235.html" TargetMode="External" /><Relationship Id="rId19" Type="http://schemas.openxmlformats.org/officeDocument/2006/relationships/hyperlink" Target="https://baike.so.com/doc/5400811-5638412.html" TargetMode="Externa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image" Target="media/image1.png"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hyperlink" Target="https://d.book118.com/788102005117006045" TargetMode="External" /><Relationship Id="rId36" Type="http://schemas.openxmlformats.org/officeDocument/2006/relationships/footer" Target="footer27.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28</Pages>
  <Words>39623</Words>
  <Characters>45465</Characters>
  <Application>Microsoft Office Word</Application>
  <DocSecurity>0</DocSecurity>
  <Lines>0</Lines>
  <Paragraphs>0</Paragraphs>
  <ScaleCrop>false</ScaleCrop>
  <Company/>
  <LinksUpToDate>false</LinksUpToDate>
  <CharactersWithSpaces>45871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雾霭有时晴</dc:creator>
  <cp:lastModifiedBy>委员</cp:lastModifiedBy>
  <cp:revision>1</cp:revision>
  <dcterms:created xsi:type="dcterms:W3CDTF">2021-03-03T11:13:00Z</dcterms:created>
  <dcterms:modified xsi:type="dcterms:W3CDTF">2024-03-06T13:34:57Z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E757EFDEC49A4DE7B2478D20AF7F653D</vt:lpwstr>
  </property>
  <property fmtid="{D5CDD505-2E9C-101B-9397-08002B2CF9AE}" pid="3" name="KSOProductBuildVer">
    <vt:lpwstr>2052-12.1.0.15712</vt:lpwstr>
  </property>
</Properties>
</file>