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  <w:bookmarkStart w:id="0" w:name="_GoBack"/>
      <w:bookmarkEnd w:id="0"/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  <w:r>
        <w:rPr>
          <w:rFonts w:ascii="微软雅黑" w:eastAsia="微软雅黑" w:hAnsi="微软雅黑" w:cs="微软雅黑"/>
          <w:b/>
          <w:bCs/>
          <w:color w:val="2D54A0"/>
          <w:spacing w:val="9"/>
          <w:sz w:val="59"/>
          <w:szCs w:val="59"/>
        </w:rPr>
        <w:t>2024年齿轮钢行业趋势报告</w:t>
      </w: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 w:hint="default"/>
          <w:b/>
          <w:bCs/>
          <w:color w:val="2D54A0"/>
          <w:spacing w:val="8"/>
          <w:sz w:val="44"/>
          <w:szCs w:val="44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color w:val="2D54A0"/>
          <w:spacing w:val="8"/>
          <w:sz w:val="44"/>
          <w:szCs w:val="44"/>
          <w:lang w:val="en-US" w:eastAsia="zh-CN"/>
        </w:rPr>
        <w:t>《2024年最新评估分析》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</w:rPr>
      </w:pPr>
      <w:r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90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_Toc17904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0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一、可持续发展与绿色经营</w:t>
        </w:r>
        <w:r>
          <w:tab/>
        </w:r>
        <w:r>
          <w:fldChar w:fldCharType="begin"/>
        </w:r>
        <w:r>
          <w:instrText xml:space="preserve"> PAGEREF _Toc10904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(一)、可持续发展战略与目标</w:t>
        </w:r>
        <w:r>
          <w:tab/>
        </w:r>
        <w:r>
          <w:fldChar w:fldCharType="begin"/>
        </w:r>
        <w:r>
          <w:instrText xml:space="preserve"> PAGEREF _Toc109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(二)、环保政策与实践</w:t>
        </w:r>
        <w:r>
          <w:tab/>
        </w:r>
        <w:r>
          <w:fldChar w:fldCharType="begin"/>
        </w:r>
        <w:r>
          <w:instrText xml:space="preserve"> PAGEREF _Toc1080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3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(三)、资源利用与循环经济</w:t>
        </w:r>
        <w:r>
          <w:tab/>
        </w:r>
        <w:r>
          <w:fldChar w:fldCharType="begin"/>
        </w:r>
        <w:r>
          <w:instrText xml:space="preserve"> PAGEREF _Toc30437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7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(四)、碳中和与生态足迹</w:t>
        </w:r>
        <w:r>
          <w:tab/>
        </w:r>
        <w:r>
          <w:fldChar w:fldCharType="begin"/>
        </w:r>
        <w:r>
          <w:instrText xml:space="preserve"> PAGEREF _Toc15072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3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二、齿轮钢行业公司治理与社会责任</w:t>
        </w:r>
        <w:r>
          <w:tab/>
        </w:r>
        <w:r>
          <w:fldChar w:fldCharType="begin"/>
        </w:r>
        <w:r>
          <w:instrText xml:space="preserve"> PAGEREF _Toc6236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7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_Toc19277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5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(二)、董事会运作与决策</w:t>
        </w:r>
        <w:r>
          <w:tab/>
        </w:r>
        <w:r>
          <w:fldChar w:fldCharType="begin"/>
        </w:r>
        <w:r>
          <w:instrText xml:space="preserve"> PAGEREF _Toc14650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7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(三)、内部控制与审计</w:t>
        </w:r>
        <w:r>
          <w:tab/>
        </w:r>
        <w:r>
          <w:fldChar w:fldCharType="begin"/>
        </w:r>
        <w:r>
          <w:instrText xml:space="preserve"> PAGEREF _Toc24675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6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(四)、法律法规合规体系</w:t>
        </w:r>
        <w:r>
          <w:tab/>
        </w:r>
        <w:r>
          <w:fldChar w:fldCharType="begin"/>
        </w:r>
        <w:r>
          <w:instrText xml:space="preserve"> PAGEREF _Toc18564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2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(五)、企业社会责任与道德经营</w:t>
        </w:r>
        <w:r>
          <w:tab/>
        </w:r>
        <w:r>
          <w:fldChar w:fldCharType="begin"/>
        </w:r>
        <w:r>
          <w:instrText xml:space="preserve"> PAGEREF _Toc9726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4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三、制度建设与管理</w:t>
        </w:r>
        <w:r>
          <w:tab/>
        </w:r>
        <w:r>
          <w:fldChar w:fldCharType="begin"/>
        </w:r>
        <w:r>
          <w:instrText xml:space="preserve"> PAGEREF _Toc32749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9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_Toc16190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0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(二)、内部控制与审计</w:t>
        </w:r>
        <w:r>
          <w:tab/>
        </w:r>
        <w:r>
          <w:fldChar w:fldCharType="begin"/>
        </w:r>
        <w:r>
          <w:instrText xml:space="preserve"> PAGEREF _Toc28001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0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(三)、法律法规合规体系</w:t>
        </w:r>
        <w:r>
          <w:tab/>
        </w:r>
        <w:r>
          <w:fldChar w:fldCharType="begin"/>
        </w:r>
        <w:r>
          <w:instrText xml:space="preserve"> PAGEREF _Toc25702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2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四、领导力发展与企业文化</w:t>
        </w:r>
        <w:r>
          <w:tab/>
        </w:r>
        <w:r>
          <w:fldChar w:fldCharType="begin"/>
        </w:r>
        <w:r>
          <w:instrText xml:space="preserve"> PAGEREF _Toc27129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(一)、高效团队建设原则</w:t>
        </w:r>
        <w:r>
          <w:tab/>
        </w:r>
        <w:r>
          <w:fldChar w:fldCharType="begin"/>
        </w:r>
        <w:r>
          <w:instrText xml:space="preserve"> PAGEREF _Toc3207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4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(二)、团队文化与价值观塑造</w:t>
        </w:r>
        <w:r>
          <w:tab/>
        </w:r>
        <w:r>
          <w:fldChar w:fldCharType="begin"/>
        </w:r>
        <w:r>
          <w:instrText xml:space="preserve"> PAGEREF _Toc29049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0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(三)、领导力发展计划</w:t>
        </w:r>
        <w:r>
          <w:tab/>
        </w:r>
        <w:r>
          <w:fldChar w:fldCharType="begin"/>
        </w:r>
        <w:r>
          <w:instrText xml:space="preserve"> PAGEREF _Toc27008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2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(四)、领导力在变革中的作用</w:t>
        </w:r>
        <w:r>
          <w:tab/>
        </w:r>
        <w:r>
          <w:fldChar w:fldCharType="begin"/>
        </w:r>
        <w:r>
          <w:instrText xml:space="preserve"> PAGEREF _Toc9922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6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五、齿轮钢行业项目管理与实施</w:t>
        </w:r>
        <w:r>
          <w:tab/>
        </w:r>
        <w:r>
          <w:fldChar w:fldCharType="begin"/>
        </w:r>
        <w:r>
          <w:instrText xml:space="preserve"> PAGEREF _Toc28968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2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(一)、项目进度安排</w:t>
        </w:r>
        <w:r>
          <w:tab/>
        </w:r>
        <w:r>
          <w:fldChar w:fldCharType="begin"/>
        </w:r>
        <w:r>
          <w:instrText xml:space="preserve"> PAGEREF _Toc29924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6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(二)、项目实施保障措施</w:t>
        </w:r>
        <w:r>
          <w:tab/>
        </w:r>
        <w:r>
          <w:fldChar w:fldCharType="begin"/>
        </w:r>
        <w:r>
          <w:instrText xml:space="preserve"> PAGEREF _Toc17560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5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(三)、项目风险分析与对策</w:t>
        </w:r>
        <w:r>
          <w:tab/>
        </w:r>
        <w:r>
          <w:fldChar w:fldCharType="begin"/>
        </w:r>
        <w:r>
          <w:instrText xml:space="preserve"> PAGEREF _Toc31155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2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六、项目管理与团队协作</w:t>
        </w:r>
        <w:r>
          <w:tab/>
        </w:r>
        <w:r>
          <w:fldChar w:fldCharType="begin"/>
        </w:r>
        <w:r>
          <w:instrText xml:space="preserve"> PAGEREF _Toc3821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9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(一)、项目管理方法论</w:t>
        </w:r>
        <w:r>
          <w:tab/>
        </w:r>
        <w:r>
          <w:fldChar w:fldCharType="begin"/>
        </w:r>
        <w:r>
          <w:instrText xml:space="preserve"> PAGEREF _Toc3595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1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(二)、团队组建与角色分工</w:t>
        </w:r>
        <w:r>
          <w:tab/>
        </w:r>
        <w:r>
          <w:fldChar w:fldCharType="begin"/>
        </w:r>
        <w:r>
          <w:instrText xml:space="preserve"> PAGEREF _Toc32511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8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(三)、团队沟通与协作机制</w:t>
        </w:r>
        <w:r>
          <w:tab/>
        </w:r>
        <w:r>
          <w:fldChar w:fldCharType="begin"/>
        </w:r>
        <w:r>
          <w:instrText xml:space="preserve"> PAGEREF _Toc8486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1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(四)、项目风险管理与应对</w:t>
        </w:r>
        <w:r>
          <w:tab/>
        </w:r>
        <w:r>
          <w:fldChar w:fldCharType="begin"/>
        </w:r>
        <w:r>
          <w:instrText xml:space="preserve"> PAGEREF _Toc23515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七、资金筹措与投资分析</w:t>
        </w:r>
        <w:r>
          <w:tab/>
        </w:r>
        <w:r>
          <w:fldChar w:fldCharType="begin"/>
        </w:r>
        <w:r>
          <w:instrText xml:space="preserve"> PAGEREF _Toc1968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8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(一)、资金需求与筹措计划</w:t>
        </w:r>
        <w:r>
          <w:tab/>
        </w:r>
        <w:r>
          <w:fldChar w:fldCharType="begin"/>
        </w:r>
        <w:r>
          <w:instrText xml:space="preserve"> PAGEREF _Toc29187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934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(二)、投资分析与回报预期</w:t>
        </w:r>
        <w:r>
          <w:tab/>
        </w:r>
        <w:r>
          <w:fldChar w:fldCharType="begin"/>
        </w:r>
        <w:r>
          <w:instrText xml:space="preserve"> PAGEREF _Toc9348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7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八、环境与社会责任</w:t>
        </w:r>
        <w:r>
          <w:tab/>
        </w:r>
        <w:r>
          <w:fldChar w:fldCharType="begin"/>
        </w:r>
        <w:r>
          <w:instrText xml:space="preserve"> PAGEREF _Toc18372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3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(一)、环境影响评估</w:t>
        </w:r>
        <w:r>
          <w:tab/>
        </w:r>
        <w:r>
          <w:fldChar w:fldCharType="begin"/>
        </w:r>
        <w:r>
          <w:instrText xml:space="preserve"> PAGEREF _Toc16431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2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(二)、社会责任与可持续发展</w:t>
        </w:r>
        <w:r>
          <w:tab/>
        </w:r>
        <w:r>
          <w:fldChar w:fldCharType="begin"/>
        </w:r>
        <w:r>
          <w:instrText xml:space="preserve"> PAGEREF _Toc14622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8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九、项目技术流程</w:t>
        </w:r>
        <w:r>
          <w:tab/>
        </w:r>
        <w:r>
          <w:fldChar w:fldCharType="begin"/>
        </w:r>
        <w:r>
          <w:instrText xml:space="preserve"> PAGEREF _Toc19885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0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(一)、技术方案选择</w:t>
        </w:r>
        <w:r>
          <w:tab/>
        </w:r>
        <w:r>
          <w:fldChar w:fldCharType="begin"/>
        </w:r>
        <w:r>
          <w:instrText xml:space="preserve"> PAGEREF _Toc24600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8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(二)、设备选型方案</w:t>
        </w:r>
        <w:r>
          <w:tab/>
        </w:r>
        <w:r>
          <w:fldChar w:fldCharType="begin"/>
        </w:r>
        <w:r>
          <w:instrText xml:space="preserve"> PAGEREF _Toc3587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3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(三)、技术流程与工艺设计</w:t>
        </w:r>
        <w:r>
          <w:tab/>
        </w:r>
        <w:r>
          <w:fldChar w:fldCharType="begin"/>
        </w:r>
        <w:r>
          <w:instrText xml:space="preserve"> PAGEREF _Toc5230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9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十、项目实施与进度安排</w:t>
        </w:r>
        <w:r>
          <w:tab/>
        </w:r>
        <w:r>
          <w:fldChar w:fldCharType="begin"/>
        </w:r>
        <w:r>
          <w:instrText xml:space="preserve"> PAGEREF _Toc20890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1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(一)、项目计划与时间节点</w:t>
        </w:r>
        <w:r>
          <w:tab/>
        </w:r>
        <w:r>
          <w:fldChar w:fldCharType="begin"/>
        </w:r>
        <w:r>
          <w:instrText xml:space="preserve"> PAGEREF _Toc26110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5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(二)、项目进度安排</w:t>
        </w:r>
        <w:r>
          <w:tab/>
        </w:r>
        <w:r>
          <w:fldChar w:fldCharType="begin"/>
        </w:r>
        <w:r>
          <w:instrText xml:space="preserve"> PAGEREF _Toc19851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2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(三)、风险管理与对策</w:t>
        </w:r>
        <w:r>
          <w:tab/>
        </w:r>
        <w:r>
          <w:fldChar w:fldCharType="begin"/>
        </w:r>
        <w:r>
          <w:instrText xml:space="preserve"> PAGEREF _Toc20325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1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十一、项目运营与管理</w:t>
        </w:r>
        <w:r>
          <w:tab/>
        </w:r>
        <w:r>
          <w:fldChar w:fldCharType="begin"/>
        </w:r>
        <w:r>
          <w:instrText xml:space="preserve"> PAGEREF _Toc27713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(一)、运营模式选择</w:t>
        </w:r>
        <w:r>
          <w:tab/>
        </w:r>
        <w:r>
          <w:fldChar w:fldCharType="begin"/>
        </w:r>
        <w:r>
          <w:instrText xml:space="preserve"> PAGEREF _Toc2723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5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(二)、人力资源规划</w:t>
        </w:r>
        <w:r>
          <w:tab/>
        </w:r>
        <w:r>
          <w:fldChar w:fldCharType="begin"/>
        </w:r>
        <w:r>
          <w:instrText xml:space="preserve"> PAGEREF _Toc31758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0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(三)、财务管理计划</w:t>
        </w:r>
        <w:r>
          <w:tab/>
        </w:r>
        <w:r>
          <w:fldChar w:fldCharType="begin"/>
        </w:r>
        <w:r>
          <w:instrText xml:space="preserve"> PAGEREF _Toc32706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2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(四)、供应链管理</w:t>
        </w:r>
        <w:r>
          <w:tab/>
        </w:r>
        <w:r>
          <w:fldChar w:fldCharType="begin"/>
        </w:r>
        <w:r>
          <w:instrText xml:space="preserve"> PAGEREF _Toc29624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7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十二、齿轮钢行业市场营销分析</w:t>
        </w:r>
        <w:r>
          <w:tab/>
        </w:r>
        <w:r>
          <w:fldChar w:fldCharType="begin"/>
        </w:r>
        <w:r>
          <w:instrText xml:space="preserve"> PAGEREF _Toc17874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(一)、齿轮钢行业市场营销总体思路</w:t>
        </w:r>
        <w:r>
          <w:tab/>
        </w:r>
        <w:r>
          <w:fldChar w:fldCharType="begin"/>
        </w:r>
        <w:r>
          <w:instrText xml:space="preserve"> PAGEREF _Toc1022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8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(二)、齿轮钢行业组织市场分析</w:t>
        </w:r>
        <w:r>
          <w:tab/>
        </w:r>
        <w:r>
          <w:fldChar w:fldCharType="begin"/>
        </w:r>
        <w:r>
          <w:instrText xml:space="preserve"> PAGEREF _Toc12480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8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(三)、齿轮钢行业目标市场营销战略</w:t>
        </w:r>
        <w:r>
          <w:tab/>
        </w:r>
        <w:r>
          <w:fldChar w:fldCharType="begin"/>
        </w:r>
        <w:r>
          <w:instrText xml:space="preserve"> PAGEREF _Toc9886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3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(四)、齿轮钢行业定价策略</w:t>
        </w:r>
        <w:r>
          <w:tab/>
        </w:r>
        <w:r>
          <w:fldChar w:fldCharType="begin"/>
        </w:r>
        <w:r>
          <w:instrText xml:space="preserve"> PAGEREF _Toc31430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0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(五)、齿轮钢行业促销策略</w:t>
        </w:r>
        <w:r>
          <w:tab/>
        </w:r>
        <w:r>
          <w:fldChar w:fldCharType="begin"/>
        </w:r>
        <w:r>
          <w:instrText xml:space="preserve"> PAGEREF _Toc7801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0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(六)、齿轮钢行业品牌策略</w:t>
        </w:r>
        <w:r>
          <w:tab/>
        </w:r>
        <w:r>
          <w:fldChar w:fldCharType="begin"/>
        </w:r>
        <w:r>
          <w:instrText xml:space="preserve"> PAGEREF _Toc20109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7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(七)、齿轮钢行业关系营销</w:t>
        </w:r>
        <w:r>
          <w:tab/>
        </w:r>
        <w:r>
          <w:fldChar w:fldCharType="begin"/>
        </w:r>
        <w:r>
          <w:instrText xml:space="preserve"> PAGEREF _Toc14775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8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(八)、齿轮钢行业体验营销</w:t>
        </w:r>
        <w:r>
          <w:tab/>
        </w:r>
        <w:r>
          <w:fldChar w:fldCharType="begin"/>
        </w:r>
        <w:r>
          <w:instrText xml:space="preserve"> PAGEREF _Toc24380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8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(九)、齿轮钢行业互联网营销</w:t>
        </w:r>
        <w:r>
          <w:tab/>
        </w:r>
        <w:r>
          <w:fldChar w:fldCharType="begin"/>
        </w:r>
        <w:r>
          <w:instrText xml:space="preserve"> PAGEREF _Toc28181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r>
        <w:fldChar w:fldCharType="end"/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https://d.book118.com/788102124053006027</w:t>
        </w:r>
      </w:hyperlink>
    </w:p>
    <w:p/>
    <w:sectPr>
      <w:headerReference w:type="default" r:id="rId9"/>
      <w:footerReference w:type="default" r:id="rId10"/>
      <w:type w:val="nextPage"/>
      <w:pgSz w:w="11906" w:h="16838"/>
      <w:pgMar w:top="1440" w:right="1800" w:bottom="1440" w:left="1800" w:header="851" w:footer="992" w:gutter="0"/>
      <w:pgNumType w:start="3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2775B3"/>
    <w:rsid w:val="02623C3C"/>
    <w:rsid w:val="03734037"/>
    <w:rsid w:val="13614867"/>
    <w:rsid w:val="178E0A6E"/>
    <w:rsid w:val="3DAC44EE"/>
    <w:rsid w:val="453746B4"/>
    <w:rsid w:val="482775B3"/>
    <w:rsid w:val="49C53810"/>
    <w:rsid w:val="4E155AC7"/>
    <w:rsid w:val="50930768"/>
    <w:rsid w:val="62A91464"/>
    <w:rsid w:val="692E1C42"/>
  </w:rsids>
  <w:docVars>
    <w:docVar w:name="commondata" w:val="eyJoZGlkIjoiYjEzZTI3MzIxYzUxM2E3Y2YyMDVhZDRkMWU5YjExZ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autoRedefine/>
    <w:qFormat/>
  </w:style>
  <w:style w:type="paragraph" w:styleId="TOC2">
    <w:name w:val="toc 2"/>
    <w:basedOn w:val="Normal"/>
    <w:next w:val="Normal"/>
    <w:autoRedefine/>
    <w:qFormat/>
    <w:pPr>
      <w:ind w:left="420" w:leftChars="200"/>
    </w:pPr>
  </w:style>
  <w:style w:type="character" w:styleId="PageNumber">
    <w:name w:val="page number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yperlink" Target="https://d.book118.com/788102124053006027" TargetMode="Externa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小海豹</cp:lastModifiedBy>
  <cp:revision>1</cp:revision>
  <dcterms:created xsi:type="dcterms:W3CDTF">2023-12-10T12:06:00Z</dcterms:created>
  <dcterms:modified xsi:type="dcterms:W3CDTF">2024-01-17T07:44:45Z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1E39AA5D4B7F4B19B7D16FD992F8235D_13</vt:lpwstr>
  </property>
  <property fmtid="{D5CDD505-2E9C-101B-9397-08002B2CF9AE}" pid="3" name="KSOProductBuildVer">
    <vt:lpwstr>2052-12.1.0.16120</vt:lpwstr>
  </property>
</Properties>
</file>