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超纯水和超纯溶剂的制备设备项目规划设计方案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85" w:history="1">
        <w:r>
          <w:rPr>
            <w:rFonts w:ascii="仿宋" w:eastAsia="仿宋" w:hAnsi="仿宋" w:cs="仿宋" w:hint="eastAsia"/>
            <w:lang w:eastAsia="zh-CN"/>
          </w:rPr>
          <w:t>概论</w:t>
        </w:r>
        <w:r>
          <w:tab/>
        </w:r>
        <w:r>
          <w:fldChar w:fldCharType="begin"/>
        </w:r>
        <w:r>
          <w:instrText xml:space="preserve"> PAGEREF _Toc27385 \h </w:instrText>
        </w:r>
        <w:r>
          <w:fldChar w:fldCharType="separate"/>
        </w:r>
        <w:r>
          <w:t>3</w:t>
        </w:r>
        <w:r>
          <w:fldChar w:fldCharType="end"/>
        </w:r>
      </w:hyperlink>
    </w:p>
    <w:p>
      <w:pPr>
        <w:pStyle w:val="TOC1"/>
        <w:tabs>
          <w:tab w:val="right" w:leader="dot" w:pos="8306"/>
        </w:tabs>
      </w:pPr>
      <w:hyperlink w:anchor="_Toc7386" w:history="1">
        <w:r>
          <w:rPr>
            <w:rFonts w:ascii="仿宋" w:eastAsia="仿宋" w:hAnsi="仿宋" w:cs="仿宋" w:hint="eastAsia"/>
            <w:lang w:eastAsia="zh-CN"/>
          </w:rPr>
          <w:t>一、市场分析、调研</w:t>
        </w:r>
        <w:r>
          <w:tab/>
        </w:r>
        <w:r>
          <w:fldChar w:fldCharType="begin"/>
        </w:r>
        <w:r>
          <w:instrText xml:space="preserve"> PAGEREF _Toc7386 \h </w:instrText>
        </w:r>
        <w:r>
          <w:fldChar w:fldCharType="separate"/>
        </w:r>
        <w:r>
          <w:t>3</w:t>
        </w:r>
        <w:r>
          <w:fldChar w:fldCharType="end"/>
        </w:r>
      </w:hyperlink>
    </w:p>
    <w:p>
      <w:pPr>
        <w:pStyle w:val="TOC2"/>
        <w:tabs>
          <w:tab w:val="right" w:leader="dot" w:pos="8306"/>
        </w:tabs>
      </w:pPr>
      <w:hyperlink w:anchor="_Toc23424" w:history="1">
        <w:r>
          <w:rPr>
            <w:rFonts w:ascii="仿宋" w:eastAsia="仿宋" w:hAnsi="仿宋" w:cs="仿宋" w:hint="eastAsia"/>
            <w:lang w:eastAsia="zh-CN"/>
          </w:rPr>
          <w:t>(一)、超纯水和超纯溶剂的制备设备行业分析</w:t>
        </w:r>
        <w:r>
          <w:tab/>
        </w:r>
        <w:r>
          <w:fldChar w:fldCharType="begin"/>
        </w:r>
        <w:r>
          <w:instrText xml:space="preserve"> PAGEREF _Toc23424 \h </w:instrText>
        </w:r>
        <w:r>
          <w:fldChar w:fldCharType="separate"/>
        </w:r>
        <w:r>
          <w:t>3</w:t>
        </w:r>
        <w:r>
          <w:fldChar w:fldCharType="end"/>
        </w:r>
      </w:hyperlink>
    </w:p>
    <w:p>
      <w:pPr>
        <w:pStyle w:val="TOC2"/>
        <w:tabs>
          <w:tab w:val="right" w:leader="dot" w:pos="8306"/>
        </w:tabs>
      </w:pPr>
      <w:hyperlink w:anchor="_Toc7073" w:history="1">
        <w:r>
          <w:rPr>
            <w:rFonts w:ascii="仿宋" w:eastAsia="仿宋" w:hAnsi="仿宋" w:cs="仿宋" w:hint="eastAsia"/>
            <w:lang w:eastAsia="zh-CN"/>
          </w:rPr>
          <w:t>(二)、超纯水和超纯溶剂的制备设备市场分析预测</w:t>
        </w:r>
        <w:r>
          <w:tab/>
        </w:r>
        <w:r>
          <w:fldChar w:fldCharType="begin"/>
        </w:r>
        <w:r>
          <w:instrText xml:space="preserve"> PAGEREF _Toc7073 \h </w:instrText>
        </w:r>
        <w:r>
          <w:fldChar w:fldCharType="separate"/>
        </w:r>
        <w:r>
          <w:t>4</w:t>
        </w:r>
        <w:r>
          <w:fldChar w:fldCharType="end"/>
        </w:r>
      </w:hyperlink>
    </w:p>
    <w:p>
      <w:pPr>
        <w:pStyle w:val="TOC1"/>
        <w:tabs>
          <w:tab w:val="right" w:leader="dot" w:pos="8306"/>
        </w:tabs>
      </w:pPr>
      <w:hyperlink w:anchor="_Toc15410" w:history="1">
        <w:r>
          <w:rPr>
            <w:rFonts w:ascii="仿宋" w:eastAsia="仿宋" w:hAnsi="仿宋" w:cs="仿宋" w:hint="eastAsia"/>
            <w:lang w:eastAsia="zh-CN"/>
          </w:rPr>
          <w:t>二、超纯水和超纯溶剂的制备设备项目概论</w:t>
        </w:r>
        <w:r>
          <w:tab/>
        </w:r>
        <w:r>
          <w:fldChar w:fldCharType="begin"/>
        </w:r>
        <w:r>
          <w:instrText xml:space="preserve"> PAGEREF _Toc15410 \h </w:instrText>
        </w:r>
        <w:r>
          <w:fldChar w:fldCharType="separate"/>
        </w:r>
        <w:r>
          <w:t>5</w:t>
        </w:r>
        <w:r>
          <w:fldChar w:fldCharType="end"/>
        </w:r>
      </w:hyperlink>
    </w:p>
    <w:p>
      <w:pPr>
        <w:pStyle w:val="TOC2"/>
        <w:tabs>
          <w:tab w:val="right" w:leader="dot" w:pos="8306"/>
        </w:tabs>
      </w:pPr>
      <w:hyperlink w:anchor="_Toc30736" w:history="1">
        <w:r>
          <w:rPr>
            <w:rFonts w:ascii="仿宋" w:eastAsia="仿宋" w:hAnsi="仿宋" w:cs="仿宋" w:hint="eastAsia"/>
            <w:lang w:eastAsia="zh-CN"/>
          </w:rPr>
          <w:t>(一)、超纯水和超纯溶剂的制备设备项目概况</w:t>
        </w:r>
        <w:r>
          <w:tab/>
        </w:r>
        <w:r>
          <w:fldChar w:fldCharType="begin"/>
        </w:r>
        <w:r>
          <w:instrText xml:space="preserve"> PAGEREF _Toc30736 \h </w:instrText>
        </w:r>
        <w:r>
          <w:fldChar w:fldCharType="separate"/>
        </w:r>
        <w:r>
          <w:t>5</w:t>
        </w:r>
        <w:r>
          <w:fldChar w:fldCharType="end"/>
        </w:r>
      </w:hyperlink>
    </w:p>
    <w:p>
      <w:pPr>
        <w:pStyle w:val="TOC2"/>
        <w:tabs>
          <w:tab w:val="right" w:leader="dot" w:pos="8306"/>
        </w:tabs>
      </w:pPr>
      <w:hyperlink w:anchor="_Toc27253" w:history="1">
        <w:r>
          <w:rPr>
            <w:rFonts w:ascii="仿宋" w:eastAsia="仿宋" w:hAnsi="仿宋" w:cs="仿宋" w:hint="eastAsia"/>
            <w:lang w:eastAsia="zh-CN"/>
          </w:rPr>
          <w:t>(二)、超纯水和超纯溶剂的制备设备项目目标</w:t>
        </w:r>
        <w:r>
          <w:tab/>
        </w:r>
        <w:r>
          <w:fldChar w:fldCharType="begin"/>
        </w:r>
        <w:r>
          <w:instrText xml:space="preserve"> PAGEREF _Toc27253 \h </w:instrText>
        </w:r>
        <w:r>
          <w:fldChar w:fldCharType="separate"/>
        </w:r>
        <w:r>
          <w:t>7</w:t>
        </w:r>
        <w:r>
          <w:fldChar w:fldCharType="end"/>
        </w:r>
      </w:hyperlink>
    </w:p>
    <w:p>
      <w:pPr>
        <w:pStyle w:val="TOC2"/>
        <w:tabs>
          <w:tab w:val="right" w:leader="dot" w:pos="8306"/>
        </w:tabs>
      </w:pPr>
      <w:hyperlink w:anchor="_Toc25911" w:history="1">
        <w:r>
          <w:rPr>
            <w:rFonts w:ascii="仿宋" w:eastAsia="仿宋" w:hAnsi="仿宋" w:cs="仿宋" w:hint="eastAsia"/>
            <w:lang w:eastAsia="zh-CN"/>
          </w:rPr>
          <w:t>(三)、超纯水和超纯溶剂的制备设备项目提出的理由</w:t>
        </w:r>
        <w:r>
          <w:tab/>
        </w:r>
        <w:r>
          <w:fldChar w:fldCharType="begin"/>
        </w:r>
        <w:r>
          <w:instrText xml:space="preserve"> PAGEREF _Toc25911 \h </w:instrText>
        </w:r>
        <w:r>
          <w:fldChar w:fldCharType="separate"/>
        </w:r>
        <w:r>
          <w:t>8</w:t>
        </w:r>
        <w:r>
          <w:fldChar w:fldCharType="end"/>
        </w:r>
      </w:hyperlink>
    </w:p>
    <w:p>
      <w:pPr>
        <w:pStyle w:val="TOC2"/>
        <w:tabs>
          <w:tab w:val="right" w:leader="dot" w:pos="8306"/>
        </w:tabs>
      </w:pPr>
      <w:hyperlink w:anchor="_Toc29522" w:history="1">
        <w:r>
          <w:rPr>
            <w:rFonts w:ascii="仿宋" w:eastAsia="仿宋" w:hAnsi="仿宋" w:cs="仿宋" w:hint="eastAsia"/>
            <w:lang w:eastAsia="zh-CN"/>
          </w:rPr>
          <w:t>(四)、超纯水和超纯溶剂的制备设备项目意义</w:t>
        </w:r>
        <w:r>
          <w:tab/>
        </w:r>
        <w:r>
          <w:fldChar w:fldCharType="begin"/>
        </w:r>
        <w:r>
          <w:instrText xml:space="preserve"> PAGEREF _Toc29522 \h </w:instrText>
        </w:r>
        <w:r>
          <w:fldChar w:fldCharType="separate"/>
        </w:r>
        <w:r>
          <w:t>10</w:t>
        </w:r>
        <w:r>
          <w:fldChar w:fldCharType="end"/>
        </w:r>
      </w:hyperlink>
    </w:p>
    <w:p>
      <w:pPr>
        <w:pStyle w:val="TOC2"/>
        <w:tabs>
          <w:tab w:val="right" w:leader="dot" w:pos="8306"/>
        </w:tabs>
      </w:pPr>
      <w:hyperlink w:anchor="_Toc12620" w:history="1">
        <w:r>
          <w:rPr>
            <w:rFonts w:ascii="仿宋" w:eastAsia="仿宋" w:hAnsi="仿宋" w:cs="仿宋" w:hint="eastAsia"/>
            <w:lang w:eastAsia="zh-CN"/>
          </w:rPr>
          <w:t>(五)、超纯水和超纯溶剂的制备设备项目背景</w:t>
        </w:r>
        <w:r>
          <w:tab/>
        </w:r>
        <w:r>
          <w:fldChar w:fldCharType="begin"/>
        </w:r>
        <w:r>
          <w:instrText xml:space="preserve"> PAGEREF _Toc12620 \h </w:instrText>
        </w:r>
        <w:r>
          <w:fldChar w:fldCharType="separate"/>
        </w:r>
        <w:r>
          <w:t>11</w:t>
        </w:r>
        <w:r>
          <w:fldChar w:fldCharType="end"/>
        </w:r>
      </w:hyperlink>
    </w:p>
    <w:p>
      <w:pPr>
        <w:pStyle w:val="TOC1"/>
        <w:tabs>
          <w:tab w:val="right" w:leader="dot" w:pos="8306"/>
        </w:tabs>
      </w:pPr>
      <w:hyperlink w:anchor="_Toc21551" w:history="1">
        <w:r>
          <w:rPr>
            <w:rFonts w:ascii="仿宋" w:eastAsia="仿宋" w:hAnsi="仿宋" w:cs="仿宋" w:hint="eastAsia"/>
            <w:lang w:eastAsia="zh-CN"/>
          </w:rPr>
          <w:t>三、超纯水和超纯溶剂的制备设备项目绩效评估</w:t>
        </w:r>
        <w:r>
          <w:tab/>
        </w:r>
        <w:r>
          <w:fldChar w:fldCharType="begin"/>
        </w:r>
        <w:r>
          <w:instrText xml:space="preserve"> PAGEREF _Toc21551 \h </w:instrText>
        </w:r>
        <w:r>
          <w:fldChar w:fldCharType="separate"/>
        </w:r>
        <w:r>
          <w:t>12</w:t>
        </w:r>
        <w:r>
          <w:fldChar w:fldCharType="end"/>
        </w:r>
      </w:hyperlink>
    </w:p>
    <w:p>
      <w:pPr>
        <w:pStyle w:val="TOC2"/>
        <w:tabs>
          <w:tab w:val="right" w:leader="dot" w:pos="8306"/>
        </w:tabs>
      </w:pPr>
      <w:hyperlink w:anchor="_Toc21502" w:history="1">
        <w:r>
          <w:rPr>
            <w:rFonts w:ascii="仿宋" w:eastAsia="仿宋" w:hAnsi="仿宋" w:cs="仿宋" w:hint="eastAsia"/>
            <w:lang w:eastAsia="zh-CN"/>
          </w:rPr>
          <w:t>(一)、绩效评估指标</w:t>
        </w:r>
        <w:r>
          <w:tab/>
        </w:r>
        <w:r>
          <w:fldChar w:fldCharType="begin"/>
        </w:r>
        <w:r>
          <w:instrText xml:space="preserve"> PAGEREF _Toc21502 \h </w:instrText>
        </w:r>
        <w:r>
          <w:fldChar w:fldCharType="separate"/>
        </w:r>
        <w:r>
          <w:t>12</w:t>
        </w:r>
        <w:r>
          <w:fldChar w:fldCharType="end"/>
        </w:r>
      </w:hyperlink>
    </w:p>
    <w:p>
      <w:pPr>
        <w:pStyle w:val="TOC2"/>
        <w:tabs>
          <w:tab w:val="right" w:leader="dot" w:pos="8306"/>
        </w:tabs>
      </w:pPr>
      <w:hyperlink w:anchor="_Toc24156" w:history="1">
        <w:r>
          <w:rPr>
            <w:rFonts w:ascii="仿宋" w:eastAsia="仿宋" w:hAnsi="仿宋" w:cs="仿宋" w:hint="eastAsia"/>
            <w:lang w:eastAsia="zh-CN"/>
          </w:rPr>
          <w:t>(二)、绩效评估方法</w:t>
        </w:r>
        <w:r>
          <w:tab/>
        </w:r>
        <w:r>
          <w:fldChar w:fldCharType="begin"/>
        </w:r>
        <w:r>
          <w:instrText xml:space="preserve"> PAGEREF _Toc24156 \h </w:instrText>
        </w:r>
        <w:r>
          <w:fldChar w:fldCharType="separate"/>
        </w:r>
        <w:r>
          <w:t>14</w:t>
        </w:r>
        <w:r>
          <w:fldChar w:fldCharType="end"/>
        </w:r>
      </w:hyperlink>
    </w:p>
    <w:p>
      <w:pPr>
        <w:pStyle w:val="TOC2"/>
        <w:tabs>
          <w:tab w:val="right" w:leader="dot" w:pos="8306"/>
        </w:tabs>
      </w:pPr>
      <w:hyperlink w:anchor="_Toc6225" w:history="1">
        <w:r>
          <w:rPr>
            <w:rFonts w:ascii="仿宋" w:eastAsia="仿宋" w:hAnsi="仿宋" w:cs="仿宋" w:hint="eastAsia"/>
            <w:lang w:eastAsia="zh-CN"/>
          </w:rPr>
          <w:t>(三)、绩效评估周期</w:t>
        </w:r>
        <w:r>
          <w:tab/>
        </w:r>
        <w:r>
          <w:fldChar w:fldCharType="begin"/>
        </w:r>
        <w:r>
          <w:instrText xml:space="preserve"> PAGEREF _Toc6225 \h </w:instrText>
        </w:r>
        <w:r>
          <w:fldChar w:fldCharType="separate"/>
        </w:r>
        <w:r>
          <w:t>15</w:t>
        </w:r>
        <w:r>
          <w:fldChar w:fldCharType="end"/>
        </w:r>
      </w:hyperlink>
    </w:p>
    <w:p>
      <w:pPr>
        <w:pStyle w:val="TOC1"/>
        <w:tabs>
          <w:tab w:val="right" w:leader="dot" w:pos="8306"/>
        </w:tabs>
      </w:pPr>
      <w:hyperlink w:anchor="_Toc15349" w:history="1">
        <w:r>
          <w:rPr>
            <w:rFonts w:ascii="仿宋" w:eastAsia="仿宋" w:hAnsi="仿宋" w:cs="仿宋" w:hint="eastAsia"/>
            <w:lang w:eastAsia="zh-CN"/>
          </w:rPr>
          <w:t>四、超纯水和超纯溶剂的制备设备项目建设单位说明</w:t>
        </w:r>
        <w:r>
          <w:tab/>
        </w:r>
        <w:r>
          <w:fldChar w:fldCharType="begin"/>
        </w:r>
        <w:r>
          <w:instrText xml:space="preserve"> PAGEREF _Toc15349 \h </w:instrText>
        </w:r>
        <w:r>
          <w:fldChar w:fldCharType="separate"/>
        </w:r>
        <w:r>
          <w:t>16</w:t>
        </w:r>
        <w:r>
          <w:fldChar w:fldCharType="end"/>
        </w:r>
      </w:hyperlink>
    </w:p>
    <w:p>
      <w:pPr>
        <w:pStyle w:val="TOC2"/>
        <w:tabs>
          <w:tab w:val="right" w:leader="dot" w:pos="8306"/>
        </w:tabs>
      </w:pPr>
      <w:hyperlink w:anchor="_Toc1652" w:history="1">
        <w:r>
          <w:rPr>
            <w:rFonts w:ascii="仿宋" w:eastAsia="仿宋" w:hAnsi="仿宋" w:cs="仿宋" w:hint="eastAsia"/>
            <w:lang w:eastAsia="zh-CN"/>
          </w:rPr>
          <w:t>(一)、超纯水和超纯溶剂的制备设备项目承办单位基本情况</w:t>
        </w:r>
        <w:r>
          <w:tab/>
        </w:r>
        <w:r>
          <w:fldChar w:fldCharType="begin"/>
        </w:r>
        <w:r>
          <w:instrText xml:space="preserve"> PAGEREF _Toc1652 \h </w:instrText>
        </w:r>
        <w:r>
          <w:fldChar w:fldCharType="separate"/>
        </w:r>
        <w:r>
          <w:t>16</w:t>
        </w:r>
        <w:r>
          <w:fldChar w:fldCharType="end"/>
        </w:r>
      </w:hyperlink>
    </w:p>
    <w:p>
      <w:pPr>
        <w:pStyle w:val="TOC2"/>
        <w:tabs>
          <w:tab w:val="right" w:leader="dot" w:pos="8306"/>
        </w:tabs>
      </w:pPr>
      <w:hyperlink w:anchor="_Toc18662" w:history="1">
        <w:r>
          <w:rPr>
            <w:rFonts w:ascii="仿宋" w:eastAsia="仿宋" w:hAnsi="仿宋" w:cs="仿宋" w:hint="eastAsia"/>
            <w:lang w:eastAsia="zh-CN"/>
          </w:rPr>
          <w:t>(二)、公司经济效益分析</w:t>
        </w:r>
        <w:r>
          <w:tab/>
        </w:r>
        <w:r>
          <w:fldChar w:fldCharType="begin"/>
        </w:r>
        <w:r>
          <w:instrText xml:space="preserve"> PAGEREF _Toc18662 \h </w:instrText>
        </w:r>
        <w:r>
          <w:fldChar w:fldCharType="separate"/>
        </w:r>
        <w:r>
          <w:t>17</w:t>
        </w:r>
        <w:r>
          <w:fldChar w:fldCharType="end"/>
        </w:r>
      </w:hyperlink>
    </w:p>
    <w:p>
      <w:pPr>
        <w:pStyle w:val="TOC1"/>
        <w:tabs>
          <w:tab w:val="right" w:leader="dot" w:pos="8306"/>
        </w:tabs>
      </w:pPr>
      <w:hyperlink w:anchor="_Toc5425" w:history="1">
        <w:r>
          <w:rPr>
            <w:rFonts w:ascii="仿宋" w:eastAsia="仿宋" w:hAnsi="仿宋" w:cs="仿宋" w:hint="eastAsia"/>
            <w:lang w:eastAsia="zh-CN"/>
          </w:rPr>
          <w:t>五、超纯水和超纯溶剂的制备设备项目选址可行性分析</w:t>
        </w:r>
        <w:r>
          <w:tab/>
        </w:r>
        <w:r>
          <w:fldChar w:fldCharType="begin"/>
        </w:r>
        <w:r>
          <w:instrText xml:space="preserve"> PAGEREF _Toc5425 \h </w:instrText>
        </w:r>
        <w:r>
          <w:fldChar w:fldCharType="separate"/>
        </w:r>
        <w:r>
          <w:t>18</w:t>
        </w:r>
        <w:r>
          <w:fldChar w:fldCharType="end"/>
        </w:r>
      </w:hyperlink>
    </w:p>
    <w:p>
      <w:pPr>
        <w:pStyle w:val="TOC2"/>
        <w:tabs>
          <w:tab w:val="right" w:leader="dot" w:pos="8306"/>
        </w:tabs>
      </w:pPr>
      <w:hyperlink w:anchor="_Toc18718" w:history="1">
        <w:r>
          <w:rPr>
            <w:rFonts w:ascii="仿宋" w:eastAsia="仿宋" w:hAnsi="仿宋" w:cs="仿宋" w:hint="eastAsia"/>
            <w:lang w:eastAsia="zh-CN"/>
          </w:rPr>
          <w:t>(一)、超纯水和超纯溶剂的制备设备项目选址</w:t>
        </w:r>
        <w:r>
          <w:tab/>
        </w:r>
        <w:r>
          <w:fldChar w:fldCharType="begin"/>
        </w:r>
        <w:r>
          <w:instrText xml:space="preserve"> PAGEREF _Toc18718 \h </w:instrText>
        </w:r>
        <w:r>
          <w:fldChar w:fldCharType="separate"/>
        </w:r>
        <w:r>
          <w:t>18</w:t>
        </w:r>
        <w:r>
          <w:fldChar w:fldCharType="end"/>
        </w:r>
      </w:hyperlink>
    </w:p>
    <w:p>
      <w:pPr>
        <w:pStyle w:val="TOC2"/>
        <w:tabs>
          <w:tab w:val="right" w:leader="dot" w:pos="8306"/>
        </w:tabs>
      </w:pPr>
      <w:hyperlink w:anchor="_Toc10209" w:history="1">
        <w:r>
          <w:rPr>
            <w:rFonts w:ascii="仿宋" w:eastAsia="仿宋" w:hAnsi="仿宋" w:cs="仿宋" w:hint="eastAsia"/>
            <w:lang w:eastAsia="zh-CN"/>
          </w:rPr>
          <w:t>(二)、用地控制指标</w:t>
        </w:r>
        <w:r>
          <w:tab/>
        </w:r>
        <w:r>
          <w:fldChar w:fldCharType="begin"/>
        </w:r>
        <w:r>
          <w:instrText xml:space="preserve"> PAGEREF _Toc10209 \h </w:instrText>
        </w:r>
        <w:r>
          <w:fldChar w:fldCharType="separate"/>
        </w:r>
        <w:r>
          <w:t>18</w:t>
        </w:r>
        <w:r>
          <w:fldChar w:fldCharType="end"/>
        </w:r>
      </w:hyperlink>
    </w:p>
    <w:p>
      <w:pPr>
        <w:pStyle w:val="TOC2"/>
        <w:tabs>
          <w:tab w:val="right" w:leader="dot" w:pos="8306"/>
        </w:tabs>
      </w:pPr>
      <w:hyperlink w:anchor="_Toc3368" w:history="1">
        <w:r>
          <w:rPr>
            <w:rFonts w:ascii="仿宋" w:eastAsia="仿宋" w:hAnsi="仿宋" w:cs="仿宋" w:hint="eastAsia"/>
            <w:lang w:eastAsia="zh-CN"/>
          </w:rPr>
          <w:t>(三)、节约用地措施</w:t>
        </w:r>
        <w:r>
          <w:tab/>
        </w:r>
        <w:r>
          <w:fldChar w:fldCharType="begin"/>
        </w:r>
        <w:r>
          <w:instrText xml:space="preserve"> PAGEREF _Toc3368 \h </w:instrText>
        </w:r>
        <w:r>
          <w:fldChar w:fldCharType="separate"/>
        </w:r>
        <w:r>
          <w:t>20</w:t>
        </w:r>
        <w:r>
          <w:fldChar w:fldCharType="end"/>
        </w:r>
      </w:hyperlink>
    </w:p>
    <w:p>
      <w:pPr>
        <w:pStyle w:val="TOC2"/>
        <w:tabs>
          <w:tab w:val="right" w:leader="dot" w:pos="8306"/>
        </w:tabs>
      </w:pPr>
      <w:hyperlink w:anchor="_Toc17681" w:history="1">
        <w:r>
          <w:rPr>
            <w:rFonts w:ascii="仿宋" w:eastAsia="仿宋" w:hAnsi="仿宋" w:cs="仿宋" w:hint="eastAsia"/>
            <w:lang w:eastAsia="zh-CN"/>
          </w:rPr>
          <w:t>(四)、总图布置方案</w:t>
        </w:r>
        <w:r>
          <w:tab/>
        </w:r>
        <w:r>
          <w:fldChar w:fldCharType="begin"/>
        </w:r>
        <w:r>
          <w:instrText xml:space="preserve"> PAGEREF _Toc17681 \h </w:instrText>
        </w:r>
        <w:r>
          <w:fldChar w:fldCharType="separate"/>
        </w:r>
        <w:r>
          <w:t>21</w:t>
        </w:r>
        <w:r>
          <w:fldChar w:fldCharType="end"/>
        </w:r>
      </w:hyperlink>
    </w:p>
    <w:p>
      <w:pPr>
        <w:pStyle w:val="TOC2"/>
        <w:tabs>
          <w:tab w:val="right" w:leader="dot" w:pos="8306"/>
        </w:tabs>
      </w:pPr>
      <w:hyperlink w:anchor="_Toc24776" w:history="1">
        <w:r>
          <w:rPr>
            <w:rFonts w:ascii="仿宋" w:eastAsia="仿宋" w:hAnsi="仿宋" w:cs="仿宋" w:hint="eastAsia"/>
            <w:lang w:eastAsia="zh-CN"/>
          </w:rPr>
          <w:t>(五)、选址综合评价</w:t>
        </w:r>
        <w:r>
          <w:tab/>
        </w:r>
        <w:r>
          <w:fldChar w:fldCharType="begin"/>
        </w:r>
        <w:r>
          <w:instrText xml:space="preserve"> PAGEREF _Toc24776 \h </w:instrText>
        </w:r>
        <w:r>
          <w:fldChar w:fldCharType="separate"/>
        </w:r>
        <w:r>
          <w:t>22</w:t>
        </w:r>
        <w:r>
          <w:fldChar w:fldCharType="end"/>
        </w:r>
      </w:hyperlink>
    </w:p>
    <w:p>
      <w:pPr>
        <w:pStyle w:val="TOC1"/>
        <w:tabs>
          <w:tab w:val="right" w:leader="dot" w:pos="8306"/>
        </w:tabs>
      </w:pPr>
      <w:hyperlink w:anchor="_Toc4922" w:history="1">
        <w:r>
          <w:rPr>
            <w:rFonts w:ascii="仿宋" w:eastAsia="仿宋" w:hAnsi="仿宋" w:cs="仿宋" w:hint="eastAsia"/>
            <w:lang w:eastAsia="zh-CN"/>
          </w:rPr>
          <w:t>六、超纯水和超纯溶剂的制备设备项目危机管理</w:t>
        </w:r>
        <w:r>
          <w:tab/>
        </w:r>
        <w:r>
          <w:fldChar w:fldCharType="begin"/>
        </w:r>
        <w:r>
          <w:instrText xml:space="preserve"> PAGEREF _Toc4922 \h </w:instrText>
        </w:r>
        <w:r>
          <w:fldChar w:fldCharType="separate"/>
        </w:r>
        <w:r>
          <w:t>24</w:t>
        </w:r>
        <w:r>
          <w:fldChar w:fldCharType="end"/>
        </w:r>
      </w:hyperlink>
    </w:p>
    <w:p>
      <w:pPr>
        <w:pStyle w:val="TOC2"/>
        <w:tabs>
          <w:tab w:val="right" w:leader="dot" w:pos="8306"/>
        </w:tabs>
      </w:pPr>
      <w:hyperlink w:anchor="_Toc15187" w:history="1">
        <w:r>
          <w:rPr>
            <w:rFonts w:ascii="仿宋" w:eastAsia="仿宋" w:hAnsi="仿宋" w:cs="仿宋" w:hint="eastAsia"/>
            <w:lang w:eastAsia="zh-CN"/>
          </w:rPr>
          <w:t>(一)、危机预警与识别</w:t>
        </w:r>
        <w:r>
          <w:tab/>
        </w:r>
        <w:r>
          <w:fldChar w:fldCharType="begin"/>
        </w:r>
        <w:r>
          <w:instrText xml:space="preserve"> PAGEREF _Toc15187 \h </w:instrText>
        </w:r>
        <w:r>
          <w:fldChar w:fldCharType="separate"/>
        </w:r>
        <w:r>
          <w:t>24</w:t>
        </w:r>
        <w:r>
          <w:fldChar w:fldCharType="end"/>
        </w:r>
      </w:hyperlink>
    </w:p>
    <w:p>
      <w:pPr>
        <w:pStyle w:val="TOC2"/>
        <w:tabs>
          <w:tab w:val="right" w:leader="dot" w:pos="8306"/>
        </w:tabs>
      </w:pPr>
      <w:hyperlink w:anchor="_Toc21552" w:history="1">
        <w:r>
          <w:rPr>
            <w:rFonts w:ascii="仿宋" w:eastAsia="仿宋" w:hAnsi="仿宋" w:cs="仿宋" w:hint="eastAsia"/>
            <w:lang w:eastAsia="zh-CN"/>
          </w:rPr>
          <w:t>(二)、危机应对与恢复</w:t>
        </w:r>
        <w:r>
          <w:tab/>
        </w:r>
        <w:r>
          <w:fldChar w:fldCharType="begin"/>
        </w:r>
        <w:r>
          <w:instrText xml:space="preserve"> PAGEREF _Toc21552 \h </w:instrText>
        </w:r>
        <w:r>
          <w:fldChar w:fldCharType="separate"/>
        </w:r>
        <w:r>
          <w:t>25</w:t>
        </w:r>
        <w:r>
          <w:fldChar w:fldCharType="end"/>
        </w:r>
      </w:hyperlink>
    </w:p>
    <w:p>
      <w:pPr>
        <w:pStyle w:val="TOC1"/>
        <w:tabs>
          <w:tab w:val="right" w:leader="dot" w:pos="8306"/>
        </w:tabs>
      </w:pPr>
      <w:hyperlink w:anchor="_Toc10189" w:history="1">
        <w:r>
          <w:rPr>
            <w:rFonts w:ascii="仿宋" w:eastAsia="仿宋" w:hAnsi="仿宋" w:cs="仿宋" w:hint="eastAsia"/>
            <w:lang w:eastAsia="zh-CN"/>
          </w:rPr>
          <w:t>七、超纯水和超纯溶剂的制备设备项目财务管理</w:t>
        </w:r>
        <w:r>
          <w:tab/>
        </w:r>
        <w:r>
          <w:fldChar w:fldCharType="begin"/>
        </w:r>
        <w:r>
          <w:instrText xml:space="preserve"> PAGEREF _Toc10189 \h </w:instrText>
        </w:r>
        <w:r>
          <w:fldChar w:fldCharType="separate"/>
        </w:r>
        <w:r>
          <w:t>26</w:t>
        </w:r>
        <w:r>
          <w:fldChar w:fldCharType="end"/>
        </w:r>
      </w:hyperlink>
    </w:p>
    <w:p>
      <w:pPr>
        <w:pStyle w:val="TOC2"/>
        <w:tabs>
          <w:tab w:val="right" w:leader="dot" w:pos="8306"/>
        </w:tabs>
      </w:pPr>
      <w:hyperlink w:anchor="_Toc7493" w:history="1">
        <w:r>
          <w:rPr>
            <w:rFonts w:ascii="仿宋" w:eastAsia="仿宋" w:hAnsi="仿宋" w:cs="仿宋" w:hint="eastAsia"/>
            <w:lang w:eastAsia="zh-CN"/>
          </w:rPr>
          <w:t>(一)、资金需求大</w:t>
        </w:r>
        <w:r>
          <w:tab/>
        </w:r>
        <w:r>
          <w:fldChar w:fldCharType="begin"/>
        </w:r>
        <w:r>
          <w:instrText xml:space="preserve"> PAGEREF _Toc7493 \h </w:instrText>
        </w:r>
        <w:r>
          <w:fldChar w:fldCharType="separate"/>
        </w:r>
        <w:r>
          <w:t>26</w:t>
        </w:r>
        <w:r>
          <w:fldChar w:fldCharType="end"/>
        </w:r>
      </w:hyperlink>
    </w:p>
    <w:p>
      <w:pPr>
        <w:pStyle w:val="TOC2"/>
        <w:tabs>
          <w:tab w:val="right" w:leader="dot" w:pos="8306"/>
        </w:tabs>
      </w:pPr>
      <w:hyperlink w:anchor="_Toc19236" w:history="1">
        <w:r>
          <w:rPr>
            <w:rFonts w:ascii="仿宋" w:eastAsia="仿宋" w:hAnsi="仿宋" w:cs="仿宋" w:hint="eastAsia"/>
            <w:lang w:eastAsia="zh-CN"/>
          </w:rPr>
          <w:t>(二)、研发周期长</w:t>
        </w:r>
        <w:r>
          <w:tab/>
        </w:r>
        <w:r>
          <w:fldChar w:fldCharType="begin"/>
        </w:r>
        <w:r>
          <w:instrText xml:space="preserve"> PAGEREF _Toc19236 \h </w:instrText>
        </w:r>
        <w:r>
          <w:fldChar w:fldCharType="separate"/>
        </w:r>
        <w:r>
          <w:t>28</w:t>
        </w:r>
        <w:r>
          <w:fldChar w:fldCharType="end"/>
        </w:r>
      </w:hyperlink>
    </w:p>
    <w:p>
      <w:pPr>
        <w:pStyle w:val="TOC2"/>
        <w:tabs>
          <w:tab w:val="right" w:leader="dot" w:pos="8306"/>
        </w:tabs>
      </w:pPr>
      <w:hyperlink w:anchor="_Toc14630" w:history="1">
        <w:r>
          <w:rPr>
            <w:rFonts w:ascii="仿宋" w:eastAsia="仿宋" w:hAnsi="仿宋" w:cs="仿宋" w:hint="eastAsia"/>
            <w:lang w:eastAsia="zh-CN"/>
          </w:rPr>
          <w:t>(三)、市场风险大</w:t>
        </w:r>
        <w:r>
          <w:tab/>
        </w:r>
        <w:r>
          <w:fldChar w:fldCharType="begin"/>
        </w:r>
        <w:r>
          <w:instrText xml:space="preserve"> PAGEREF _Toc14630 \h </w:instrText>
        </w:r>
        <w:r>
          <w:fldChar w:fldCharType="separate"/>
        </w:r>
        <w:r>
          <w:t>29</w:t>
        </w:r>
        <w:r>
          <w:fldChar w:fldCharType="end"/>
        </w:r>
      </w:hyperlink>
    </w:p>
    <w:p>
      <w:pPr>
        <w:pStyle w:val="TOC2"/>
        <w:tabs>
          <w:tab w:val="right" w:leader="dot" w:pos="8306"/>
        </w:tabs>
      </w:pPr>
      <w:hyperlink w:anchor="_Toc24819" w:history="1">
        <w:r>
          <w:rPr>
            <w:rFonts w:ascii="仿宋" w:eastAsia="仿宋" w:hAnsi="仿宋" w:cs="仿宋" w:hint="eastAsia"/>
            <w:lang w:eastAsia="zh-CN"/>
          </w:rPr>
          <w:t>(四)、利润率高</w:t>
        </w:r>
        <w:r>
          <w:tab/>
        </w:r>
        <w:r>
          <w:fldChar w:fldCharType="begin"/>
        </w:r>
        <w:r>
          <w:instrText xml:space="preserve"> PAGEREF _Toc24819 \h </w:instrText>
        </w:r>
        <w:r>
          <w:fldChar w:fldCharType="separate"/>
        </w:r>
        <w:r>
          <w:t>32</w:t>
        </w:r>
        <w:r>
          <w:fldChar w:fldCharType="end"/>
        </w:r>
      </w:hyperlink>
    </w:p>
    <w:p>
      <w:pPr>
        <w:pStyle w:val="TOC1"/>
        <w:tabs>
          <w:tab w:val="right" w:leader="dot" w:pos="8306"/>
        </w:tabs>
      </w:pPr>
      <w:hyperlink w:anchor="_Toc18942" w:history="1">
        <w:r>
          <w:rPr>
            <w:rFonts w:ascii="仿宋" w:eastAsia="仿宋" w:hAnsi="仿宋" w:cs="仿宋" w:hint="eastAsia"/>
            <w:lang w:eastAsia="zh-CN"/>
          </w:rPr>
          <w:t>八、生产安全保护</w:t>
        </w:r>
        <w:r>
          <w:tab/>
        </w:r>
        <w:r>
          <w:fldChar w:fldCharType="begin"/>
        </w:r>
        <w:r>
          <w:instrText xml:space="preserve"> PAGEREF _Toc18942 \h </w:instrText>
        </w:r>
        <w:r>
          <w:fldChar w:fldCharType="separate"/>
        </w:r>
        <w:r>
          <w:t>34</w:t>
        </w:r>
        <w:r>
          <w:fldChar w:fldCharType="end"/>
        </w:r>
      </w:hyperlink>
    </w:p>
    <w:p>
      <w:pPr>
        <w:pStyle w:val="TOC2"/>
        <w:tabs>
          <w:tab w:val="right" w:leader="dot" w:pos="8306"/>
        </w:tabs>
      </w:pPr>
      <w:hyperlink w:anchor="_Toc3000" w:history="1">
        <w:r>
          <w:rPr>
            <w:rFonts w:ascii="仿宋" w:eastAsia="仿宋" w:hAnsi="仿宋" w:cs="仿宋" w:hint="eastAsia"/>
            <w:lang w:eastAsia="zh-CN"/>
          </w:rPr>
          <w:t>(一)、消防安全</w:t>
        </w:r>
        <w:r>
          <w:tab/>
        </w:r>
        <w:r>
          <w:fldChar w:fldCharType="begin"/>
        </w:r>
        <w:r>
          <w:instrText xml:space="preserve"> PAGEREF _Toc3000 \h </w:instrText>
        </w:r>
        <w:r>
          <w:fldChar w:fldCharType="separate"/>
        </w:r>
        <w:r>
          <w:t>34</w:t>
        </w:r>
        <w:r>
          <w:fldChar w:fldCharType="end"/>
        </w:r>
      </w:hyperlink>
    </w:p>
    <w:p>
      <w:pPr>
        <w:pStyle w:val="TOC2"/>
        <w:tabs>
          <w:tab w:val="right" w:leader="dot" w:pos="8306"/>
        </w:tabs>
      </w:pPr>
      <w:hyperlink w:anchor="_Toc13674" w:history="1">
        <w:r>
          <w:rPr>
            <w:rFonts w:ascii="仿宋" w:eastAsia="仿宋" w:hAnsi="仿宋" w:cs="仿宋" w:hint="eastAsia"/>
            <w:lang w:eastAsia="zh-CN"/>
          </w:rPr>
          <w:t>(二)、防火防爆总图布置措施</w:t>
        </w:r>
        <w:r>
          <w:tab/>
        </w:r>
        <w:r>
          <w:fldChar w:fldCharType="begin"/>
        </w:r>
        <w:r>
          <w:instrText xml:space="preserve"> PAGEREF _Toc13674 \h </w:instrText>
        </w:r>
        <w:r>
          <w:fldChar w:fldCharType="separate"/>
        </w:r>
        <w:r>
          <w:t>36</w:t>
        </w:r>
        <w:r>
          <w:fldChar w:fldCharType="end"/>
        </w:r>
      </w:hyperlink>
    </w:p>
    <w:p>
      <w:pPr>
        <w:pStyle w:val="TOC2"/>
        <w:tabs>
          <w:tab w:val="right" w:leader="dot" w:pos="8306"/>
        </w:tabs>
      </w:pPr>
      <w:hyperlink w:anchor="_Toc31587" w:history="1">
        <w:r>
          <w:rPr>
            <w:rFonts w:ascii="仿宋" w:eastAsia="仿宋" w:hAnsi="仿宋" w:cs="仿宋" w:hint="eastAsia"/>
            <w:lang w:eastAsia="zh-CN"/>
          </w:rPr>
          <w:t>(三)、自然灾害防范措施</w:t>
        </w:r>
        <w:r>
          <w:tab/>
        </w:r>
        <w:r>
          <w:fldChar w:fldCharType="begin"/>
        </w:r>
        <w:r>
          <w:instrText xml:space="preserve"> PAGEREF _Toc31587 \h </w:instrText>
        </w:r>
        <w:r>
          <w:fldChar w:fldCharType="separate"/>
        </w:r>
        <w:r>
          <w:t>37</w:t>
        </w:r>
        <w:r>
          <w:fldChar w:fldCharType="end"/>
        </w:r>
      </w:hyperlink>
    </w:p>
    <w:p>
      <w:pPr>
        <w:pStyle w:val="TOC2"/>
        <w:tabs>
          <w:tab w:val="right" w:leader="dot" w:pos="8306"/>
        </w:tabs>
      </w:pPr>
      <w:hyperlink w:anchor="_Toc28986" w:history="1">
        <w:r>
          <w:rPr>
            <w:rFonts w:ascii="仿宋" w:eastAsia="仿宋" w:hAnsi="仿宋" w:cs="仿宋" w:hint="eastAsia"/>
            <w:lang w:eastAsia="zh-CN"/>
          </w:rPr>
          <w:t>(四)、安全色及安全标志使用要求</w:t>
        </w:r>
        <w:r>
          <w:tab/>
        </w:r>
        <w:r>
          <w:fldChar w:fldCharType="begin"/>
        </w:r>
        <w:r>
          <w:instrText xml:space="preserve"> PAGEREF _Toc28986 \h </w:instrText>
        </w:r>
        <w:r>
          <w:fldChar w:fldCharType="separate"/>
        </w:r>
        <w:r>
          <w:t>38</w:t>
        </w:r>
        <w:r>
          <w:fldChar w:fldCharType="end"/>
        </w:r>
      </w:hyperlink>
    </w:p>
    <w:p>
      <w:pPr>
        <w:pStyle w:val="TOC2"/>
        <w:tabs>
          <w:tab w:val="right" w:leader="dot" w:pos="8306"/>
        </w:tabs>
      </w:pPr>
      <w:hyperlink w:anchor="_Toc17826" w:history="1">
        <w:r>
          <w:rPr>
            <w:rFonts w:ascii="仿宋" w:eastAsia="仿宋" w:hAnsi="仿宋" w:cs="仿宋" w:hint="eastAsia"/>
            <w:lang w:eastAsia="zh-CN"/>
          </w:rPr>
          <w:t>(五)、防尘防毒措施</w:t>
        </w:r>
        <w:r>
          <w:tab/>
        </w:r>
        <w:r>
          <w:fldChar w:fldCharType="begin"/>
        </w:r>
        <w:r>
          <w:instrText xml:space="preserve"> PAGEREF _Toc17826 \h </w:instrText>
        </w:r>
        <w:r>
          <w:fldChar w:fldCharType="separate"/>
        </w:r>
        <w:r>
          <w:t>39</w:t>
        </w:r>
        <w:r>
          <w:fldChar w:fldCharType="end"/>
        </w:r>
      </w:hyperlink>
    </w:p>
    <w:p>
      <w:pPr>
        <w:pStyle w:val="TOC2"/>
        <w:tabs>
          <w:tab w:val="right" w:leader="dot" w:pos="8306"/>
        </w:tabs>
      </w:pPr>
      <w:hyperlink w:anchor="_Toc16151" w:history="1">
        <w:r>
          <w:rPr>
            <w:rFonts w:ascii="仿宋" w:eastAsia="仿宋" w:hAnsi="仿宋" w:cs="仿宋" w:hint="eastAsia"/>
            <w:lang w:eastAsia="zh-CN"/>
          </w:rPr>
          <w:t>(六)、防静电、触电防护及防雷措施</w:t>
        </w:r>
        <w:r>
          <w:tab/>
        </w:r>
        <w:r>
          <w:fldChar w:fldCharType="begin"/>
        </w:r>
        <w:r>
          <w:instrText xml:space="preserve"> PAGEREF _Toc16151 \h </w:instrText>
        </w:r>
        <w:r>
          <w:fldChar w:fldCharType="separate"/>
        </w:r>
        <w:r>
          <w:t>40</w:t>
        </w:r>
        <w:r>
          <w:fldChar w:fldCharType="end"/>
        </w:r>
      </w:hyperlink>
    </w:p>
    <w:p>
      <w:pPr>
        <w:pStyle w:val="TOC2"/>
        <w:tabs>
          <w:tab w:val="right" w:leader="dot" w:pos="8306"/>
        </w:tabs>
      </w:pPr>
      <w:hyperlink w:anchor="_Toc25949" w:history="1">
        <w:r>
          <w:rPr>
            <w:rFonts w:ascii="仿宋" w:eastAsia="仿宋" w:hAnsi="仿宋" w:cs="仿宋" w:hint="eastAsia"/>
            <w:lang w:eastAsia="zh-CN"/>
          </w:rPr>
          <w:t>(七)、机械设备安全保障措施</w:t>
        </w:r>
        <w:r>
          <w:tab/>
        </w:r>
        <w:r>
          <w:fldChar w:fldCharType="begin"/>
        </w:r>
        <w:r>
          <w:instrText xml:space="preserve"> PAGEREF _Toc25949 \h </w:instrText>
        </w:r>
        <w:r>
          <w:fldChar w:fldCharType="separate"/>
        </w:r>
        <w:r>
          <w:t>42</w:t>
        </w:r>
        <w:r>
          <w:fldChar w:fldCharType="end"/>
        </w:r>
      </w:hyperlink>
    </w:p>
    <w:p>
      <w:pPr>
        <w:pStyle w:val="TOC1"/>
        <w:tabs>
          <w:tab w:val="right" w:leader="dot" w:pos="8306"/>
        </w:tabs>
      </w:pPr>
      <w:hyperlink w:anchor="_Toc5770" w:history="1">
        <w:r>
          <w:rPr>
            <w:rFonts w:ascii="仿宋" w:eastAsia="仿宋" w:hAnsi="仿宋" w:cs="仿宋" w:hint="eastAsia"/>
            <w:lang w:eastAsia="zh-CN"/>
          </w:rPr>
          <w:t>九、超纯水和超纯溶剂的制备设备项目技术管理</w:t>
        </w:r>
        <w:r>
          <w:tab/>
        </w:r>
        <w:r>
          <w:fldChar w:fldCharType="begin"/>
        </w:r>
        <w:r>
          <w:instrText xml:space="preserve"> PAGEREF _Toc5770 \h </w:instrText>
        </w:r>
        <w:r>
          <w:fldChar w:fldCharType="separate"/>
        </w:r>
        <w:r>
          <w:t>43</w:t>
        </w:r>
        <w:r>
          <w:fldChar w:fldCharType="end"/>
        </w:r>
      </w:hyperlink>
    </w:p>
    <w:p>
      <w:pPr>
        <w:pStyle w:val="TOC2"/>
        <w:tabs>
          <w:tab w:val="right" w:leader="dot" w:pos="8306"/>
        </w:tabs>
      </w:pPr>
      <w:hyperlink w:anchor="_Toc17211" w:history="1">
        <w:r>
          <w:rPr>
            <w:rFonts w:ascii="仿宋" w:eastAsia="仿宋" w:hAnsi="仿宋" w:cs="仿宋" w:hint="eastAsia"/>
            <w:lang w:eastAsia="zh-CN"/>
          </w:rPr>
          <w:t>(一)、技术方案选用方向</w:t>
        </w:r>
        <w:r>
          <w:tab/>
        </w:r>
        <w:r>
          <w:fldChar w:fldCharType="begin"/>
        </w:r>
        <w:r>
          <w:instrText xml:space="preserve"> PAGEREF _Toc17211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20" w:history="1">
        <w:r>
          <w:rPr>
            <w:rFonts w:ascii="仿宋" w:eastAsia="仿宋" w:hAnsi="仿宋" w:cs="仿宋" w:hint="eastAsia"/>
            <w:lang w:eastAsia="zh-CN"/>
          </w:rPr>
          <w:t>(二)、工艺技术方案选用原则</w:t>
        </w:r>
        <w:r>
          <w:tab/>
        </w:r>
        <w:r>
          <w:fldChar w:fldCharType="begin"/>
        </w:r>
        <w:r>
          <w:instrText xml:space="preserve"> PAGEREF _Toc14320 \h </w:instrText>
        </w:r>
        <w:r>
          <w:fldChar w:fldCharType="separate"/>
        </w:r>
        <w:r>
          <w:t>45</w:t>
        </w:r>
        <w:r>
          <w:fldChar w:fldCharType="end"/>
        </w:r>
      </w:hyperlink>
    </w:p>
    <w:p>
      <w:pPr>
        <w:pStyle w:val="TOC2"/>
        <w:tabs>
          <w:tab w:val="right" w:leader="dot" w:pos="8306"/>
        </w:tabs>
      </w:pPr>
      <w:hyperlink w:anchor="_Toc30505" w:history="1">
        <w:r>
          <w:rPr>
            <w:rFonts w:ascii="仿宋" w:eastAsia="仿宋" w:hAnsi="仿宋" w:cs="仿宋" w:hint="eastAsia"/>
            <w:lang w:eastAsia="zh-CN"/>
          </w:rPr>
          <w:t>(三)、工艺技术方案要求</w:t>
        </w:r>
        <w:r>
          <w:tab/>
        </w:r>
        <w:r>
          <w:fldChar w:fldCharType="begin"/>
        </w:r>
        <w:r>
          <w:instrText xml:space="preserve"> PAGEREF _Toc30505 \h </w:instrText>
        </w:r>
        <w:r>
          <w:fldChar w:fldCharType="separate"/>
        </w:r>
        <w:r>
          <w:t>47</w:t>
        </w:r>
        <w:r>
          <w:fldChar w:fldCharType="end"/>
        </w:r>
      </w:hyperlink>
    </w:p>
    <w:p>
      <w:pPr>
        <w:pStyle w:val="TOC1"/>
        <w:tabs>
          <w:tab w:val="right" w:leader="dot" w:pos="8306"/>
        </w:tabs>
      </w:pPr>
      <w:hyperlink w:anchor="_Toc30818" w:history="1">
        <w:r>
          <w:rPr>
            <w:rFonts w:ascii="仿宋" w:eastAsia="仿宋" w:hAnsi="仿宋" w:cs="仿宋" w:hint="eastAsia"/>
            <w:lang w:eastAsia="zh-CN"/>
          </w:rPr>
          <w:t>十、超纯水和超纯溶剂的制备设备项目社会影响</w:t>
        </w:r>
        <w:r>
          <w:tab/>
        </w:r>
        <w:r>
          <w:fldChar w:fldCharType="begin"/>
        </w:r>
        <w:r>
          <w:instrText xml:space="preserve"> PAGEREF _Toc30818 \h </w:instrText>
        </w:r>
        <w:r>
          <w:fldChar w:fldCharType="separate"/>
        </w:r>
        <w:r>
          <w:t>50</w:t>
        </w:r>
        <w:r>
          <w:fldChar w:fldCharType="end"/>
        </w:r>
      </w:hyperlink>
    </w:p>
    <w:p>
      <w:pPr>
        <w:pStyle w:val="TOC2"/>
        <w:tabs>
          <w:tab w:val="right" w:leader="dot" w:pos="8306"/>
        </w:tabs>
      </w:pPr>
      <w:hyperlink w:anchor="_Toc13113" w:history="1">
        <w:r>
          <w:rPr>
            <w:rFonts w:ascii="仿宋" w:eastAsia="仿宋" w:hAnsi="仿宋" w:cs="仿宋" w:hint="eastAsia"/>
            <w:lang w:eastAsia="zh-CN"/>
          </w:rPr>
          <w:t>(一)、社会责任与义务</w:t>
        </w:r>
        <w:r>
          <w:tab/>
        </w:r>
        <w:r>
          <w:fldChar w:fldCharType="begin"/>
        </w:r>
        <w:r>
          <w:instrText xml:space="preserve"> PAGEREF _Toc13113 \h </w:instrText>
        </w:r>
        <w:r>
          <w:fldChar w:fldCharType="separate"/>
        </w:r>
        <w:r>
          <w:t>50</w:t>
        </w:r>
        <w:r>
          <w:fldChar w:fldCharType="end"/>
        </w:r>
      </w:hyperlink>
    </w:p>
    <w:p>
      <w:pPr>
        <w:pStyle w:val="TOC2"/>
        <w:tabs>
          <w:tab w:val="right" w:leader="dot" w:pos="8306"/>
        </w:tabs>
      </w:pPr>
      <w:hyperlink w:anchor="_Toc5537" w:history="1">
        <w:r>
          <w:rPr>
            <w:rFonts w:ascii="仿宋" w:eastAsia="仿宋" w:hAnsi="仿宋" w:cs="仿宋" w:hint="eastAsia"/>
            <w:lang w:eastAsia="zh-CN"/>
          </w:rPr>
          <w:t>(二)、社会参与与沟通</w:t>
        </w:r>
        <w:r>
          <w:tab/>
        </w:r>
        <w:r>
          <w:fldChar w:fldCharType="begin"/>
        </w:r>
        <w:r>
          <w:instrText xml:space="preserve"> PAGEREF _Toc5537 \h </w:instrText>
        </w:r>
        <w:r>
          <w:fldChar w:fldCharType="separate"/>
        </w:r>
        <w:r>
          <w:t>50</w:t>
        </w:r>
        <w:r>
          <w:fldChar w:fldCharType="end"/>
        </w:r>
      </w:hyperlink>
    </w:p>
    <w:p>
      <w:pPr>
        <w:pStyle w:val="TOC1"/>
        <w:tabs>
          <w:tab w:val="right" w:leader="dot" w:pos="8306"/>
        </w:tabs>
      </w:pPr>
      <w:hyperlink w:anchor="_Toc2641" w:history="1">
        <w:r>
          <w:rPr>
            <w:rFonts w:ascii="仿宋" w:eastAsia="仿宋" w:hAnsi="仿宋" w:cs="仿宋" w:hint="eastAsia"/>
            <w:lang w:eastAsia="zh-CN"/>
          </w:rPr>
          <w:t>十一、超纯水和超纯溶剂的制备设备项目人力资源管理</w:t>
        </w:r>
        <w:r>
          <w:tab/>
        </w:r>
        <w:r>
          <w:fldChar w:fldCharType="begin"/>
        </w:r>
        <w:r>
          <w:instrText xml:space="preserve"> PAGEREF _Toc2641 \h </w:instrText>
        </w:r>
        <w:r>
          <w:fldChar w:fldCharType="separate"/>
        </w:r>
        <w:r>
          <w:t>52</w:t>
        </w:r>
        <w:r>
          <w:fldChar w:fldCharType="end"/>
        </w:r>
      </w:hyperlink>
    </w:p>
    <w:p>
      <w:pPr>
        <w:pStyle w:val="TOC2"/>
        <w:tabs>
          <w:tab w:val="right" w:leader="dot" w:pos="8306"/>
        </w:tabs>
      </w:pPr>
      <w:hyperlink w:anchor="_Toc6778" w:history="1">
        <w:r>
          <w:rPr>
            <w:rFonts w:ascii="仿宋" w:eastAsia="仿宋" w:hAnsi="仿宋" w:cs="仿宋" w:hint="eastAsia"/>
            <w:lang w:eastAsia="zh-CN"/>
          </w:rPr>
          <w:t>(一)、建立健全的预算管理制度</w:t>
        </w:r>
        <w:r>
          <w:tab/>
        </w:r>
        <w:r>
          <w:fldChar w:fldCharType="begin"/>
        </w:r>
        <w:r>
          <w:instrText xml:space="preserve"> PAGEREF _Toc6778 \h </w:instrText>
        </w:r>
        <w:r>
          <w:fldChar w:fldCharType="separate"/>
        </w:r>
        <w:r>
          <w:t>52</w:t>
        </w:r>
        <w:r>
          <w:fldChar w:fldCharType="end"/>
        </w:r>
      </w:hyperlink>
    </w:p>
    <w:p>
      <w:pPr>
        <w:pStyle w:val="TOC2"/>
        <w:tabs>
          <w:tab w:val="right" w:leader="dot" w:pos="8306"/>
        </w:tabs>
      </w:pPr>
      <w:hyperlink w:anchor="_Toc6531" w:history="1">
        <w:r>
          <w:rPr>
            <w:rFonts w:ascii="仿宋" w:eastAsia="仿宋" w:hAnsi="仿宋" w:cs="仿宋" w:hint="eastAsia"/>
            <w:lang w:eastAsia="zh-CN"/>
          </w:rPr>
          <w:t>(二)、加强资金流动监控</w:t>
        </w:r>
        <w:r>
          <w:tab/>
        </w:r>
        <w:r>
          <w:fldChar w:fldCharType="begin"/>
        </w:r>
        <w:r>
          <w:instrText xml:space="preserve"> PAGEREF _Toc6531 \h </w:instrText>
        </w:r>
        <w:r>
          <w:fldChar w:fldCharType="separate"/>
        </w:r>
        <w:r>
          <w:t>54</w:t>
        </w:r>
        <w:r>
          <w:fldChar w:fldCharType="end"/>
        </w:r>
      </w:hyperlink>
    </w:p>
    <w:p>
      <w:pPr>
        <w:pStyle w:val="TOC2"/>
        <w:tabs>
          <w:tab w:val="right" w:leader="dot" w:pos="8306"/>
        </w:tabs>
      </w:pPr>
      <w:hyperlink w:anchor="_Toc24392" w:history="1">
        <w:r>
          <w:rPr>
            <w:rFonts w:ascii="仿宋" w:eastAsia="仿宋" w:hAnsi="仿宋" w:cs="仿宋" w:hint="eastAsia"/>
            <w:lang w:eastAsia="zh-CN"/>
          </w:rPr>
          <w:t>(三)、制定完善的风险控制机制</w:t>
        </w:r>
        <w:r>
          <w:tab/>
        </w:r>
        <w:r>
          <w:fldChar w:fldCharType="begin"/>
        </w:r>
        <w:r>
          <w:instrText xml:space="preserve"> PAGEREF _Toc24392 \h </w:instrText>
        </w:r>
        <w:r>
          <w:fldChar w:fldCharType="separate"/>
        </w:r>
        <w:r>
          <w:t>55</w:t>
        </w:r>
        <w:r>
          <w:fldChar w:fldCharType="end"/>
        </w:r>
      </w:hyperlink>
    </w:p>
    <w:p>
      <w:pPr>
        <w:pStyle w:val="TOC2"/>
        <w:tabs>
          <w:tab w:val="right" w:leader="dot" w:pos="8306"/>
        </w:tabs>
      </w:pPr>
      <w:hyperlink w:anchor="_Toc4365" w:history="1">
        <w:r>
          <w:rPr>
            <w:rFonts w:ascii="仿宋" w:eastAsia="仿宋" w:hAnsi="仿宋" w:cs="仿宋" w:hint="eastAsia"/>
            <w:lang w:eastAsia="zh-CN"/>
          </w:rPr>
          <w:t>(四)、优化成本管理</w:t>
        </w:r>
        <w:r>
          <w:tab/>
        </w:r>
        <w:r>
          <w:fldChar w:fldCharType="begin"/>
        </w:r>
        <w:r>
          <w:instrText xml:space="preserve"> PAGEREF _Toc4365 \h </w:instrText>
        </w:r>
        <w:r>
          <w:fldChar w:fldCharType="separate"/>
        </w:r>
        <w:r>
          <w:t>56</w:t>
        </w:r>
        <w:r>
          <w:fldChar w:fldCharType="end"/>
        </w:r>
      </w:hyperlink>
    </w:p>
    <w:p>
      <w:pPr>
        <w:pStyle w:val="TOC1"/>
        <w:tabs>
          <w:tab w:val="right" w:leader="dot" w:pos="8306"/>
        </w:tabs>
      </w:pPr>
      <w:hyperlink w:anchor="_Toc20341" w:history="1">
        <w:r>
          <w:rPr>
            <w:rFonts w:ascii="仿宋" w:eastAsia="仿宋" w:hAnsi="仿宋" w:cs="仿宋" w:hint="eastAsia"/>
            <w:lang w:eastAsia="zh-CN"/>
          </w:rPr>
          <w:t>十二、超纯水和超纯溶剂的制备设备项目计划安排</w:t>
        </w:r>
        <w:r>
          <w:tab/>
        </w:r>
        <w:r>
          <w:fldChar w:fldCharType="begin"/>
        </w:r>
        <w:r>
          <w:instrText xml:space="preserve"> PAGEREF _Toc20341 \h </w:instrText>
        </w:r>
        <w:r>
          <w:fldChar w:fldCharType="separate"/>
        </w:r>
        <w:r>
          <w:t>58</w:t>
        </w:r>
        <w:r>
          <w:fldChar w:fldCharType="end"/>
        </w:r>
      </w:hyperlink>
    </w:p>
    <w:p>
      <w:pPr>
        <w:pStyle w:val="TOC2"/>
        <w:tabs>
          <w:tab w:val="right" w:leader="dot" w:pos="8306"/>
        </w:tabs>
      </w:pPr>
      <w:hyperlink w:anchor="_Toc16964" w:history="1">
        <w:r>
          <w:rPr>
            <w:rFonts w:ascii="仿宋" w:eastAsia="仿宋" w:hAnsi="仿宋" w:cs="仿宋" w:hint="eastAsia"/>
            <w:lang w:eastAsia="zh-CN"/>
          </w:rPr>
          <w:t>(一)、建设周期</w:t>
        </w:r>
        <w:r>
          <w:tab/>
        </w:r>
        <w:r>
          <w:fldChar w:fldCharType="begin"/>
        </w:r>
        <w:r>
          <w:instrText xml:space="preserve"> PAGEREF _Toc16964 \h </w:instrText>
        </w:r>
        <w:r>
          <w:fldChar w:fldCharType="separate"/>
        </w:r>
        <w:r>
          <w:t>58</w:t>
        </w:r>
        <w:r>
          <w:fldChar w:fldCharType="end"/>
        </w:r>
      </w:hyperlink>
    </w:p>
    <w:p>
      <w:pPr>
        <w:pStyle w:val="TOC2"/>
        <w:tabs>
          <w:tab w:val="right" w:leader="dot" w:pos="8306"/>
        </w:tabs>
      </w:pPr>
      <w:hyperlink w:anchor="_Toc9267" w:history="1">
        <w:r>
          <w:rPr>
            <w:rFonts w:ascii="仿宋" w:eastAsia="仿宋" w:hAnsi="仿宋" w:cs="仿宋" w:hint="eastAsia"/>
            <w:lang w:eastAsia="zh-CN"/>
          </w:rPr>
          <w:t>(二)、建设进度</w:t>
        </w:r>
        <w:r>
          <w:tab/>
        </w:r>
        <w:r>
          <w:fldChar w:fldCharType="begin"/>
        </w:r>
        <w:r>
          <w:instrText xml:space="preserve"> PAGEREF _Toc9267 \h </w:instrText>
        </w:r>
        <w:r>
          <w:fldChar w:fldCharType="separate"/>
        </w:r>
        <w:r>
          <w:t>59</w:t>
        </w:r>
        <w:r>
          <w:fldChar w:fldCharType="end"/>
        </w:r>
      </w:hyperlink>
    </w:p>
    <w:p>
      <w:pPr>
        <w:pStyle w:val="TOC2"/>
        <w:tabs>
          <w:tab w:val="right" w:leader="dot" w:pos="8306"/>
        </w:tabs>
      </w:pPr>
      <w:hyperlink w:anchor="_Toc16895" w:history="1">
        <w:r>
          <w:rPr>
            <w:rFonts w:ascii="仿宋" w:eastAsia="仿宋" w:hAnsi="仿宋" w:cs="仿宋" w:hint="eastAsia"/>
            <w:lang w:eastAsia="zh-CN"/>
          </w:rPr>
          <w:t>(三)、进度安排注意事项</w:t>
        </w:r>
        <w:r>
          <w:tab/>
        </w:r>
        <w:r>
          <w:fldChar w:fldCharType="begin"/>
        </w:r>
        <w:r>
          <w:instrText xml:space="preserve"> PAGEREF _Toc16895 \h </w:instrText>
        </w:r>
        <w:r>
          <w:fldChar w:fldCharType="separate"/>
        </w:r>
        <w:r>
          <w:t>60</w:t>
        </w:r>
        <w:r>
          <w:fldChar w:fldCharType="end"/>
        </w:r>
      </w:hyperlink>
    </w:p>
    <w:p>
      <w:pPr>
        <w:pStyle w:val="TOC2"/>
        <w:tabs>
          <w:tab w:val="right" w:leader="dot" w:pos="8306"/>
        </w:tabs>
      </w:pPr>
      <w:hyperlink w:anchor="_Toc1473" w:history="1">
        <w:r>
          <w:rPr>
            <w:rFonts w:ascii="仿宋" w:eastAsia="仿宋" w:hAnsi="仿宋" w:cs="仿宋" w:hint="eastAsia"/>
            <w:lang w:eastAsia="zh-CN"/>
          </w:rPr>
          <w:t>(四)、人力资源配置</w:t>
        </w:r>
        <w:r>
          <w:tab/>
        </w:r>
        <w:r>
          <w:fldChar w:fldCharType="begin"/>
        </w:r>
        <w:r>
          <w:instrText xml:space="preserve"> PAGEREF _Toc1473 \h </w:instrText>
        </w:r>
        <w:r>
          <w:fldChar w:fldCharType="separate"/>
        </w:r>
        <w:r>
          <w:t>62</w:t>
        </w:r>
        <w:r>
          <w:fldChar w:fldCharType="end"/>
        </w:r>
      </w:hyperlink>
    </w:p>
    <w:p>
      <w:pPr>
        <w:pStyle w:val="TOC1"/>
        <w:tabs>
          <w:tab w:val="right" w:leader="dot" w:pos="8306"/>
        </w:tabs>
      </w:pPr>
      <w:hyperlink w:anchor="_Toc27454" w:history="1">
        <w:r>
          <w:rPr>
            <w:rFonts w:ascii="仿宋" w:eastAsia="仿宋" w:hAnsi="仿宋" w:cs="仿宋" w:hint="eastAsia"/>
            <w:lang w:eastAsia="zh-CN"/>
          </w:rPr>
          <w:t>十三、质量管理体系</w:t>
        </w:r>
        <w:r>
          <w:tab/>
        </w:r>
        <w:r>
          <w:fldChar w:fldCharType="begin"/>
        </w:r>
        <w:r>
          <w:instrText xml:space="preserve"> PAGEREF _Toc27454 \h </w:instrText>
        </w:r>
        <w:r>
          <w:fldChar w:fldCharType="separate"/>
        </w:r>
        <w:r>
          <w:t>63</w:t>
        </w:r>
        <w:r>
          <w:fldChar w:fldCharType="end"/>
        </w:r>
      </w:hyperlink>
    </w:p>
    <w:p>
      <w:pPr>
        <w:pStyle w:val="TOC2"/>
        <w:tabs>
          <w:tab w:val="right" w:leader="dot" w:pos="8306"/>
        </w:tabs>
      </w:pPr>
      <w:hyperlink w:anchor="_Toc20459" w:history="1">
        <w:r>
          <w:rPr>
            <w:rFonts w:ascii="仿宋" w:eastAsia="仿宋" w:hAnsi="仿宋" w:cs="仿宋" w:hint="eastAsia"/>
            <w:lang w:eastAsia="zh-CN"/>
          </w:rPr>
          <w:t>(一)、质量目标与方针</w:t>
        </w:r>
        <w:r>
          <w:tab/>
        </w:r>
        <w:r>
          <w:fldChar w:fldCharType="begin"/>
        </w:r>
        <w:r>
          <w:instrText xml:space="preserve"> PAGEREF _Toc20459 \h </w:instrText>
        </w:r>
        <w:r>
          <w:fldChar w:fldCharType="separate"/>
        </w:r>
        <w:r>
          <w:t>63</w:t>
        </w:r>
        <w:r>
          <w:fldChar w:fldCharType="end"/>
        </w:r>
      </w:hyperlink>
    </w:p>
    <w:p>
      <w:pPr>
        <w:pStyle w:val="TOC2"/>
        <w:tabs>
          <w:tab w:val="right" w:leader="dot" w:pos="8306"/>
        </w:tabs>
      </w:pPr>
      <w:hyperlink w:anchor="_Toc11296" w:history="1">
        <w:r>
          <w:rPr>
            <w:rFonts w:ascii="仿宋" w:eastAsia="仿宋" w:hAnsi="仿宋" w:cs="仿宋" w:hint="eastAsia"/>
            <w:lang w:eastAsia="zh-CN"/>
          </w:rPr>
          <w:t>(二)、质量管理责任</w:t>
        </w:r>
        <w:r>
          <w:tab/>
        </w:r>
        <w:r>
          <w:fldChar w:fldCharType="begin"/>
        </w:r>
        <w:r>
          <w:instrText xml:space="preserve"> PAGEREF _Toc11296 \h </w:instrText>
        </w:r>
        <w:r>
          <w:fldChar w:fldCharType="separate"/>
        </w:r>
        <w:r>
          <w:t>64</w:t>
        </w:r>
        <w:r>
          <w:fldChar w:fldCharType="end"/>
        </w:r>
      </w:hyperlink>
    </w:p>
    <w:p>
      <w:pPr>
        <w:pStyle w:val="TOC2"/>
        <w:tabs>
          <w:tab w:val="right" w:leader="dot" w:pos="8306"/>
        </w:tabs>
      </w:pPr>
      <w:hyperlink w:anchor="_Toc23486" w:history="1">
        <w:r>
          <w:rPr>
            <w:rFonts w:ascii="仿宋" w:eastAsia="仿宋" w:hAnsi="仿宋" w:cs="仿宋" w:hint="eastAsia"/>
            <w:lang w:eastAsia="zh-CN"/>
          </w:rPr>
          <w:t>(三)、质量管理体系文件</w:t>
        </w:r>
        <w:r>
          <w:tab/>
        </w:r>
        <w:r>
          <w:fldChar w:fldCharType="begin"/>
        </w:r>
        <w:r>
          <w:instrText xml:space="preserve"> PAGEREF _Toc23486 \h </w:instrText>
        </w:r>
        <w:r>
          <w:fldChar w:fldCharType="separate"/>
        </w:r>
        <w:r>
          <w:t>65</w:t>
        </w:r>
        <w:r>
          <w:fldChar w:fldCharType="end"/>
        </w:r>
      </w:hyperlink>
    </w:p>
    <w:p>
      <w:pPr>
        <w:pStyle w:val="TOC2"/>
        <w:tabs>
          <w:tab w:val="right" w:leader="dot" w:pos="8306"/>
        </w:tabs>
      </w:pPr>
      <w:hyperlink w:anchor="_Toc5986" w:history="1">
        <w:r>
          <w:rPr>
            <w:rFonts w:ascii="仿宋" w:eastAsia="仿宋" w:hAnsi="仿宋" w:cs="仿宋" w:hint="eastAsia"/>
            <w:lang w:eastAsia="zh-CN"/>
          </w:rPr>
          <w:t>(四)、质量培训与教育</w:t>
        </w:r>
        <w:r>
          <w:tab/>
        </w:r>
        <w:r>
          <w:fldChar w:fldCharType="begin"/>
        </w:r>
        <w:r>
          <w:instrText xml:space="preserve"> PAGEREF _Toc5986 \h </w:instrText>
        </w:r>
        <w:r>
          <w:fldChar w:fldCharType="separate"/>
        </w:r>
        <w:r>
          <w:t>67</w:t>
        </w:r>
        <w:r>
          <w:fldChar w:fldCharType="end"/>
        </w:r>
      </w:hyperlink>
    </w:p>
    <w:p>
      <w:pPr>
        <w:pStyle w:val="TOC2"/>
        <w:tabs>
          <w:tab w:val="right" w:leader="dot" w:pos="8306"/>
        </w:tabs>
      </w:pPr>
      <w:hyperlink w:anchor="_Toc32626" w:history="1">
        <w:r>
          <w:rPr>
            <w:rFonts w:ascii="仿宋" w:eastAsia="仿宋" w:hAnsi="仿宋" w:cs="仿宋" w:hint="eastAsia"/>
            <w:lang w:eastAsia="zh-CN"/>
          </w:rPr>
          <w:t>(五)、质量审核与评价</w:t>
        </w:r>
        <w:r>
          <w:tab/>
        </w:r>
        <w:r>
          <w:fldChar w:fldCharType="begin"/>
        </w:r>
        <w:r>
          <w:instrText xml:space="preserve"> PAGEREF _Toc32626 \h </w:instrText>
        </w:r>
        <w:r>
          <w:fldChar w:fldCharType="separate"/>
        </w:r>
        <w:r>
          <w:t>69</w:t>
        </w:r>
        <w:r>
          <w:fldChar w:fldCharType="end"/>
        </w:r>
      </w:hyperlink>
    </w:p>
    <w:p>
      <w:pPr>
        <w:pStyle w:val="TOC2"/>
        <w:tabs>
          <w:tab w:val="right" w:leader="dot" w:pos="8306"/>
        </w:tabs>
      </w:pPr>
      <w:hyperlink w:anchor="_Toc18171" w:history="1">
        <w:r>
          <w:rPr>
            <w:rFonts w:ascii="仿宋" w:eastAsia="仿宋" w:hAnsi="仿宋" w:cs="仿宋" w:hint="eastAsia"/>
            <w:lang w:eastAsia="zh-CN"/>
          </w:rPr>
          <w:t>(六)、不符合与纠正措施</w:t>
        </w:r>
        <w:r>
          <w:tab/>
        </w:r>
        <w:r>
          <w:fldChar w:fldCharType="begin"/>
        </w:r>
        <w:r>
          <w:instrText xml:space="preserve"> PAGEREF _Toc18171 \h </w:instrText>
        </w:r>
        <w:r>
          <w:fldChar w:fldCharType="separate"/>
        </w:r>
        <w:r>
          <w:t>70</w:t>
        </w:r>
        <w:r>
          <w:fldChar w:fldCharType="end"/>
        </w:r>
      </w:hyperlink>
    </w:p>
    <w:p>
      <w:pPr>
        <w:pStyle w:val="TOC1"/>
        <w:tabs>
          <w:tab w:val="right" w:leader="dot" w:pos="8306"/>
        </w:tabs>
      </w:pPr>
      <w:hyperlink w:anchor="_Toc16162" w:history="1">
        <w:r>
          <w:rPr>
            <w:rFonts w:ascii="仿宋" w:eastAsia="仿宋" w:hAnsi="仿宋" w:cs="仿宋" w:hint="eastAsia"/>
            <w:lang w:eastAsia="zh-CN"/>
          </w:rPr>
          <w:t>十四、营销与推广策略</w:t>
        </w:r>
        <w:r>
          <w:tab/>
        </w:r>
        <w:r>
          <w:fldChar w:fldCharType="begin"/>
        </w:r>
        <w:r>
          <w:instrText xml:space="preserve"> PAGEREF _Toc16162 \h </w:instrText>
        </w:r>
        <w:r>
          <w:fldChar w:fldCharType="separate"/>
        </w:r>
        <w:r>
          <w:t>71</w:t>
        </w:r>
        <w:r>
          <w:fldChar w:fldCharType="end"/>
        </w:r>
      </w:hyperlink>
    </w:p>
    <w:p>
      <w:pPr>
        <w:pStyle w:val="TOC2"/>
        <w:tabs>
          <w:tab w:val="right" w:leader="dot" w:pos="8306"/>
        </w:tabs>
      </w:pPr>
      <w:hyperlink w:anchor="_Toc16541" w:history="1">
        <w:r>
          <w:rPr>
            <w:rFonts w:ascii="仿宋" w:eastAsia="仿宋" w:hAnsi="仿宋" w:cs="仿宋" w:hint="eastAsia"/>
            <w:lang w:eastAsia="zh-CN"/>
          </w:rPr>
          <w:t>(一)、产品/服务定位与特点</w:t>
        </w:r>
        <w:r>
          <w:tab/>
        </w:r>
        <w:r>
          <w:fldChar w:fldCharType="begin"/>
        </w:r>
        <w:r>
          <w:instrText xml:space="preserve"> PAGEREF _Toc16541 \h </w:instrText>
        </w:r>
        <w:r>
          <w:fldChar w:fldCharType="separate"/>
        </w:r>
        <w:r>
          <w:t>71</w:t>
        </w:r>
        <w:r>
          <w:fldChar w:fldCharType="end"/>
        </w:r>
      </w:hyperlink>
    </w:p>
    <w:p>
      <w:pPr>
        <w:pStyle w:val="TOC2"/>
        <w:tabs>
          <w:tab w:val="right" w:leader="dot" w:pos="8306"/>
        </w:tabs>
      </w:pPr>
      <w:hyperlink w:anchor="_Toc15306" w:history="1">
        <w:r>
          <w:rPr>
            <w:rFonts w:ascii="仿宋" w:eastAsia="仿宋" w:hAnsi="仿宋" w:cs="仿宋" w:hint="eastAsia"/>
            <w:lang w:eastAsia="zh-CN"/>
          </w:rPr>
          <w:t>(二)、市场定位与竞争分析</w:t>
        </w:r>
        <w:r>
          <w:tab/>
        </w:r>
        <w:r>
          <w:fldChar w:fldCharType="begin"/>
        </w:r>
        <w:r>
          <w:instrText xml:space="preserve"> PAGEREF _Toc15306 \h </w:instrText>
        </w:r>
        <w:r>
          <w:fldChar w:fldCharType="separate"/>
        </w:r>
        <w:r>
          <w:t>72</w:t>
        </w:r>
        <w:r>
          <w:fldChar w:fldCharType="end"/>
        </w:r>
      </w:hyperlink>
    </w:p>
    <w:p>
      <w:pPr>
        <w:pStyle w:val="TOC2"/>
        <w:tabs>
          <w:tab w:val="right" w:leader="dot" w:pos="8306"/>
        </w:tabs>
      </w:pPr>
      <w:hyperlink w:anchor="_Toc21273" w:history="1">
        <w:r>
          <w:rPr>
            <w:rFonts w:ascii="仿宋" w:eastAsia="仿宋" w:hAnsi="仿宋" w:cs="仿宋" w:hint="eastAsia"/>
            <w:lang w:eastAsia="zh-CN"/>
          </w:rPr>
          <w:t>(三)、营销渠道与策略</w:t>
        </w:r>
        <w:r>
          <w:tab/>
        </w:r>
        <w:r>
          <w:fldChar w:fldCharType="begin"/>
        </w:r>
        <w:r>
          <w:instrText xml:space="preserve"> PAGEREF _Toc21273 \h </w:instrText>
        </w:r>
        <w:r>
          <w:fldChar w:fldCharType="separate"/>
        </w:r>
        <w:r>
          <w:t>74</w:t>
        </w:r>
        <w:r>
          <w:fldChar w:fldCharType="end"/>
        </w:r>
      </w:hyperlink>
    </w:p>
    <w:p>
      <w:pPr>
        <w:pStyle w:val="TOC2"/>
        <w:tabs>
          <w:tab w:val="right" w:leader="dot" w:pos="8306"/>
        </w:tabs>
      </w:pPr>
      <w:hyperlink w:anchor="_Toc7068" w:history="1">
        <w:r>
          <w:rPr>
            <w:rFonts w:ascii="仿宋" w:eastAsia="仿宋" w:hAnsi="仿宋" w:cs="仿宋" w:hint="eastAsia"/>
            <w:lang w:eastAsia="zh-CN"/>
          </w:rPr>
          <w:t>(四)、推广与宣传活动</w:t>
        </w:r>
        <w:r>
          <w:tab/>
        </w:r>
        <w:r>
          <w:fldChar w:fldCharType="begin"/>
        </w:r>
        <w:r>
          <w:instrText xml:space="preserve"> PAGEREF _Toc7068 \h </w:instrText>
        </w:r>
        <w:r>
          <w:fldChar w:fldCharType="separate"/>
        </w:r>
        <w:r>
          <w:t>75</w:t>
        </w:r>
        <w:r>
          <w:fldChar w:fldCharType="end"/>
        </w:r>
      </w:hyperlink>
    </w:p>
    <w:p>
      <w:pPr>
        <w:pStyle w:val="TOC1"/>
        <w:tabs>
          <w:tab w:val="right" w:leader="dot" w:pos="8306"/>
        </w:tabs>
      </w:pPr>
      <w:hyperlink w:anchor="_Toc23540" w:history="1">
        <w:r>
          <w:rPr>
            <w:rFonts w:ascii="仿宋" w:eastAsia="仿宋" w:hAnsi="仿宋" w:cs="仿宋" w:hint="eastAsia"/>
            <w:lang w:eastAsia="zh-CN"/>
          </w:rPr>
          <w:t>十五、超纯水和超纯溶剂的制备设备项目工程方案分析</w:t>
        </w:r>
        <w:r>
          <w:tab/>
        </w:r>
        <w:r>
          <w:fldChar w:fldCharType="begin"/>
        </w:r>
        <w:r>
          <w:instrText xml:space="preserve"> PAGEREF _Toc23540 \h </w:instrText>
        </w:r>
        <w:r>
          <w:fldChar w:fldCharType="separate"/>
        </w:r>
        <w:r>
          <w:t>80</w:t>
        </w:r>
        <w:r>
          <w:fldChar w:fldCharType="end"/>
        </w:r>
      </w:hyperlink>
    </w:p>
    <w:p>
      <w:pPr>
        <w:pStyle w:val="TOC2"/>
        <w:tabs>
          <w:tab w:val="right" w:leader="dot" w:pos="8306"/>
        </w:tabs>
      </w:pPr>
      <w:hyperlink w:anchor="_Toc15798" w:history="1">
        <w:r>
          <w:rPr>
            <w:rFonts w:ascii="仿宋" w:eastAsia="仿宋" w:hAnsi="仿宋" w:cs="仿宋" w:hint="eastAsia"/>
            <w:lang w:eastAsia="zh-CN"/>
          </w:rPr>
          <w:t>(一)、建筑工程设计原则</w:t>
        </w:r>
        <w:r>
          <w:tab/>
        </w:r>
        <w:r>
          <w:fldChar w:fldCharType="begin"/>
        </w:r>
        <w:r>
          <w:instrText xml:space="preserve"> PAGEREF _Toc15798 \h </w:instrText>
        </w:r>
        <w:r>
          <w:fldChar w:fldCharType="separate"/>
        </w:r>
        <w:r>
          <w:t>80</w:t>
        </w:r>
        <w:r>
          <w:fldChar w:fldCharType="end"/>
        </w:r>
      </w:hyperlink>
    </w:p>
    <w:p>
      <w:pPr>
        <w:pStyle w:val="TOC2"/>
        <w:tabs>
          <w:tab w:val="right" w:leader="dot" w:pos="8306"/>
        </w:tabs>
      </w:pPr>
      <w:hyperlink w:anchor="_Toc7868" w:history="1">
        <w:r>
          <w:rPr>
            <w:rFonts w:ascii="仿宋" w:eastAsia="仿宋" w:hAnsi="仿宋" w:cs="仿宋" w:hint="eastAsia"/>
            <w:lang w:eastAsia="zh-CN"/>
          </w:rPr>
          <w:t>(二)、土建工程建设指标</w:t>
        </w:r>
        <w:r>
          <w:tab/>
        </w:r>
        <w:r>
          <w:fldChar w:fldCharType="begin"/>
        </w:r>
        <w:r>
          <w:instrText xml:space="preserve"> PAGEREF _Toc7868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8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24"/>
      <w:r>
        <w:rPr>
          <w:rFonts w:ascii="仿宋" w:eastAsia="仿宋" w:hAnsi="仿宋" w:cs="仿宋" w:hint="eastAsia"/>
          <w:lang w:eastAsia="zh-CN"/>
        </w:rPr>
        <w:t>(一)、超纯水和超纯溶剂的制备设备行业分析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行业一直以来都是市场的关注焦点。行业内的发展趋势、竞争态势以及潜在机会都对超纯水和超纯溶剂的制备设备项目的推进产生深远的影响。通过深入研究行业的整体概貌，我们将更好地理解行业的核心特征，为超纯水和超纯溶剂的制备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纯水和超纯溶剂的制备设备行业，技术一直是推动创新和发展的关键因素。我们将对当前技术趋势进行详尽分析，包括但不限于人工智能、大数据应用、先进制造技术等。这有助于超纯水和超纯溶剂的制备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纯水和超纯溶剂的制备设备项目成功的基础。我们将对主要竞争对手进行深入研究，包括其市场份额、产品特点、市场定位等。通过全面了解竞争对手的优势和劣势，超纯水和超纯溶剂的制备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073"/>
      <w:r>
        <w:rPr>
          <w:rFonts w:ascii="仿宋" w:eastAsia="仿宋" w:hAnsi="仿宋" w:cs="仿宋" w:hint="eastAsia"/>
          <w:sz w:val="28"/>
          <w:lang w:eastAsia="zh-CN"/>
        </w:rPr>
        <w:t>(二)、超纯水和超纯溶剂的制备设备市场分析预测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纯水和超纯溶剂的制备设备市场未来的增长趋势。这包括市场的整体规模、各细分领域的发展趋势等。超纯水和超纯溶剂的制备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纯水和超纯溶剂的制备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超纯水和超纯溶剂的制备设备项目实施过程中需要充分考虑的因素。我们将对市场风险进行全面评估，包括但不限于政策法规风险、市场竞争风险、技术变革风险等。通过对潜在风险的深入分析，超纯水和超纯溶剂的制备设备项目可以制定相应的风险缓解策略，降低不确定性对超纯水和超纯溶剂的制备设备项目的影响。</w:t>
      </w:r>
    </w:p>
    <w:p>
      <w:pPr>
        <w:pStyle w:val="Heading1"/>
        <w:ind w:firstLine="560" w:firstLineChars="200"/>
        <w:rPr>
          <w:rFonts w:ascii="仿宋" w:eastAsia="仿宋" w:hAnsi="仿宋" w:cs="仿宋" w:hint="eastAsia"/>
          <w:sz w:val="28"/>
          <w:lang w:eastAsia="zh-CN"/>
        </w:rPr>
      </w:pPr>
      <w:bookmarkStart w:id="5" w:name="_Toc15410"/>
      <w:r>
        <w:rPr>
          <w:rFonts w:ascii="仿宋" w:eastAsia="仿宋" w:hAnsi="仿宋" w:cs="仿宋" w:hint="eastAsia"/>
          <w:sz w:val="28"/>
          <w:lang w:eastAsia="zh-CN"/>
        </w:rPr>
        <w:t>二、超纯水和超纯溶剂的制备设备项目概论</w:t>
      </w:r>
      <w:bookmarkEnd w:id="5"/>
    </w:p>
    <w:p>
      <w:pPr>
        <w:pStyle w:val="Heading2"/>
        <w:rPr>
          <w:rFonts w:ascii="仿宋" w:eastAsia="仿宋" w:hAnsi="仿宋" w:cs="仿宋" w:hint="eastAsia"/>
          <w:lang w:eastAsia="zh-CN"/>
        </w:rPr>
      </w:pPr>
      <w:bookmarkStart w:id="6" w:name="_Toc30736"/>
      <w:r>
        <w:rPr>
          <w:rFonts w:ascii="仿宋" w:eastAsia="仿宋" w:hAnsi="仿宋" w:cs="仿宋" w:hint="eastAsia"/>
          <w:lang w:eastAsia="zh-CN"/>
        </w:rPr>
        <w:t>(一)、超纯水和超纯溶剂的制备设备项目概况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起源追溯至对市场的深入洞察。市场的不断演变与变革为超纯水和超纯溶剂的制备设备项目提供了难得的机遇。当前市场存在的需求缺口和变革的大环境共同构成了超纯水和超纯溶剂的制备设备项目的背景。这个超纯水和超纯溶剂的制备设备项目旨在充分利用市场机遇，填补行业中尚未满足的需求，为客户提供全新的解决方案。市场的变革和需求的增长使得这个超纯水和超纯溶剂的制备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超纯水和超纯溶剂的制备设备项目名称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正式命名为超纯水和超纯溶剂的制备设备。这个名称不仅仅是一个标识，更代表了超纯水和超纯溶剂的制备设备项目的核心理念和愿景。它蕴含着超纯水和超纯溶剂的制备设备项目所要解决问题的关键字，具有强烈的表达和辨识度，为超纯水和超纯溶剂的制备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超纯水和超纯溶剂的制备设备项目目标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核心目标是提供一种全新、高效的解决方案，满足客户日益增长的需求。超纯水和超纯溶剂的制备设备项目追求的不仅仅是满足市场需求，更是在市场中获得卓越的竞争优势。通过不断提升产品或服务的质量和创新水平，超纯水和超纯溶剂的制备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超纯水和超纯溶剂的制备设备项目范围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全面涵盖了产品研发、制造、市场推广和售后服务，确保从产品设计到最终用户体验的全方位关注。这一全面的超纯水和超纯溶剂的制备设备项目范围是为了确保超纯水和超纯溶剂的制备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超纯水和超纯溶剂的制备设备项目时间表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计划在未来18个月内完成，包括研发、测试、市场试点和正式推出等不同阶段。这个时间表的合理设计是为了确保超纯水和超纯溶剂的制备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超纯水和超纯溶剂的制备设备项目预算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总预算估算为XX百万美元，主要分配在研发、市场推广、人员培训和运营等方面。这一充足的预算为超纯水和超纯溶剂的制备设备项目提供了充足的资源，确保超纯水和超纯溶剂的制备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超纯水和超纯溶剂的制备设备项目风险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可能面临的风险包括市场接受度低、技术难题、竞争激烈等。超纯水和超纯溶剂的制备设备项目团队已经制定了相应的风险应对计划，通过前瞻性的风险管理，确保超纯水和超纯溶剂的制备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超纯水和超纯溶剂的制备设备项目团队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汇聚了一支经验丰富、多领域专业素养的核心团队，确保超纯水和超纯溶剂的制备设备项目在各个方面都能拥有高水平的执行力。团队的协同作战是超纯水和超纯溶剂的制备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超纯水和超纯溶剂的制备设备项目背景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超纯水和超纯溶剂的制备设备项目的背景根植于市场对更高效、创新产品的渴望，同时也受到科技发展对行业格局的深刻改变的影响。这为超纯水和超纯溶剂的制备设备项目提供了广阔的发展空间和市场需求。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超纯水和超纯溶剂的制备设备项目现状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截至目前，超纯水和超纯溶剂的制备设备项目已完成市场调研和技术验证，取得了初步的成功。这为超纯水和超纯溶剂的制备设备项目在未来的发展奠定了坚实的基础，为更远大的目标打下了坚实的基石。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253"/>
      <w:r>
        <w:rPr>
          <w:rFonts w:ascii="仿宋" w:eastAsia="仿宋" w:hAnsi="仿宋" w:cs="仿宋" w:hint="eastAsia"/>
          <w:sz w:val="28"/>
          <w:lang w:eastAsia="zh-CN"/>
        </w:rPr>
        <w:t>(二)、超纯水和超纯溶剂的制备设备项目目标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超纯水和超纯溶剂的制备设备项目首要业务目标是在市场中占据有利地位，实现产品/服务的成功推广和销售。通过不断提升产品质量、创新性，超纯水和超纯溶剂的制备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超纯水和超纯溶剂的制备设备项目着眼于技术创新。通过持续的研发和技术升级，超纯水和超纯溶剂的制备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超纯水和超纯溶剂的制备设备项目设定了客户满意度目标。通过提供卓越的产品质量和优质的客户服务，超纯水和超纯溶剂的制备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注重社会责任和可持续发展。通过实施环保、社会责任超纯水和超纯溶剂的制备设备项目，超纯水和超纯溶剂的制备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团队是实现目标的核心驱动力。因此，超纯水和超纯溶剂的制备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911"/>
      <w:r>
        <w:rPr>
          <w:rFonts w:ascii="仿宋" w:eastAsia="仿宋" w:hAnsi="仿宋" w:cs="仿宋" w:hint="eastAsia"/>
          <w:sz w:val="28"/>
          <w:lang w:eastAsia="zh-CN"/>
        </w:rPr>
        <w:t>(三)、超纯水和超纯溶剂的制备设备项目提出的理由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超纯水和超纯溶剂的制备设备项目提出的理由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提出源于对市场机遇的深刻洞察。当前市场中存在的需求缺口和行业发展趋势表明，有巨大的商业机会等待被开发。通过准确捕捉市场机遇，超纯水和超纯溶剂的制备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理念基于对技术创新的信仰。通过持续的研发和技术投入，超纯水和超纯溶剂的制备设备项目有望推出更具创新性的产品或服务。在科技飞速发展的当下，超纯水和超纯溶剂的制备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提出是为了增强企业的行业竞争力。通过提升产品或服务的质量和独特性，超纯水和超纯溶剂的制备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响应了消费者需求的变化。随着社会和科技的不断发展，消费者对产品和服务的需求也在发生变化。通过深入了解并及时回应消费者的新需求，超纯水和超纯溶剂的制备设备项目将能够提供更符合市场潮流和客户期望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提出是企业战略发展规划的一部分。在面对日益激烈的市场竞争和不断变化的商业环境中，超纯水和超纯溶剂的制备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提出不仅仅是基于商业考量，还注重社会责任。通过推出环保、社会责任等方面的超纯水和超纯溶剂的制备设备项目，超纯水和超纯溶剂的制备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提出反映了对利益相关者期望的关注。包括客户、员工、投资者等利益相关者在企业发展中都有着各自的期望，超纯水和超纯溶剂的制备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522"/>
      <w:r>
        <w:rPr>
          <w:rFonts w:ascii="仿宋" w:eastAsia="仿宋" w:hAnsi="仿宋" w:cs="仿宋" w:hint="eastAsia"/>
          <w:sz w:val="28"/>
          <w:lang w:eastAsia="zh-CN"/>
        </w:rPr>
        <w:t>(四)、超纯水和超纯溶剂的制备设备项目意义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在实施超纯水和超纯溶剂的制备设备项目的过程中，我们不仅仅是在追逐商业成功，更是为企业和社会的多个层面创造了深远的意义。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的首要意义在于提升企业的市场竞争力。通过持续的创新和对产品质量的高标准要求，超纯水和超纯溶剂的制备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超纯水和超纯溶剂的制备设备项目的推进将促使行业技术水平的提升。通过引入先进技术和创新性解决方案，超纯水和超纯溶剂的制备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超纯水和超纯溶剂的制备设备项目不仅创造了大量就业机会，提高了就业水平，还注重社会责任和环保。通过参与社会公益事业和推动环保超纯水和超纯溶剂的制备设备项目，超纯水和超纯溶剂的制备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综合而言，超纯水和超纯溶剂的制备设备项目意义重大，不仅推动了企业的发展，也为行业和社会的进步贡献了积极力量。这是一个全面而深刻的影响，将在未来产生可持续的正面效应。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620"/>
      <w:r>
        <w:rPr>
          <w:rFonts w:ascii="仿宋" w:eastAsia="仿宋" w:hAnsi="仿宋" w:cs="仿宋" w:hint="eastAsia"/>
          <w:sz w:val="28"/>
          <w:lang w:eastAsia="zh-CN"/>
        </w:rPr>
        <w:t>(五)、超纯水和超纯溶剂的制备设备项目背景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在当今迅猛发展的商业环境中，超纯水和超纯溶剂的制备设备项目的动因根植于对多方面因素的审慎考量。这个超纯水和超纯溶剂的制备设备项目的提出并非孤立的决策，而是对企业所处背景深入思考的产物。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超纯水和超纯溶剂的制备设备项目背后的首要原因。科技的迅速发展和全球市场的快速变化使得企业必须灵活应对。超纯水和超纯溶剂的制备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超纯水和超纯溶剂的制备设备项目背景中不可忽视的一环。企业需要在激烈竞争中脱颖而出，为此，超纯水和超纯溶剂的制备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技术的迅速发展为企业带来了机遇与挑战。作为超纯水和超纯溶剂的制备设备项目启动的背景之一，对新兴技术的应用将有助于提升企业的技术水平，使其在不断演进的商业环境中保持竞争优势。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超纯水和超纯溶剂的制备设备项目充分融入了社会责任的理念，通过可持续经营和社会公益超纯水和超纯溶剂的制备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551"/>
      <w:r>
        <w:rPr>
          <w:rFonts w:ascii="仿宋" w:eastAsia="仿宋" w:hAnsi="仿宋" w:cs="仿宋" w:hint="eastAsia"/>
          <w:sz w:val="28"/>
          <w:lang w:eastAsia="zh-CN"/>
        </w:rPr>
        <w:t>三、超纯水和超纯溶剂的制备设备项目绩效评估</w:t>
      </w:r>
      <w:bookmarkEnd w:id="11"/>
    </w:p>
    <w:p>
      <w:pPr>
        <w:pStyle w:val="Heading2"/>
        <w:rPr>
          <w:rFonts w:ascii="仿宋" w:eastAsia="仿宋" w:hAnsi="仿宋" w:cs="仿宋" w:hint="eastAsia"/>
          <w:lang w:eastAsia="zh-CN"/>
        </w:rPr>
      </w:pPr>
      <w:bookmarkStart w:id="12" w:name="_Toc2150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超纯水和超纯溶剂的制备设备项目中，我们设计了一套全面的绩效评估指标，以确保超纯水和超纯溶剂的制备设备项目的可控和成功交付。这些指标跨足超纯水和超纯溶剂的制备设备项目目标、成本、进度和质量等多个维度，为我们提供了全面洞察超纯水和超纯溶剂的制备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目标达成率是我们关注的首要指标。我们设定了明确的目标，并通过定期监测和评估，迅速发现并应对潜在的目标偏差。这为超纯水和超纯溶剂的制备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成本绩效是另一个核心关注点。通过实际成本与预算成本的对比分析，我们深入了解成本差异的原因，及时调整资源分配，保持超纯水和超纯溶剂的制备设备项目在经济效益方面的合理水平。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纯水和超纯溶剂的制备设备项目进度作为关键的绩效指标之一，得到了精心的关注。我们制定了详细的超纯水和超纯溶剂的制备设备项目进度计划，并设立了进度符合度指标，确保实际进度与计划进度保持一致。这使我们能够快速发现和解决潜在的进度问题，保持超纯水和超纯溶剂的制备设备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超纯水和超纯溶剂的制备设备项目绩效的不可或缺的一环。我们引入了一系列的质量标准和客户满意度指标，以确保超纯水和超纯溶剂的制备设备项目交付的成果在质量上达到或超越预期水平。通过持续监测这些指标，我们努力提升超纯水和超纯溶剂的制备设备项目整体质量水平，为超纯水和超纯溶剂的制备设备项目的成功交付提供有力保障。通过这些科学且全面的绩效评估，我们能够更好地引导超纯水和超纯溶剂的制备设备项目的持续改进，确保超纯水和超纯溶剂的制备设备项目目标的顺利达成。</w:t>
      </w:r>
    </w:p>
    <w:p>
      <w:pPr>
        <w:pStyle w:val="Heading2"/>
        <w:ind w:firstLine="560" w:firstLineChars="200"/>
        <w:rPr>
          <w:rFonts w:ascii="仿宋" w:eastAsia="仿宋" w:hAnsi="仿宋" w:cs="仿宋" w:hint="eastAsia"/>
          <w:sz w:val="28"/>
          <w:lang w:eastAsia="zh-CN"/>
        </w:rPr>
      </w:pPr>
      <w:bookmarkStart w:id="13" w:name="_Toc2415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绩效评估是超纯水和超纯溶剂的制备设备项目中的关键环节，为确保超纯水和超纯溶剂的制备设备项目达到预期目标，我们采用了多层次、多维度的绩效评估方法。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纯水和超纯溶剂的制备设备项目的战略目标对齐，确保每个决策和行动都与超纯水和超纯溶剂的制备设备项目整体目标保持一致。团队会定期召开战略对齐会议，审视当前工作与超纯水和超纯溶剂的制备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纯水和超纯溶剂的制备设备项目进度、质量、成本和风险等方面。这些指标通过数据收集和分析，为超纯水和超纯溶剂的制备设备项目管理团队提供了客观的评估依据。例如，我们通过超纯水和超纯溶剂的制备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超纯水和超纯溶剂的制备设备项目内部，还考虑了超纯水和超纯溶剂的制备设备项目对外部环境的影响。我们定期进行干系人满意度调查，以了解各利益相关方对超纯水和超纯溶剂的制备设备项目的期望和满意度，并及时做出调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这种多层次、多角度的绩效评估方法，使得我们能够全面了解超纯水和超纯溶剂的制备设备项目的运行状态，及时做出调整，确保超纯水和超纯溶剂的制备设备项目在不断变化的环境中保持稳健前行。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622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纯水和超纯溶剂的制备设备项目的有效管理和不断优化，我们采用了精心设计的绩效评估周期。这个周期旨在实现灵活、实时和全面的评估，以适应超纯水和超纯溶剂的制备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纯水和超纯溶剂的制备设备项目的不同需求，分为短期、中期和长期。短期评估关注每个迭代或工作周期，以及时发现和解决当前任务中的问题。中期评估涵盖几个迭代，深入了解整体超纯水和超纯溶剂的制备设备项目的趋势和性能。长期评估则着眼于整个超纯水和超纯溶剂的制备设备项目阶段，确保超纯水和超纯溶剂的制备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超纯水和超纯溶剂的制备设备项目管理工具和协作平台，团队成员能够随时更新和分享超纯水和超纯溶剂的制备设备项目数据。这种实时性的反馈机制使我们能够及时察觉潜在问题，快速调整，保持超纯水和超纯溶剂的制备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纯水和超纯溶剂的制备设备项目的决策制定密不可分。每个周期的超纯水和超纯溶剂的制备设备项目回顾会议成为集体总结经验、识别问题深层次原因并找到创新解决方案的平台。这种定期的反思与调整机制使超纯水和超纯溶剂的制备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5349"/>
      <w:r>
        <w:rPr>
          <w:rFonts w:ascii="仿宋" w:eastAsia="仿宋" w:hAnsi="仿宋" w:cs="仿宋" w:hint="eastAsia"/>
          <w:sz w:val="28"/>
          <w:lang w:eastAsia="zh-CN"/>
        </w:rPr>
        <w:t>四、超纯水和超纯溶剂的制备设备项目建设单位说明</w:t>
      </w:r>
      <w:bookmarkEnd w:id="15"/>
    </w:p>
    <w:p>
      <w:pPr>
        <w:pStyle w:val="Heading2"/>
        <w:rPr>
          <w:rFonts w:ascii="仿宋" w:eastAsia="仿宋" w:hAnsi="仿宋" w:cs="仿宋" w:hint="eastAsia"/>
          <w:lang w:eastAsia="zh-CN"/>
        </w:rPr>
      </w:pPr>
      <w:bookmarkStart w:id="16" w:name="_Toc1652"/>
      <w:r>
        <w:rPr>
          <w:rFonts w:ascii="仿宋" w:eastAsia="仿宋" w:hAnsi="仿宋" w:cs="仿宋" w:hint="eastAsia"/>
          <w:lang w:eastAsia="zh-CN"/>
        </w:rPr>
        <w:t>(一)、超纯水和超纯溶剂的制备设备项目承办单位基本情况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https://d.book118.com/788106066052006045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超纯水和超纯溶剂的制备设备项目规划设计方案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4137C"/>
    <w:rsid w:val="32F413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606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2024-03-02T17:51:00Z</dcterms:created>
  <dcterms:modified xsi:type="dcterms:W3CDTF">2024-03-02T17:51:29Z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57D3DAE8D5674A07AFEFEBA92A99AC78_11</vt:lpwstr>
  </property>
  <property fmtid="{D5CDD505-2E9C-101B-9397-08002B2CF9AE}" pid="3" name="KSOProductBuildVer">
    <vt:lpwstr>2052-12.1.0.16388</vt:lpwstr>
  </property>
</Properties>
</file>