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1" w:line="212" w:lineRule="auto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2692385</wp:posOffset>
            </wp:positionV>
            <wp:extent cx="6153134" cy="641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876307</wp:posOffset>
            </wp:positionH>
            <wp:positionV relativeFrom="page">
              <wp:posOffset>9245600</wp:posOffset>
            </wp:positionV>
            <wp:extent cx="615313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bCs/>
          <w:spacing w:val="-29"/>
          <w:sz w:val="27"/>
          <w:szCs w:val="27"/>
        </w:rPr>
        <w:t>ICS</w:t>
      </w:r>
      <w:r>
        <w:rPr>
          <w:rFonts w:ascii="Arial" w:eastAsia="Arial" w:hAnsi="Arial" w:cs="Arial"/>
          <w:spacing w:val="1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29"/>
          <w:sz w:val="27"/>
          <w:szCs w:val="27"/>
        </w:rPr>
        <w:t>65.020</w:t>
      </w:r>
    </w:p>
    <w:p>
      <w:pPr>
        <w:spacing w:line="198" w:lineRule="auto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b/>
          <w:bCs/>
          <w:spacing w:val="-26"/>
          <w:w w:val="91"/>
          <w:sz w:val="27"/>
          <w:szCs w:val="27"/>
        </w:rPr>
        <w:t>CCS</w:t>
      </w:r>
      <w:r>
        <w:rPr>
          <w:rFonts w:ascii="Arial" w:eastAsia="Arial" w:hAnsi="Arial" w:cs="Arial"/>
          <w:spacing w:val="-2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spacing w:val="-26"/>
          <w:w w:val="91"/>
          <w:sz w:val="27"/>
          <w:szCs w:val="27"/>
        </w:rPr>
        <w:t>B</w:t>
      </w:r>
      <w:r>
        <w:rPr>
          <w:rFonts w:ascii="Arial" w:eastAsia="Arial" w:hAnsi="Arial" w:cs="Arial"/>
          <w:spacing w:val="-2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spacing w:val="-26"/>
          <w:w w:val="91"/>
          <w:sz w:val="27"/>
          <w:szCs w:val="27"/>
        </w:rPr>
        <w:t>16</w:t>
      </w:r>
    </w:p>
    <w:p>
      <w:pPr>
        <w:spacing w:before="235" w:line="188" w:lineRule="auto"/>
        <w:ind w:left="6290"/>
        <w:rPr>
          <w:rFonts w:ascii="Times New Roman" w:eastAsia="Times New Roman" w:hAnsi="Times New Roman" w:cs="Times New Roman"/>
          <w:sz w:val="66"/>
          <w:szCs w:val="66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DB</w:t>
      </w:r>
      <w:r>
        <w:rPr>
          <w:rFonts w:ascii="Times New Roman" w:eastAsia="Times New Roman" w:hAnsi="Times New Roman" w:cs="Times New Roman"/>
          <w:spacing w:val="15"/>
          <w:sz w:val="66"/>
          <w:szCs w:val="66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6"/>
          <w:sz w:val="66"/>
          <w:szCs w:val="66"/>
        </w:rPr>
        <w:t>62</w:t>
      </w:r>
    </w:p>
    <w:p>
      <w:pPr>
        <w:spacing w:before="355" w:line="221" w:lineRule="auto"/>
        <w:ind w:left="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甘</w:t>
      </w:r>
      <w:r>
        <w:rPr>
          <w:rFonts w:ascii="SimHei" w:eastAsia="SimHei" w:hAnsi="SimHei" w:cs="SimHei"/>
          <w:spacing w:val="5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肃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省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地</w:t>
      </w:r>
      <w:r>
        <w:rPr>
          <w:rFonts w:ascii="SimHei" w:eastAsia="SimHei" w:hAnsi="SimHei" w:cs="SimHei"/>
          <w:spacing w:val="13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方</w:t>
      </w:r>
      <w:r>
        <w:rPr>
          <w:rFonts w:ascii="SimHei" w:eastAsia="SimHei" w:hAnsi="SimHei" w:cs="SimHei"/>
          <w:spacing w:val="7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标</w:t>
      </w:r>
      <w:r>
        <w:rPr>
          <w:rFonts w:ascii="SimHei" w:eastAsia="SimHei" w:hAnsi="SimHei" w:cs="SimHei"/>
          <w:spacing w:val="15"/>
          <w:sz w:val="50"/>
          <w:szCs w:val="50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0"/>
          <w:szCs w:val="50"/>
        </w:rPr>
        <w:t>准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63" w:line="198" w:lineRule="auto"/>
        <w:ind w:right="334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pacing w:val="-2"/>
          <w:sz w:val="22"/>
          <w:szCs w:val="22"/>
        </w:rPr>
        <w:t>DB62/T</w:t>
      </w:r>
      <w:r>
        <w:rPr>
          <w:rFonts w:ascii="Arial" w:eastAsia="Arial" w:hAnsi="Arial" w:cs="Arial"/>
          <w:spacing w:val="6"/>
          <w:sz w:val="22"/>
          <w:szCs w:val="22"/>
        </w:rPr>
        <w:t xml:space="preserve">      </w:t>
      </w:r>
      <w:r>
        <w:rPr>
          <w:rFonts w:ascii="Arial" w:eastAsia="Arial" w:hAnsi="Arial" w:cs="Arial"/>
          <w:b/>
          <w:bCs/>
          <w:spacing w:val="-2"/>
          <w:sz w:val="22"/>
          <w:szCs w:val="22"/>
        </w:rPr>
        <w:t>4347—2021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62" w:line="221" w:lineRule="auto"/>
        <w:ind w:left="187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5"/>
          <w:sz w:val="50"/>
          <w:szCs w:val="50"/>
        </w:rPr>
        <w:t>白刺夜蛾综合防治技术规程</w:t>
      </w:r>
    </w:p>
    <w:p/>
    <w:p/>
    <w:p/>
    <w:p/>
    <w:p/>
    <w:p/>
    <w:p/>
    <w:p/>
    <w:p/>
    <w:p/>
    <w:p/>
    <w:p/>
    <w:p/>
    <w:p/>
    <w:p/>
    <w:p/>
    <w:p/>
    <w:p>
      <w:pPr>
        <w:sectPr>
          <w:pgSz w:w="11910" w:h="16840"/>
          <w:pgMar w:top="516" w:right="840" w:bottom="0" w:left="1319" w:header="0" w:footer="0" w:gutter="0"/>
          <w:cols w:num="1" w:space="708" w:equalWidth="0">
            <w:col w:w="9751" w:space="0"/>
          </w:cols>
        </w:sectPr>
      </w:pPr>
    </w:p>
    <w:p/>
    <w:p/>
    <w:p/>
    <w:p/>
    <w:p/>
    <w:p/>
    <w:p/>
    <w:p/>
    <w:p/>
    <w:p/>
    <w:p/>
    <w:p>
      <w:pPr>
        <w:spacing w:line="40" w:lineRule="exact"/>
      </w:pPr>
    </w:p>
    <w:p>
      <w:pPr>
        <w:sectPr>
          <w:type w:val="nextPage"/>
          <w:pgSz w:w="11910" w:h="16840"/>
          <w:pgMar w:top="516" w:right="840" w:bottom="0" w:left="1319" w:header="0" w:footer="0" w:gutter="0"/>
          <w:pgNumType w:start="2"/>
          <w:cols w:num="1" w:space="708" w:equalWidth="0">
            <w:col w:w="9751" w:space="0"/>
          </w:cols>
          <w:titlePg w:val="0"/>
        </w:sectPr>
      </w:pPr>
    </w:p>
    <w:p>
      <w:pPr>
        <w:spacing w:before="55" w:line="188" w:lineRule="auto"/>
        <w:ind w:left="1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31"/>
          <w:sz w:val="27"/>
          <w:szCs w:val="27"/>
        </w:rPr>
        <w:t>2021-08-04发布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87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29"/>
          <w:sz w:val="27"/>
          <w:szCs w:val="27"/>
        </w:rPr>
        <w:t>2021-09-04实施</w:t>
      </w:r>
    </w:p>
    <w:p>
      <w:pPr>
        <w:sectPr>
          <w:type w:val="continuous"/>
          <w:pgSz w:w="11910" w:h="16840"/>
          <w:pgMar w:top="516" w:right="840" w:bottom="0" w:left="1319" w:header="0" w:footer="0" w:gutter="0"/>
          <w:pgNumType w:start="3"/>
          <w:cols w:num="2" w:space="708" w:equalWidth="0">
            <w:col w:w="7364" w:space="100"/>
            <w:col w:w="2287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187" w:lineRule="auto"/>
        <w:ind w:left="272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4"/>
          <w:sz w:val="27"/>
          <w:szCs w:val="27"/>
        </w:rPr>
        <w:t>甘肃省市场监督管理局</w:t>
      </w:r>
      <w:r>
        <w:rPr>
          <w:rFonts w:ascii="SimHei" w:eastAsia="SimHei" w:hAnsi="SimHei" w:cs="SimHei"/>
          <w:spacing w:val="3"/>
          <w:sz w:val="27"/>
          <w:szCs w:val="27"/>
        </w:rPr>
        <w:t xml:space="preserve">    </w:t>
      </w:r>
      <w:r>
        <w:rPr>
          <w:rFonts w:ascii="SimHei" w:eastAsia="SimHei" w:hAnsi="SimHei" w:cs="SimHei"/>
          <w:b/>
          <w:bCs/>
          <w:spacing w:val="4"/>
          <w:sz w:val="27"/>
          <w:szCs w:val="27"/>
        </w:rPr>
        <w:t>发</w:t>
      </w:r>
      <w:r>
        <w:rPr>
          <w:rFonts w:ascii="SimHei" w:eastAsia="SimHei" w:hAnsi="SimHei" w:cs="SimHei"/>
          <w:spacing w:val="86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7"/>
          <w:szCs w:val="27"/>
        </w:rPr>
        <w:t>布</w:t>
      </w:r>
    </w:p>
    <w:p>
      <w:pPr>
        <w:sectPr>
          <w:type w:val="continuous"/>
          <w:pgSz w:w="11910" w:h="16840"/>
          <w:pgMar w:top="516" w:right="840" w:bottom="0" w:left="1319" w:header="0" w:footer="0" w:gutter="0"/>
          <w:pgNumType w:start="4"/>
          <w:cols w:num="1" w:space="708" w:equalWidth="0">
            <w:col w:w="9751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pgSz w:w="11910" w:h="16840"/>
          <w:pgMar w:top="0" w:right="0" w:bottom="0" w:left="0" w:header="0" w:footer="0" w:gutter="0"/>
          <w:pgNumType w:start="5"/>
          <w:cols w:space="708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8" w:line="224" w:lineRule="auto"/>
        <w:ind w:right="3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DB62/T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4347—2021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4" w:line="222" w:lineRule="auto"/>
        <w:ind w:left="408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目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  </w:t>
      </w:r>
      <w:r>
        <w:rPr>
          <w:rFonts w:ascii="SimHei" w:eastAsia="SimHei" w:hAnsi="SimHei" w:cs="SimHei"/>
          <w:b/>
          <w:bCs/>
          <w:spacing w:val="-30"/>
          <w:sz w:val="32"/>
          <w:szCs w:val="32"/>
        </w:rPr>
        <w:t>次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34802226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340"/>
            </w:tabs>
            <w:spacing w:before="6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340"/>
            </w:tabs>
            <w:spacing w:before="13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40"/>
            </w:tabs>
            <w:spacing w:before="14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2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40"/>
            </w:tabs>
            <w:spacing w:before="15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1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7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4" w:history="1">
            <w:r>
              <w:rPr>
                <w:rFonts w:ascii="SimSun" w:eastAsia="SimSun" w:hAnsi="SimSun" w:cs="SimSun"/>
                <w:spacing w:val="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40"/>
            </w:tabs>
            <w:spacing w:before="151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1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8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>害虫调查</w:t>
          </w:r>
          <w:r>
            <w:rPr>
              <w:rFonts w:ascii="SimSun" w:eastAsia="SimSun" w:hAnsi="SimSun" w:cs="SimSun"/>
              <w:spacing w:val="-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5" w:history="1">
            <w:r>
              <w:rPr>
                <w:rFonts w:ascii="SimSun" w:eastAsia="SimSun" w:hAnsi="SimSun" w:cs="SimSun"/>
                <w:spacing w:val="1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52"/>
            </w:tabs>
            <w:spacing w:before="160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5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成灾标准划分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52"/>
            </w:tabs>
            <w:spacing w:before="13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6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防治方案编制</w:t>
          </w:r>
          <w:r>
            <w:rPr>
              <w:rFonts w:ascii="SimSun" w:eastAsia="SimSun" w:hAnsi="SimSun" w:cs="SimSun"/>
              <w:spacing w:val="-5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357"/>
            </w:tabs>
            <w:spacing w:before="15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防治技术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352"/>
            </w:tabs>
            <w:spacing w:before="149" w:line="218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8</w:t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防治效果评价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355"/>
            </w:tabs>
            <w:spacing w:before="154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z w:val="21"/>
              <w:szCs w:val="21"/>
            </w:rPr>
            <w:t>9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z w:val="21"/>
              <w:szCs w:val="21"/>
            </w:rPr>
            <w:t>建立技术档案</w:t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350"/>
            </w:tabs>
            <w:spacing w:before="15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附录A(资料性)白刺夜蛾生活史</w:t>
          </w:r>
          <w:r>
            <w:rPr>
              <w:rFonts w:ascii="SimSun" w:eastAsia="SimSun" w:hAnsi="SimSun" w:cs="SimSun"/>
              <w:spacing w:val="-3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355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附录B(规范性)白刺夜蛾害虫调查记录</w:t>
          </w:r>
          <w:r>
            <w:rPr>
              <w:rFonts w:ascii="SimSun" w:eastAsia="SimSun" w:hAnsi="SimSun" w:cs="SimSun"/>
              <w:spacing w:val="-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335"/>
            </w:tabs>
            <w:spacing w:before="16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附录C(资料性)白刺夜蛾防治方案设计表</w:t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335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附录D(资料性)白刺夜蛾防治药剂种类表</w:t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335"/>
            </w:tabs>
            <w:spacing w:before="160" w:line="218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附录E(资料性)白刺夜蛾防治效果评价记录表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12</w:t>
            </w:r>
          </w:hyperlink>
        </w:p>
      </w:sdtContent>
    </w:sdt>
    <w:p>
      <w:pPr>
        <w:sectPr>
          <w:headerReference w:type="default" r:id="rId8"/>
          <w:footerReference w:type="default" r:id="rId9"/>
          <w:pgSz w:w="11910" w:h="16840"/>
          <w:pgMar w:top="400" w:right="1152" w:bottom="1334" w:left="1400" w:header="0" w:footer="1058" w:gutter="0"/>
          <w:pgNumType w:start="6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Times New Roman" w:eastAsia="Times New Roman" w:hAnsi="Times New Roman" w:cs="Times New Roman"/>
          <w:sz w:val="18"/>
          <w:szCs w:val="18"/>
        </w:rPr>
      </w:pPr>
      <w:bookmarkStart w:id="1" w:name="_bookmark6"/>
      <w:bookmarkEnd w:id="1"/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DB62/T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4347—2021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14" w:line="222" w:lineRule="auto"/>
        <w:ind w:left="406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前</w:t>
      </w:r>
      <w:r>
        <w:rPr>
          <w:rFonts w:ascii="SimHei" w:eastAsia="SimHei" w:hAnsi="SimHei" w:cs="SimHei"/>
          <w:spacing w:val="31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言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72" w:line="244" w:lineRule="auto"/>
        <w:ind w:right="3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本文件按照GB/T</w:t>
      </w:r>
      <w:r>
        <w:rPr>
          <w:rFonts w:ascii="SimSun" w:eastAsia="SimSun" w:hAnsi="SimSun" w:cs="SimSun"/>
          <w:spacing w:val="3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1.1—2020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《标准化工作导则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2"/>
          <w:sz w:val="22"/>
          <w:szCs w:val="22"/>
        </w:rPr>
        <w:t>第1部分：标准化文件的结构和起草规则》的规定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起草。</w:t>
      </w:r>
    </w:p>
    <w:p>
      <w:pPr>
        <w:spacing w:before="4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本文件由甘肃省林业和草原局提出、归口并监督管理。</w:t>
      </w:r>
    </w:p>
    <w:p>
      <w:pPr>
        <w:spacing w:before="40" w:line="252" w:lineRule="auto"/>
        <w:ind w:right="9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本文件起草单位：甘肃省林业科学研究院、甘肃省森林防火预警监测信息中心、甘肃省子午岭林业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管理局、甘肃民勤连古城国家级自然保护区管护中心、甘肃省小陇山林业保护中心党川林场、甘肃省定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西市巉口林场。</w:t>
      </w:r>
    </w:p>
    <w:p>
      <w:pPr>
        <w:spacing w:before="39" w:line="252" w:lineRule="auto"/>
        <w:ind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本文件主要起草人：马存世、王三英、张继强、刘海洲、刘冬皓、李振峰、胥菊艳、陈翠莲、王增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7"/>
          <w:sz w:val="22"/>
          <w:szCs w:val="22"/>
        </w:rPr>
        <w:t>辉、梁丹丹、张洋军、刘在国、武蕾、冯丽、孟瞰、高万林、张杰、李威龙、张晓丽、</w:t>
      </w:r>
      <w:r>
        <w:rPr>
          <w:rFonts w:ascii="SimSun" w:eastAsia="SimSun" w:hAnsi="SimSun" w:cs="SimSun"/>
          <w:spacing w:val="-18"/>
          <w:sz w:val="22"/>
          <w:szCs w:val="22"/>
        </w:rPr>
        <w:t>白应统、张宝芝、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王璃、张伟、高晓华、刘喜社。</w:t>
      </w:r>
    </w:p>
    <w:p>
      <w:pPr>
        <w:spacing w:before="38" w:line="250" w:lineRule="auto"/>
        <w:ind w:right="1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本文件由甘肃省林业科学研究负责解释。各单位或个人在执行本文件过程中如发现需要修改和补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充之处，请随时将意见和建议反馈至白刺夜蛾综合防治技术规程编制组(地址：甘肃省兰州市城关</w:t>
      </w:r>
      <w:r>
        <w:rPr>
          <w:rFonts w:ascii="SimSun" w:eastAsia="SimSun" w:hAnsi="SimSun" w:cs="SimSun"/>
          <w:spacing w:val="-11"/>
          <w:sz w:val="22"/>
          <w:szCs w:val="22"/>
        </w:rPr>
        <w:t>区段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家滩698号，邮政编码：730020,</w:t>
      </w:r>
      <w:r>
        <w:rPr>
          <w:rFonts w:ascii="SimSun" w:eastAsia="SimSun" w:hAnsi="SimSun" w:cs="SimSun"/>
          <w:spacing w:val="-5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E-mail:gslymcs@163.com,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联系方式：</w:t>
      </w:r>
      <w:r>
        <w:rPr>
          <w:rFonts w:ascii="SimSun" w:eastAsia="SimSun" w:hAnsi="SimSun" w:cs="SimSun"/>
          <w:spacing w:val="-3"/>
          <w:sz w:val="22"/>
          <w:szCs w:val="22"/>
        </w:rPr>
        <w:t>0391-4683575),以供今后修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订时参考。</w:t>
      </w:r>
    </w:p>
    <w:p>
      <w:pPr>
        <w:sectPr>
          <w:headerReference w:type="default" r:id="rId10"/>
          <w:footerReference w:type="default" r:id="rId11"/>
          <w:pgSz w:w="11910" w:h="16840"/>
          <w:pgMar w:top="400" w:right="1443" w:bottom="1284" w:left="1120" w:header="0" w:footer="1159" w:gutter="0"/>
          <w:pgNumType w:start="7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11"/>
        <w:jc w:val="right"/>
        <w:rPr>
          <w:rFonts w:ascii="Times New Roman" w:eastAsia="Times New Roman" w:hAnsi="Times New Roman" w:cs="Times New Roman"/>
          <w:sz w:val="20"/>
          <w:szCs w:val="20"/>
        </w:rPr>
      </w:pPr>
      <w:bookmarkStart w:id="2" w:name="_bookmark7"/>
      <w:bookmarkEnd w:id="2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4347—2021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8" w:line="221" w:lineRule="auto"/>
        <w:ind w:left="282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11"/>
          <w:sz w:val="30"/>
          <w:szCs w:val="30"/>
        </w:rPr>
        <w:t>白刺夜蛾综合防治技术规程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65" w:line="223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范围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5" w:line="261" w:lineRule="auto"/>
        <w:ind w:right="115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本文件规定了白刺夜蛾害虫的调查方法、成灾</w:t>
      </w:r>
      <w:r>
        <w:rPr>
          <w:rFonts w:ascii="SimSun" w:eastAsia="SimSun" w:hAnsi="SimSun" w:cs="SimSun"/>
          <w:spacing w:val="7"/>
          <w:sz w:val="20"/>
          <w:szCs w:val="20"/>
        </w:rPr>
        <w:t>标准划分、防治方案编制、综合防治技术及防治效果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评价等技术要求。</w:t>
      </w:r>
    </w:p>
    <w:p>
      <w:pPr>
        <w:spacing w:before="84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本文件适用于白刺夜蛾的综合防治。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规范性引用文件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66" w:line="270" w:lineRule="auto"/>
        <w:ind w:right="22" w:firstLine="41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下列文件中的内容通过文中的规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范性引</w:t>
      </w:r>
      <w:r>
        <w:rPr>
          <w:rFonts w:ascii="SimSun" w:eastAsia="SimSun" w:hAnsi="SimSun" w:cs="SimSun"/>
          <w:spacing w:val="5"/>
          <w:sz w:val="20"/>
          <w:szCs w:val="20"/>
        </w:rPr>
        <w:t>用而构</w:t>
      </w:r>
      <w:r>
        <w:rPr>
          <w:rFonts w:ascii="SimSun" w:eastAsia="SimSun" w:hAnsi="SimSun" w:cs="SimSun"/>
          <w:color w:val="F7991E"/>
          <w:spacing w:val="5"/>
          <w:sz w:val="20"/>
          <w:szCs w:val="20"/>
        </w:rPr>
        <w:t>成本文件</w:t>
      </w:r>
      <w:r>
        <w:rPr>
          <w:rFonts w:ascii="SimSun" w:eastAsia="SimSun" w:hAnsi="SimSun" w:cs="SimSun"/>
          <w:spacing w:val="5"/>
          <w:sz w:val="20"/>
          <w:szCs w:val="20"/>
        </w:rPr>
        <w:t>必不可少的条款。其中，注日期</w:t>
      </w:r>
      <w:r>
        <w:rPr>
          <w:rFonts w:ascii="SimSun" w:eastAsia="SimSun" w:hAnsi="SimSun" w:cs="SimSun"/>
          <w:spacing w:val="4"/>
          <w:sz w:val="20"/>
          <w:szCs w:val="20"/>
        </w:rPr>
        <w:t>的引用文件，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仅该日期对应的版本适用于本文件；</w:t>
      </w:r>
      <w:r>
        <w:rPr>
          <w:rFonts w:ascii="SimSun" w:eastAsia="SimSun" w:hAnsi="SimSun" w:cs="SimSun"/>
          <w:color w:val="F7991E"/>
          <w:spacing w:val="10"/>
          <w:sz w:val="20"/>
          <w:szCs w:val="20"/>
        </w:rPr>
        <w:t>不</w:t>
      </w:r>
      <w:r>
        <w:rPr>
          <w:rFonts w:ascii="SimSun" w:eastAsia="SimSun" w:hAnsi="SimSun" w:cs="SimSun"/>
          <w:color w:val="F7991E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注日期的引用</w:t>
      </w:r>
      <w:r>
        <w:rPr>
          <w:rFonts w:ascii="SimSun" w:eastAsia="SimSun" w:hAnsi="SimSun" w:cs="SimSun"/>
          <w:spacing w:val="9"/>
          <w:sz w:val="20"/>
          <w:szCs w:val="20"/>
        </w:rPr>
        <w:t>文件，其最新版本(包括所有的修改单)适用于本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文件。</w:t>
      </w:r>
    </w:p>
    <w:p>
      <w:pPr>
        <w:spacing w:before="73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/T1681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7"/>
          <w:sz w:val="20"/>
          <w:szCs w:val="20"/>
        </w:rPr>
        <w:t>林业有害生物发生</w:t>
      </w:r>
      <w:r>
        <w:rPr>
          <w:rFonts w:ascii="SimSun" w:eastAsia="SimSun" w:hAnsi="SimSun" w:cs="SimSun"/>
          <w:color w:val="F8991E"/>
          <w:spacing w:val="7"/>
          <w:sz w:val="20"/>
          <w:szCs w:val="20"/>
        </w:rPr>
        <w:t>及</w:t>
      </w:r>
      <w:r>
        <w:rPr>
          <w:rFonts w:ascii="SimSun" w:eastAsia="SimSun" w:hAnsi="SimSun" w:cs="SimSun"/>
          <w:color w:val="F8991E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成灾标准</w:t>
      </w:r>
    </w:p>
    <w:p>
      <w:pPr>
        <w:spacing w:before="72" w:line="310" w:lineRule="exact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8"/>
          <w:sz w:val="20"/>
          <w:szCs w:val="20"/>
        </w:rPr>
        <w:t>LY</w:t>
      </w:r>
      <w:r>
        <w:rPr>
          <w:rFonts w:ascii="SimSun" w:eastAsia="SimSun" w:hAnsi="SimSun" w:cs="SimSun"/>
          <w:spacing w:val="9"/>
          <w:position w:val="8"/>
          <w:sz w:val="20"/>
          <w:szCs w:val="20"/>
        </w:rPr>
        <w:t>/T</w:t>
      </w:r>
      <w:r>
        <w:rPr>
          <w:rFonts w:ascii="SimSun" w:eastAsia="SimSun" w:hAnsi="SimSun" w:cs="SimSun"/>
          <w:spacing w:val="70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8"/>
          <w:sz w:val="20"/>
          <w:szCs w:val="20"/>
        </w:rPr>
        <w:t>2516</w:t>
      </w:r>
      <w:r>
        <w:rPr>
          <w:rFonts w:ascii="SimSun" w:eastAsia="SimSun" w:hAnsi="SimSun" w:cs="SimSun"/>
          <w:spacing w:val="70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8"/>
          <w:sz w:val="20"/>
          <w:szCs w:val="20"/>
        </w:rPr>
        <w:t>林业有害生物监测预报技术规范</w:t>
      </w:r>
    </w:p>
    <w:p>
      <w:pPr>
        <w:spacing w:before="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LY</w:t>
      </w:r>
      <w:r>
        <w:rPr>
          <w:rFonts w:ascii="SimSun" w:eastAsia="SimSun" w:hAnsi="SimSun" w:cs="SimSun"/>
          <w:spacing w:val="11"/>
          <w:sz w:val="20"/>
          <w:szCs w:val="20"/>
        </w:rPr>
        <w:t>/T</w:t>
      </w:r>
      <w:r>
        <w:rPr>
          <w:rFonts w:ascii="SimSun" w:eastAsia="SimSun" w:hAnsi="SimSun" w:cs="SimSun"/>
          <w:spacing w:val="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2518</w:t>
      </w:r>
      <w:r>
        <w:rPr>
          <w:rFonts w:ascii="SimSun" w:eastAsia="SimSun" w:hAnsi="SimSun" w:cs="SimSun"/>
          <w:spacing w:val="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喷雾防治林业有害生物技术规程</w:t>
      </w:r>
    </w:p>
    <w:p>
      <w:pPr>
        <w:spacing w:before="7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LY</w:t>
      </w:r>
      <w:r>
        <w:rPr>
          <w:rFonts w:ascii="SimSun" w:eastAsia="SimSun" w:hAnsi="SimSun" w:cs="SimSun"/>
          <w:spacing w:val="6"/>
          <w:sz w:val="20"/>
          <w:szCs w:val="20"/>
        </w:rPr>
        <w:t>/T</w:t>
      </w:r>
      <w:r>
        <w:rPr>
          <w:rFonts w:ascii="SimSun" w:eastAsia="SimSun" w:hAnsi="SimSun" w:cs="SimSun"/>
          <w:spacing w:val="6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2648</w:t>
      </w:r>
      <w:r>
        <w:rPr>
          <w:rFonts w:ascii="SimSun" w:eastAsia="SimSun" w:hAnsi="SimSun" w:cs="SimSun"/>
          <w:spacing w:val="9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林用药剂安全使用准则</w:t>
      </w:r>
    </w:p>
    <w:p>
      <w:pPr>
        <w:spacing w:before="74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DB</w:t>
      </w:r>
      <w:r>
        <w:rPr>
          <w:rFonts w:ascii="SimSun" w:eastAsia="SimSun" w:hAnsi="SimSun" w:cs="SimSun"/>
          <w:spacing w:val="5"/>
          <w:sz w:val="20"/>
          <w:szCs w:val="20"/>
        </w:rPr>
        <w:t>62/T1830</w:t>
      </w:r>
      <w:r>
        <w:rPr>
          <w:rFonts w:ascii="SimSun" w:eastAsia="SimSun" w:hAnsi="SimSun" w:cs="SimSun"/>
          <w:spacing w:val="30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白刺夜蛾预测预报技术规范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3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术语和定义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65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下列术语和定义适用于本文件。</w:t>
      </w:r>
    </w:p>
    <w:p>
      <w:pPr>
        <w:spacing w:before="102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3.1</w:t>
      </w:r>
    </w:p>
    <w:p>
      <w:pPr>
        <w:spacing w:before="90" w:line="212" w:lineRule="auto"/>
        <w:ind w:lef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白刺夜蛾</w:t>
      </w:r>
      <w:r>
        <w:rPr>
          <w:rFonts w:ascii="SimHei" w:eastAsia="SimHei" w:hAnsi="SimHei" w:cs="SimHei"/>
          <w:spacing w:val="8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Leiometopon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siyridesStautinger</w:t>
      </w:r>
    </w:p>
    <w:p>
      <w:pPr>
        <w:spacing w:before="73" w:line="248" w:lineRule="auto"/>
        <w:ind w:left="139" w:firstLine="2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鳞翅目夜蛾科的一种食叶害虫，</w:t>
      </w:r>
      <w:r>
        <w:rPr>
          <w:rFonts w:ascii="SimSun" w:eastAsia="SimSun" w:hAnsi="SimSun" w:cs="SimSun"/>
          <w:color w:val="F88F26"/>
          <w:spacing w:val="7"/>
          <w:sz w:val="20"/>
          <w:szCs w:val="20"/>
        </w:rPr>
        <w:t>其</w:t>
      </w:r>
      <w:r>
        <w:rPr>
          <w:rFonts w:ascii="SimSun" w:eastAsia="SimSun" w:hAnsi="SimSun" w:cs="SimSun"/>
          <w:spacing w:val="7"/>
          <w:sz w:val="20"/>
          <w:szCs w:val="20"/>
        </w:rPr>
        <w:t>年生活史</w:t>
      </w:r>
      <w:r>
        <w:rPr>
          <w:rFonts w:ascii="SimSun" w:eastAsia="SimSun" w:hAnsi="SimSun" w:cs="SimSun"/>
          <w:color w:val="F88F26"/>
          <w:spacing w:val="7"/>
          <w:sz w:val="20"/>
          <w:szCs w:val="20"/>
        </w:rPr>
        <w:t>经历</w:t>
      </w:r>
      <w:r>
        <w:rPr>
          <w:rFonts w:ascii="SimSun" w:eastAsia="SimSun" w:hAnsi="SimSun" w:cs="SimSun"/>
          <w:spacing w:val="7"/>
          <w:sz w:val="20"/>
          <w:szCs w:val="20"/>
        </w:rPr>
        <w:t>卵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、</w:t>
      </w:r>
      <w:r>
        <w:rPr>
          <w:rFonts w:ascii="SimSun" w:eastAsia="SimSun" w:hAnsi="SimSun" w:cs="SimSun"/>
          <w:color w:val="F88F26"/>
          <w:spacing w:val="7"/>
          <w:sz w:val="20"/>
          <w:szCs w:val="20"/>
        </w:rPr>
        <w:t>幼</w:t>
      </w:r>
      <w:r>
        <w:rPr>
          <w:rFonts w:ascii="SimSun" w:eastAsia="SimSun" w:hAnsi="SimSun" w:cs="SimSun"/>
          <w:spacing w:val="7"/>
          <w:sz w:val="20"/>
          <w:szCs w:val="20"/>
        </w:rPr>
        <w:t>虫、蛹和成虫四个虫态，以幼虫取食白刺属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Nitraria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spp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.)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灌木叶片而形成危害</w:t>
      </w:r>
      <w:r>
        <w:rPr>
          <w:rFonts w:ascii="SimSun" w:eastAsia="SimSun" w:hAnsi="SimSun" w:cs="SimSun"/>
          <w:color w:val="F88F26"/>
          <w:spacing w:val="6"/>
          <w:sz w:val="20"/>
          <w:szCs w:val="20"/>
        </w:rPr>
        <w:t>。</w:t>
      </w:r>
    </w:p>
    <w:p>
      <w:pPr>
        <w:spacing w:line="323" w:lineRule="auto"/>
        <w:rPr>
          <w:rFonts w:ascii="Arial"/>
          <w:sz w:val="21"/>
        </w:rPr>
        <w:sectPr>
          <w:headerReference w:type="default" r:id="rId12"/>
          <w:footerReference w:type="default" r:id="rId13"/>
          <w:pgSz w:w="11910" w:h="16840"/>
          <w:pgMar w:top="400" w:right="1052" w:bottom="1295" w:left="1400" w:header="0" w:footer="1146" w:gutter="0"/>
          <w:pgNumType w:start="8"/>
          <w:cols w:space="708"/>
        </w:sectPr>
      </w:pPr>
    </w:p>
    <w:p>
      <w:pPr>
        <w:spacing w:before="65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4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害虫调查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66" w:line="224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4.1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生活史</w:t>
      </w:r>
    </w:p>
    <w:p>
      <w:pPr>
        <w:spacing w:before="216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白刺夜蛾年生活史见附录A。</w:t>
      </w:r>
    </w:p>
    <w:p>
      <w:pPr>
        <w:spacing w:before="238" w:line="219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4.2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线路踏查</w:t>
      </w:r>
    </w:p>
    <w:p>
      <w:pPr>
        <w:spacing w:before="236" w:line="223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4.2.1</w:t>
      </w:r>
      <w:r>
        <w:rPr>
          <w:rFonts w:ascii="SimHei" w:eastAsia="SimHei" w:hAnsi="SimHei" w:cs="SimHei"/>
          <w:spacing w:val="12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踏查时间</w:t>
      </w:r>
    </w:p>
    <w:p>
      <w:pPr>
        <w:spacing w:before="231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踏查时间选择在4月～8月。</w:t>
      </w:r>
    </w:p>
    <w:p>
      <w:pPr>
        <w:spacing w:before="208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4.2.2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z w:val="20"/>
          <w:szCs w:val="20"/>
        </w:rPr>
        <w:t>踏查方法</w:t>
      </w:r>
    </w:p>
    <w:p>
      <w:pPr>
        <w:spacing w:before="235" w:line="253" w:lineRule="auto"/>
        <w:ind w:right="86"/>
        <w:rPr>
          <w:rFonts w:ascii="SimSun" w:eastAsia="SimSun" w:hAnsi="SimSun" w:cs="SimSun"/>
          <w:sz w:val="20"/>
          <w:szCs w:val="20"/>
        </w:rPr>
      </w:pPr>
      <w:hyperlink r:id="rId14" w:history="1">
        <w:r>
          <w:rPr>
            <w:rFonts w:ascii="Times New Roman" w:eastAsia="Times New Roman" w:hAnsi="Times New Roman" w:cs="Times New Roman"/>
            <w:b/>
            <w:bCs/>
            <w:spacing w:val="10"/>
            <w:sz w:val="20"/>
            <w:szCs w:val="20"/>
          </w:rPr>
          <w:t>4.2.2.1</w:t>
        </w:r>
      </w:hyperlink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10"/>
          <w:sz w:val="20"/>
          <w:szCs w:val="20"/>
        </w:rPr>
        <w:t>在白刺夜蛾分布区，以小班为单位，在1:5000或1:10000地形图中事先规划出白刺夜蛾踏查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线路，确定出踏查线路的起点位置、终点位置及行径线路。</w:t>
      </w:r>
    </w:p>
    <w:p>
      <w:pPr>
        <w:sectPr>
          <w:headerReference w:type="default" r:id="rId15"/>
          <w:footerReference w:type="default" r:id="rId16"/>
          <w:type w:val="nextPage"/>
          <w:pgSz w:w="11910" w:h="16840"/>
          <w:pgMar w:top="400" w:right="1052" w:bottom="1295" w:left="1400" w:header="0" w:footer="1146" w:gutter="0"/>
          <w:pgNumType w:start="9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49" w:line="192" w:lineRule="auto"/>
        <w:ind w:left="30"/>
        <w:rPr>
          <w:rFonts w:ascii="Times New Roman" w:eastAsia="Times New Roman" w:hAnsi="Times New Roman" w:cs="Times New Roman"/>
          <w:sz w:val="17"/>
          <w:szCs w:val="17"/>
        </w:rPr>
      </w:pPr>
      <w:bookmarkStart w:id="3" w:name="_bookmark8"/>
      <w:bookmarkEnd w:id="3"/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DB62/T</w:t>
      </w:r>
      <w:r>
        <w:rPr>
          <w:rFonts w:ascii="Times New Roman" w:eastAsia="Times New Roman" w:hAnsi="Times New Roman" w:cs="Times New Roman"/>
          <w:spacing w:val="5"/>
          <w:sz w:val="17"/>
          <w:szCs w:val="17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4347—2021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58" w:lineRule="auto"/>
        <w:ind w:left="20" w:right="63" w:firstLine="10"/>
        <w:rPr>
          <w:rFonts w:ascii="SimSun" w:eastAsia="SimSun" w:hAnsi="SimSun" w:cs="SimSun"/>
          <w:sz w:val="21"/>
          <w:szCs w:val="21"/>
        </w:rPr>
      </w:pPr>
      <w:hyperlink r:id="rId17" w:history="1">
        <w:r>
          <w:rPr>
            <w:rFonts w:ascii="SimSun" w:eastAsia="SimSun" w:hAnsi="SimSun" w:cs="SimSun"/>
            <w:spacing w:val="5"/>
            <w:sz w:val="21"/>
            <w:szCs w:val="21"/>
          </w:rPr>
          <w:t>4.2.2.2</w:t>
        </w:r>
      </w:hyperlink>
      <w:r>
        <w:rPr>
          <w:rFonts w:ascii="SimSun" w:eastAsia="SimSun" w:hAnsi="SimSun" w:cs="SimSun"/>
          <w:spacing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踏查过程中，每隔500m～1000m</w:t>
      </w:r>
      <w:r>
        <w:rPr>
          <w:rFonts w:ascii="SimSun" w:eastAsia="SimSun" w:hAnsi="SimSun" w:cs="SimSun"/>
          <w:spacing w:val="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设置1个有代表性的观察点，调查人员用目测法观察20m~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30m</w:t>
      </w:r>
      <w:r>
        <w:rPr>
          <w:rFonts w:ascii="SimSun" w:eastAsia="SimSun" w:hAnsi="SimSun" w:cs="SimSun"/>
          <w:spacing w:val="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范围内的白刺夜蛾的越冬代蛹、成虫、卵、幼虫和蛹的数量，参照附录</w:t>
      </w:r>
      <w:r>
        <w:rPr>
          <w:rFonts w:ascii="SimSun" w:eastAsia="SimSun" w:hAnsi="SimSun" w:cs="SimSun"/>
          <w:spacing w:val="-5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B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图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B.1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格式记载相关内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容。整个踏查过程应符合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LY/T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2516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的规定。</w:t>
      </w:r>
    </w:p>
    <w:p>
      <w:pPr>
        <w:spacing w:before="59" w:line="219" w:lineRule="auto"/>
        <w:ind w:left="20"/>
        <w:rPr>
          <w:rFonts w:ascii="SimSun" w:eastAsia="SimSun" w:hAnsi="SimSun" w:cs="SimSun"/>
          <w:sz w:val="21"/>
          <w:szCs w:val="21"/>
        </w:rPr>
      </w:pPr>
      <w:hyperlink r:id="rId18" w:history="1">
        <w:r>
          <w:rPr>
            <w:rFonts w:ascii="SimSun" w:eastAsia="SimSun" w:hAnsi="SimSun" w:cs="SimSun"/>
            <w:sz w:val="21"/>
            <w:szCs w:val="21"/>
          </w:rPr>
          <w:t>4.2.2.3</w:t>
        </w:r>
      </w:hyperlink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踏查过程中，应在地形图上现地勾绘出害虫分布范围</w:t>
      </w:r>
      <w:r>
        <w:rPr>
          <w:rFonts w:ascii="SimSun" w:eastAsia="SimSun" w:hAnsi="SimSun" w:cs="SimSun"/>
          <w:spacing w:val="-1"/>
          <w:sz w:val="21"/>
          <w:szCs w:val="21"/>
        </w:rPr>
        <w:t>草图，踏查结束后绘制出调查区害虫分</w:t>
      </w:r>
    </w:p>
    <w:p>
      <w:pPr>
        <w:spacing w:before="50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布图。</w:t>
      </w:r>
    </w:p>
    <w:p>
      <w:pPr>
        <w:spacing w:before="82" w:line="219" w:lineRule="auto"/>
        <w:ind w:left="30"/>
        <w:rPr>
          <w:rFonts w:ascii="SimSun" w:eastAsia="SimSun" w:hAnsi="SimSun" w:cs="SimSun"/>
          <w:sz w:val="21"/>
          <w:szCs w:val="21"/>
        </w:rPr>
      </w:pPr>
      <w:hyperlink r:id="rId19" w:history="1">
        <w:r>
          <w:rPr>
            <w:rFonts w:ascii="SimSun" w:eastAsia="SimSun" w:hAnsi="SimSun" w:cs="SimSun"/>
            <w:spacing w:val="-1"/>
            <w:sz w:val="21"/>
            <w:szCs w:val="21"/>
          </w:rPr>
          <w:t>4.2.2.4</w:t>
        </w:r>
      </w:hyperlink>
      <w:r>
        <w:rPr>
          <w:rFonts w:ascii="SimSun" w:eastAsia="SimSun" w:hAnsi="SimSun" w:cs="SimSun"/>
          <w:spacing w:val="10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根据线路踏查结果，确定出需设标准地调查的位置和数量。</w:t>
      </w:r>
    </w:p>
    <w:p>
      <w:pPr>
        <w:spacing w:before="221" w:line="222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1"/>
          <w:sz w:val="21"/>
          <w:szCs w:val="21"/>
        </w:rPr>
        <w:t>4.3</w:t>
      </w:r>
      <w:r>
        <w:rPr>
          <w:rFonts w:ascii="SimHei" w:eastAsia="SimHei" w:hAnsi="SimHei" w:cs="SimHei"/>
          <w:spacing w:val="28"/>
          <w:sz w:val="21"/>
          <w:szCs w:val="21"/>
        </w:rPr>
        <w:t xml:space="preserve">   </w:t>
      </w:r>
      <w:r>
        <w:rPr>
          <w:rFonts w:ascii="SimHei" w:eastAsia="SimHei" w:hAnsi="SimHei" w:cs="SimHei"/>
          <w:spacing w:val="-11"/>
          <w:sz w:val="21"/>
          <w:szCs w:val="21"/>
        </w:rPr>
        <w:t>标准地调查</w:t>
      </w:r>
    </w:p>
    <w:p>
      <w:pPr>
        <w:spacing w:before="208" w:line="222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4.3.1</w:t>
      </w:r>
      <w:r>
        <w:rPr>
          <w:rFonts w:ascii="SimHei" w:eastAsia="SimHei" w:hAnsi="SimHei" w:cs="SimHei"/>
          <w:spacing w:val="48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2"/>
          <w:sz w:val="21"/>
          <w:szCs w:val="21"/>
        </w:rPr>
        <w:t>标准地数量</w:t>
      </w:r>
    </w:p>
    <w:p>
      <w:pPr>
        <w:spacing w:before="217" w:line="219" w:lineRule="auto"/>
        <w:ind w:left="20"/>
        <w:rPr>
          <w:rFonts w:ascii="SimSun" w:eastAsia="SimSun" w:hAnsi="SimSun" w:cs="SimSun"/>
          <w:sz w:val="21"/>
          <w:szCs w:val="21"/>
        </w:rPr>
      </w:pPr>
      <w:hyperlink r:id="rId20" w:history="1">
        <w:r>
          <w:rPr>
            <w:rFonts w:ascii="SimSun" w:eastAsia="SimSun" w:hAnsi="SimSun" w:cs="SimSun"/>
            <w:spacing w:val="-2"/>
            <w:sz w:val="21"/>
            <w:szCs w:val="21"/>
          </w:rPr>
          <w:t>4.3.1.1</w:t>
        </w:r>
      </w:hyperlink>
      <w:r>
        <w:rPr>
          <w:rFonts w:ascii="SimSun" w:eastAsia="SimSun" w:hAnsi="SimSun" w:cs="SimSun"/>
          <w:spacing w:val="1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发生区面积≤50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hm²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的林分，标准地数量应≥3块。</w:t>
      </w:r>
    </w:p>
    <w:p>
      <w:pPr>
        <w:spacing w:before="61" w:line="219" w:lineRule="auto"/>
        <w:rPr>
          <w:rFonts w:ascii="SimSun" w:eastAsia="SimSun" w:hAnsi="SimSun" w:cs="SimSun"/>
          <w:sz w:val="21"/>
          <w:szCs w:val="21"/>
        </w:rPr>
      </w:pPr>
      <w:hyperlink r:id="rId21" w:history="1">
        <w:r>
          <w:rPr>
            <w:rFonts w:ascii="SimSun" w:eastAsia="SimSun" w:hAnsi="SimSun" w:cs="SimSun"/>
            <w:spacing w:val="5"/>
            <w:sz w:val="21"/>
            <w:szCs w:val="21"/>
          </w:rPr>
          <w:t>4.3.1.2</w:t>
        </w:r>
      </w:hyperlink>
      <w:r>
        <w:rPr>
          <w:rFonts w:ascii="SimSun" w:eastAsia="SimSun" w:hAnsi="SimSun" w:cs="SimSun"/>
          <w:spacing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5"/>
          <w:sz w:val="21"/>
          <w:szCs w:val="21"/>
        </w:rPr>
        <w:t>发生区面积51</w:t>
      </w:r>
      <w:r>
        <w:rPr>
          <w:rFonts w:ascii="Times New Roman" w:eastAsia="Times New Roman" w:hAnsi="Times New Roman" w:cs="Times New Roman"/>
          <w:sz w:val="21"/>
          <w:szCs w:val="21"/>
        </w:rPr>
        <w:t>hm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²</w:t>
      </w:r>
      <w:r>
        <w:rPr>
          <w:rFonts w:ascii="SimSun" w:eastAsia="SimSun" w:hAnsi="SimSun" w:cs="SimSun"/>
          <w:spacing w:val="5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100</w:t>
      </w:r>
      <w:r>
        <w:rPr>
          <w:rFonts w:ascii="Times New Roman" w:eastAsia="Times New Roman" w:hAnsi="Times New Roman" w:cs="Times New Roman"/>
          <w:sz w:val="21"/>
          <w:szCs w:val="21"/>
        </w:rPr>
        <w:t>hm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²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的林分，标准地数量</w:t>
      </w:r>
      <w:r>
        <w:rPr>
          <w:rFonts w:ascii="SimSun" w:eastAsia="SimSun" w:hAnsi="SimSun" w:cs="SimSun"/>
          <w:spacing w:val="4"/>
          <w:sz w:val="21"/>
          <w:szCs w:val="21"/>
        </w:rPr>
        <w:t>应≥6块。</w:t>
      </w:r>
    </w:p>
    <w:p>
      <w:pPr>
        <w:spacing w:before="71" w:line="219" w:lineRule="auto"/>
        <w:ind w:left="30"/>
        <w:rPr>
          <w:rFonts w:ascii="SimSun" w:eastAsia="SimSun" w:hAnsi="SimSun" w:cs="SimSun"/>
          <w:sz w:val="21"/>
          <w:szCs w:val="21"/>
        </w:rPr>
      </w:pPr>
      <w:hyperlink r:id="rId22" w:history="1">
        <w:r>
          <w:rPr>
            <w:rFonts w:ascii="SimSun" w:eastAsia="SimSun" w:hAnsi="SimSun" w:cs="SimSun"/>
            <w:sz w:val="21"/>
            <w:szCs w:val="21"/>
          </w:rPr>
          <w:t>4.3.1.3</w:t>
        </w:r>
      </w:hyperlink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发生区面积≥101hm²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的林分，标准</w:t>
      </w:r>
      <w:r>
        <w:rPr>
          <w:rFonts w:ascii="SimSun" w:eastAsia="SimSun" w:hAnsi="SimSun" w:cs="SimSun"/>
          <w:spacing w:val="-1"/>
          <w:sz w:val="21"/>
          <w:szCs w:val="21"/>
        </w:rPr>
        <w:t>地数量应≥9块。</w:t>
      </w:r>
    </w:p>
    <w:p>
      <w:pPr>
        <w:spacing w:before="209" w:line="222" w:lineRule="auto"/>
        <w:ind w:left="3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4.3.2</w:t>
      </w:r>
      <w:r>
        <w:rPr>
          <w:rFonts w:ascii="SimHei" w:eastAsia="SimHei" w:hAnsi="SimHei" w:cs="SimHei"/>
          <w:spacing w:val="4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标准地面积</w:t>
      </w:r>
    </w:p>
    <w:p>
      <w:pPr>
        <w:spacing w:before="210" w:line="220" w:lineRule="auto"/>
        <w:ind w:left="10"/>
        <w:rPr>
          <w:rFonts w:ascii="SimSun" w:eastAsia="SimSun" w:hAnsi="SimSun" w:cs="SimSun"/>
          <w:sz w:val="21"/>
          <w:szCs w:val="21"/>
        </w:rPr>
      </w:pPr>
      <w:hyperlink r:id="rId23" w:history="1">
        <w:r>
          <w:rPr>
            <w:rFonts w:ascii="SimSun" w:eastAsia="SimSun" w:hAnsi="SimSun" w:cs="SimSun"/>
            <w:spacing w:val="4"/>
            <w:sz w:val="21"/>
            <w:szCs w:val="21"/>
          </w:rPr>
          <w:t>4.3.2.1</w:t>
        </w:r>
      </w:hyperlink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标准地面积应为5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m×5m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或10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m×10m</w:t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59" w:line="220" w:lineRule="auto"/>
        <w:ind w:left="20"/>
        <w:rPr>
          <w:rFonts w:ascii="SimSun" w:eastAsia="SimSun" w:hAnsi="SimSun" w:cs="SimSun"/>
          <w:sz w:val="21"/>
          <w:szCs w:val="21"/>
        </w:rPr>
      </w:pPr>
      <w:hyperlink r:id="rId24" w:history="1">
        <w:r>
          <w:rPr>
            <w:rFonts w:ascii="SimSun" w:eastAsia="SimSun" w:hAnsi="SimSun" w:cs="SimSun"/>
            <w:spacing w:val="4"/>
            <w:sz w:val="21"/>
            <w:szCs w:val="21"/>
          </w:rPr>
          <w:t>4.3.2.2</w:t>
        </w:r>
      </w:hyperlink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标准地总面积应≥害虫调查区总面积的3%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before="230" w:line="222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4.3.3</w:t>
      </w:r>
      <w:r>
        <w:rPr>
          <w:rFonts w:ascii="SimHei" w:eastAsia="SimHei" w:hAnsi="SimHei" w:cs="SimHei"/>
          <w:spacing w:val="5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调查内容</w:t>
      </w:r>
    </w:p>
    <w:p>
      <w:pPr>
        <w:spacing w:before="217" w:line="222" w:lineRule="auto"/>
        <w:ind w:left="20"/>
        <w:rPr>
          <w:rFonts w:ascii="SimHei" w:eastAsia="SimHei" w:hAnsi="SimHei" w:cs="SimHei"/>
          <w:sz w:val="21"/>
          <w:szCs w:val="21"/>
        </w:rPr>
      </w:pPr>
      <w:hyperlink r:id="rId25" w:history="1">
        <w:r>
          <w:rPr>
            <w:rFonts w:ascii="SimHei" w:eastAsia="SimHei" w:hAnsi="SimHei" w:cs="SimHei"/>
            <w:sz w:val="21"/>
            <w:szCs w:val="21"/>
          </w:rPr>
          <w:t>4.3.3.1</w:t>
        </w:r>
      </w:hyperlink>
      <w:r>
        <w:rPr>
          <w:rFonts w:ascii="SimHei" w:eastAsia="SimHei" w:hAnsi="SimHei" w:cs="SimHei"/>
          <w:spacing w:val="98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失叶率</w:t>
      </w:r>
    </w:p>
    <w:p>
      <w:pPr>
        <w:spacing w:before="196" w:line="261" w:lineRule="auto"/>
        <w:ind w:left="30" w:firstLine="43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在标准地内调查白刺总株数，然后在白刺灌丛的东、西、南、北4个方向随机选取1株代表株，分别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调查代表株上的叶片数量和害虫危害叶片的数量，计算出标准地内白刺叶片失叶率。其</w:t>
      </w:r>
      <w:r>
        <w:rPr>
          <w:rFonts w:ascii="SimSun" w:eastAsia="SimSun" w:hAnsi="SimSun" w:cs="SimSun"/>
          <w:spacing w:val="-4"/>
          <w:sz w:val="21"/>
          <w:szCs w:val="21"/>
        </w:rPr>
        <w:t>计算方式按式(1)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计算。</w:t>
      </w:r>
    </w:p>
    <w:p>
      <w:pPr>
        <w:spacing w:before="2"/>
        <w:ind w:right="10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7"/>
          <w:sz w:val="21"/>
          <w:szCs w:val="21"/>
        </w:rPr>
        <w:drawing>
          <wp:inline distT="0" distB="0" distL="0" distR="0">
            <wp:extent cx="914424" cy="20328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14424" cy="20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……………………………………………</w:t>
      </w:r>
      <w:r>
        <w:rPr>
          <w:rFonts w:ascii="SimSun" w:eastAsia="SimSun" w:hAnsi="SimSun" w:cs="SimSun"/>
          <w:spacing w:val="-5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(1)</w:t>
      </w:r>
    </w:p>
    <w:p>
      <w:pPr>
        <w:spacing w:before="140" w:line="220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59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X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叶片失叶率；</w:t>
      </w:r>
    </w:p>
    <w:p>
      <w:pPr>
        <w:spacing w:before="51" w:line="219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叶片损害数；</w:t>
      </w:r>
    </w:p>
    <w:p>
      <w:pPr>
        <w:spacing w:before="81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trike/>
          <w:spacing w:val="-8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trike/>
          <w:spacing w:val="6"/>
          <w:sz w:val="21"/>
          <w:szCs w:val="21"/>
        </w:rPr>
        <w:t xml:space="preserve">       </w:t>
      </w:r>
      <w:r>
        <w:rPr>
          <w:rFonts w:ascii="SimSun" w:eastAsia="SimSun" w:hAnsi="SimSun" w:cs="SimSun"/>
          <w:spacing w:val="-8"/>
          <w:sz w:val="21"/>
          <w:szCs w:val="21"/>
        </w:rPr>
        <w:t>调查叶片总数。</w:t>
      </w:r>
    </w:p>
    <w:p>
      <w:pPr>
        <w:spacing w:before="218" w:line="221" w:lineRule="auto"/>
        <w:ind w:left="30"/>
        <w:rPr>
          <w:rFonts w:ascii="SimHei" w:eastAsia="SimHei" w:hAnsi="SimHei" w:cs="SimHei"/>
          <w:sz w:val="21"/>
          <w:szCs w:val="21"/>
        </w:rPr>
      </w:pPr>
      <w:hyperlink r:id="rId27" w:history="1">
        <w:r>
          <w:rPr>
            <w:rFonts w:ascii="SimHei" w:eastAsia="SimHei" w:hAnsi="SimHei" w:cs="SimHei"/>
            <w:spacing w:val="-1"/>
            <w:sz w:val="21"/>
            <w:szCs w:val="21"/>
          </w:rPr>
          <w:t>4.3.3.2</w:t>
        </w:r>
      </w:hyperlink>
      <w:r>
        <w:rPr>
          <w:rFonts w:ascii="SimHei" w:eastAsia="SimHei" w:hAnsi="SimHei" w:cs="SimHei"/>
          <w:spacing w:val="9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虫口密度</w:t>
      </w:r>
    </w:p>
    <w:p>
      <w:pPr>
        <w:spacing w:before="220" w:line="246" w:lineRule="auto"/>
        <w:ind w:left="20" w:right="55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在标准地内调查白刺总数量，然后在白刺灌</w:t>
      </w:r>
      <w:r>
        <w:rPr>
          <w:rFonts w:ascii="SimSun" w:eastAsia="SimSun" w:hAnsi="SimSun" w:cs="SimSun"/>
          <w:spacing w:val="-3"/>
          <w:sz w:val="21"/>
          <w:szCs w:val="21"/>
        </w:rPr>
        <w:t>丛的东、西、南、北4个方向随机选取1个30</w:t>
      </w:r>
      <w:r>
        <w:rPr>
          <w:rFonts w:ascii="SimSun" w:eastAsia="SimSun" w:hAnsi="SimSun" w:cs="SimSun"/>
          <w:spacing w:val="-2"/>
          <w:sz w:val="21"/>
          <w:szCs w:val="21"/>
        </w:rPr>
        <w:t>cm</w:t>
      </w:r>
      <w:r>
        <w:rPr>
          <w:rFonts w:ascii="SimSun" w:eastAsia="SimSun" w:hAnsi="SimSun" w:cs="SimSun"/>
          <w:spacing w:val="-3"/>
          <w:sz w:val="21"/>
          <w:szCs w:val="21"/>
        </w:rPr>
        <w:t>×30</w:t>
      </w:r>
      <w:r>
        <w:rPr>
          <w:rFonts w:ascii="SimSun" w:eastAsia="SimSun" w:hAnsi="SimSun" w:cs="SimSun"/>
          <w:spacing w:val="-2"/>
          <w:sz w:val="21"/>
          <w:szCs w:val="21"/>
        </w:rPr>
        <w:t>cm</w:t>
      </w:r>
      <w:r>
        <w:rPr>
          <w:rFonts w:ascii="SimSun" w:eastAsia="SimSun" w:hAnsi="SimSun" w:cs="SimSun"/>
          <w:spacing w:val="-3"/>
          <w:sz w:val="21"/>
          <w:szCs w:val="21"/>
        </w:rPr>
        <w:t>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50cm×50cm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小样方，在小样方中分别调查每株白刺上白刺夜蛾数量</w:t>
      </w:r>
      <w:r>
        <w:rPr>
          <w:rFonts w:ascii="SimSun" w:eastAsia="SimSun" w:hAnsi="SimSun" w:cs="SimSun"/>
          <w:spacing w:val="-2"/>
          <w:sz w:val="21"/>
          <w:szCs w:val="21"/>
        </w:rPr>
        <w:t>，最后计算出虫口密度。</w:t>
      </w:r>
    </w:p>
    <w:sdt>
      <w:sdtPr>
        <w:rPr>
          <w:rFonts w:ascii="SimSun" w:eastAsia="SimSun" w:hAnsi="SimSun" w:cs="SimSun"/>
          <w:sz w:val="21"/>
          <w:szCs w:val="21"/>
        </w:rPr>
        <w:id w:val="79585151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spacing w:before="51" w:line="219" w:lineRule="auto"/>
            <w:ind w:left="459"/>
            <w:rPr>
              <w:rFonts w:ascii="SimSun" w:eastAsia="SimSun" w:hAnsi="SimSun" w:cs="SimSun"/>
              <w:sz w:val="21"/>
              <w:szCs w:val="21"/>
            </w:rPr>
            <w:sectPr>
              <w:headerReference w:type="default" r:id="rId28"/>
              <w:footerReference w:type="default" r:id="rId29"/>
              <w:pgSz w:w="11910" w:h="16840"/>
              <w:pgMar w:top="400" w:right="1374" w:bottom="1288" w:left="1100" w:header="0" w:footer="1149" w:gutter="0"/>
              <w:pgNumType w:start="10"/>
              <w:cols w:space="708"/>
            </w:sectPr>
          </w:pPr>
          <w:r>
            <w:rPr>
              <w:rFonts w:ascii="SimSun" w:eastAsia="SimSun" w:hAnsi="SimSun" w:cs="SimSun"/>
              <w:spacing w:val="10"/>
              <w:sz w:val="21"/>
              <w:szCs w:val="21"/>
            </w:rPr>
            <w:t>虫口密度计算方法见公式(2)。</w:t>
          </w:r>
        </w:p>
      </w:sdtContent>
    </w:sdt>
    <w:sdt>
      <w:sdtPr>
        <w:rPr>
          <w:rFonts w:ascii="SimSun" w:eastAsia="SimSun" w:hAnsi="SimSun" w:cs="SimSun"/>
          <w:sz w:val="21"/>
          <w:szCs w:val="21"/>
        </w:rPr>
        <w:id w:val="5092885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132"/>
            </w:tabs>
            <w:spacing w:before="12"/>
            <w:ind w:left="4130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position w:val="-8"/>
              <w:sz w:val="21"/>
              <w:szCs w:val="21"/>
            </w:rPr>
            <w:drawing>
              <wp:inline distT="0" distB="0" distL="0" distR="0">
                <wp:extent cx="730193" cy="209590"/>
                <wp:effectExtent l="0" t="0" r="0" b="0"/>
                <wp:docPr id="4" name="I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 4"/>
                        <pic:cNvPicPr/>
                      </pic:nvPicPr>
                      <pic:blipFill>
                        <a:blip xmlns:r="http://schemas.openxmlformats.org/officeDocument/2006/relationships" r:embed="rId3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0193" cy="2095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6"/>
              <w:sz w:val="21"/>
              <w:szCs w:val="21"/>
            </w:rPr>
            <w:t>(</w:t>
          </w:r>
          <w:hyperlink w:anchor="_bookmark14" w:history="1">
            <w:r>
              <w:rPr>
                <w:rFonts w:ascii="SimSun" w:eastAsia="SimSun" w:hAnsi="SimSun" w:cs="SimSun"/>
                <w:spacing w:val="-16"/>
                <w:sz w:val="21"/>
                <w:szCs w:val="21"/>
              </w:rPr>
              <w:t>2)</w:t>
            </w:r>
          </w:hyperlink>
        </w:p>
      </w:sdtContent>
    </w:sdt>
    <w:p>
      <w:pPr>
        <w:spacing w:before="130" w:line="220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式中：</w:t>
      </w:r>
    </w:p>
    <w:p>
      <w:pPr>
        <w:spacing w:before="46" w:line="286" w:lineRule="auto"/>
        <w:ind w:left="4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position w:val="-2"/>
          <w:sz w:val="21"/>
          <w:szCs w:val="21"/>
        </w:rPr>
        <w:t>Z</w:t>
      </w:r>
      <w:r>
        <w:rPr>
          <w:rFonts w:ascii="Times New Roman" w:eastAsia="Times New Roman" w:hAnsi="Times New Roman" w:cs="Times New Roman"/>
          <w:spacing w:val="1"/>
          <w:position w:val="-2"/>
          <w:sz w:val="21"/>
          <w:szCs w:val="21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36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虫口密度(头/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m²);</w:t>
      </w:r>
    </w:p>
    <w:p>
      <w:pPr>
        <w:spacing w:line="216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3"/>
          <w:sz w:val="21"/>
          <w:szCs w:val="21"/>
        </w:rPr>
        <w:t>N,——调查总头数(头);</w:t>
      </w:r>
    </w:p>
    <w:p>
      <w:pPr>
        <w:spacing w:before="24" w:line="212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-2"/>
          <w:sz w:val="21"/>
          <w:szCs w:val="21"/>
        </w:rPr>
        <w:t>4</w:t>
      </w:r>
      <w:r>
        <w:rPr>
          <w:rFonts w:ascii="SimSun" w:eastAsia="SimSun" w:hAnsi="SimSun" w:cs="SimSun"/>
          <w:spacing w:val="-67"/>
          <w:position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position w:val="-2"/>
          <w:sz w:val="21"/>
          <w:szCs w:val="21"/>
          <w:u w:val="single" w:color="auto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调查总面积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(m²)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230" w:line="221" w:lineRule="auto"/>
        <w:ind w:left="20"/>
        <w:rPr>
          <w:rFonts w:ascii="SimHei" w:eastAsia="SimHei" w:hAnsi="SimHei" w:cs="SimHei"/>
          <w:sz w:val="21"/>
          <w:szCs w:val="21"/>
        </w:rPr>
      </w:pPr>
      <w:hyperlink r:id="rId31" w:history="1">
        <w:r>
          <w:rPr>
            <w:rFonts w:ascii="SimHei" w:eastAsia="SimHei" w:hAnsi="SimHei" w:cs="SimHei"/>
            <w:sz w:val="21"/>
            <w:szCs w:val="21"/>
          </w:rPr>
          <w:t>4.3.3.3</w:t>
        </w:r>
      </w:hyperlink>
      <w:r>
        <w:rPr>
          <w:rFonts w:ascii="SimHei" w:eastAsia="SimHei" w:hAnsi="SimHei" w:cs="SimHei"/>
          <w:spacing w:val="109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调查方法</w:t>
      </w:r>
    </w:p>
    <w:p>
      <w:pPr>
        <w:spacing w:before="221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标准地调查方法应符合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LY/T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2516</w:t>
      </w:r>
      <w:r>
        <w:rPr>
          <w:rFonts w:ascii="SimSun" w:eastAsia="SimSun" w:hAnsi="SimSun" w:cs="SimSun"/>
          <w:spacing w:val="-2"/>
          <w:sz w:val="21"/>
          <w:szCs w:val="21"/>
        </w:rPr>
        <w:t>的规</w:t>
      </w:r>
      <w:r>
        <w:rPr>
          <w:rFonts w:ascii="SimSun" w:eastAsia="SimSun" w:hAnsi="SimSun" w:cs="SimSun"/>
          <w:spacing w:val="-3"/>
          <w:sz w:val="21"/>
          <w:szCs w:val="21"/>
        </w:rPr>
        <w:t>定。</w:t>
      </w:r>
    </w:p>
    <w:p>
      <w:pPr>
        <w:sectPr>
          <w:headerReference w:type="default" r:id="rId32"/>
          <w:footerReference w:type="default" r:id="rId33"/>
          <w:type w:val="nextPage"/>
          <w:pgSz w:w="11910" w:h="16840"/>
          <w:pgMar w:top="400" w:right="1374" w:bottom="1288" w:left="1100" w:header="0" w:footer="1149" w:gutter="0"/>
          <w:pgNumType w:start="11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ind w:right="12"/>
        <w:jc w:val="right"/>
        <w:rPr>
          <w:rFonts w:ascii="Times New Roman" w:eastAsia="Times New Roman" w:hAnsi="Times New Roman" w:cs="Times New Roman"/>
          <w:sz w:val="20"/>
          <w:szCs w:val="20"/>
        </w:rPr>
      </w:pPr>
      <w:bookmarkStart w:id="4" w:name="_bookmark9"/>
      <w:bookmarkEnd w:id="4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4347—2021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65" w:line="258" w:lineRule="auto"/>
        <w:ind w:right="18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调查过程中应在标准地现场，参照附录B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图B.2格式记载调查内容，重点调查害虫数量、害</w:t>
      </w:r>
      <w:r>
        <w:rPr>
          <w:rFonts w:ascii="SimSun" w:eastAsia="SimSun" w:hAnsi="SimSun" w:cs="SimSun"/>
          <w:spacing w:val="5"/>
          <w:sz w:val="20"/>
          <w:szCs w:val="20"/>
        </w:rPr>
        <w:t>虫危害症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状、发生原因，害虫与林分状况、天敌种类与数量等，提出害虫防治意见。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5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5</w:t>
      </w:r>
      <w:r>
        <w:rPr>
          <w:rFonts w:ascii="SimHei" w:eastAsia="SimHei" w:hAnsi="SimHei" w:cs="SimHei"/>
          <w:spacing w:val="93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成灾标准划分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65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5.1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0"/>
          <w:szCs w:val="20"/>
        </w:rPr>
        <w:t>危害程度</w:t>
      </w:r>
    </w:p>
    <w:p>
      <w:pPr>
        <w:spacing w:before="214" w:line="257" w:lineRule="auto"/>
        <w:ind w:right="21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参照</w:t>
      </w:r>
      <w:r>
        <w:rPr>
          <w:rFonts w:ascii="SimSun" w:eastAsia="SimSun" w:hAnsi="SimSun" w:cs="SimSun"/>
          <w:sz w:val="20"/>
          <w:szCs w:val="20"/>
        </w:rPr>
        <w:t>LY</w:t>
      </w:r>
      <w:r>
        <w:rPr>
          <w:rFonts w:ascii="SimSun" w:eastAsia="SimSun" w:hAnsi="SimSun" w:cs="SimSun"/>
          <w:spacing w:val="7"/>
          <w:sz w:val="20"/>
          <w:szCs w:val="20"/>
        </w:rPr>
        <w:t>/T1681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中的指标，将白刺夜蛾危害程度划分为轻度、中度</w:t>
      </w:r>
      <w:r>
        <w:rPr>
          <w:rFonts w:ascii="SimSun" w:eastAsia="SimSun" w:hAnsi="SimSun" w:cs="SimSun"/>
          <w:spacing w:val="6"/>
          <w:sz w:val="20"/>
          <w:szCs w:val="20"/>
        </w:rPr>
        <w:t>和重度3个等级，在害虫调查过程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1"/>
          <w:sz w:val="20"/>
          <w:szCs w:val="20"/>
        </w:rPr>
        <w:t>中分别用符号+、++、++十表示。见表1。</w:t>
      </w:r>
    </w:p>
    <w:p>
      <w:pPr>
        <w:spacing w:before="228" w:line="221" w:lineRule="auto"/>
        <w:ind w:left="329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表1</w:t>
      </w:r>
      <w:r>
        <w:rPr>
          <w:rFonts w:ascii="SimHei" w:eastAsia="SimHei" w:hAnsi="SimHei" w:cs="SimHei"/>
          <w:spacing w:val="95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20"/>
          <w:szCs w:val="20"/>
        </w:rPr>
        <w:t>白刺夜蛾危害程度划分表</w:t>
      </w:r>
    </w:p>
    <w:p>
      <w:pPr>
        <w:spacing w:line="172" w:lineRule="exact"/>
      </w:pPr>
    </w:p>
    <w:tbl>
      <w:tblPr>
        <w:tblStyle w:val="TableNormal0"/>
        <w:tblW w:w="931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03"/>
        <w:gridCol w:w="3026"/>
        <w:gridCol w:w="2887"/>
        <w:gridCol w:w="1703"/>
      </w:tblGrid>
      <w:tr>
        <w:tblPrEx>
          <w:tblW w:w="9319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2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220" w:lineRule="auto"/>
              <w:ind w:left="5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害程度</w:t>
            </w:r>
          </w:p>
        </w:tc>
        <w:tc>
          <w:tcPr>
            <w:tcW w:w="5913" w:type="dxa"/>
            <w:gridSpan w:val="2"/>
            <w:vAlign w:val="top"/>
          </w:tcPr>
          <w:p>
            <w:pPr>
              <w:spacing w:before="82" w:line="220" w:lineRule="auto"/>
              <w:ind w:left="2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分级标准</w:t>
            </w:r>
          </w:p>
        </w:tc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219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表示符号</w:t>
            </w:r>
          </w:p>
        </w:tc>
      </w:tr>
      <w:tr>
        <w:tblPrEx>
          <w:tblW w:w="9319" w:type="dxa"/>
          <w:tblInd w:w="20" w:type="dxa"/>
          <w:tblLayout w:type="fixed"/>
        </w:tblPrEx>
        <w:trPr>
          <w:trHeight w:val="348"/>
        </w:trPr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26" w:type="dxa"/>
            <w:vAlign w:val="top"/>
          </w:tcPr>
          <w:p>
            <w:pPr>
              <w:spacing w:before="95" w:line="224" w:lineRule="auto"/>
              <w:ind w:left="13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x/%</w:t>
            </w:r>
          </w:p>
        </w:tc>
        <w:tc>
          <w:tcPr>
            <w:tcW w:w="2887" w:type="dxa"/>
            <w:vAlign w:val="top"/>
          </w:tcPr>
          <w:p>
            <w:pPr>
              <w:spacing w:before="90" w:line="219" w:lineRule="auto"/>
              <w:ind w:left="9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z/(头/m²)</w:t>
            </w:r>
          </w:p>
        </w:tc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9" w:type="dxa"/>
          <w:tblInd w:w="20" w:type="dxa"/>
          <w:tblLayout w:type="fixed"/>
        </w:tblPrEx>
        <w:trPr>
          <w:trHeight w:val="338"/>
        </w:trPr>
        <w:tc>
          <w:tcPr>
            <w:tcW w:w="1703" w:type="dxa"/>
            <w:vAlign w:val="top"/>
          </w:tcPr>
          <w:p>
            <w:pPr>
              <w:spacing w:before="82" w:line="219" w:lineRule="auto"/>
              <w:ind w:left="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轻度</w:t>
            </w:r>
          </w:p>
        </w:tc>
        <w:tc>
          <w:tcPr>
            <w:tcW w:w="3026" w:type="dxa"/>
            <w:vAlign w:val="top"/>
          </w:tcPr>
          <w:p>
            <w:pPr>
              <w:spacing w:before="98" w:line="236" w:lineRule="auto"/>
              <w:ind w:left="13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≤10</w:t>
            </w:r>
          </w:p>
        </w:tc>
        <w:tc>
          <w:tcPr>
            <w:tcW w:w="2887" w:type="dxa"/>
            <w:vAlign w:val="top"/>
          </w:tcPr>
          <w:p>
            <w:pPr>
              <w:spacing w:before="98" w:line="236" w:lineRule="auto"/>
              <w:ind w:left="13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≤5</w:t>
            </w:r>
          </w:p>
        </w:tc>
        <w:tc>
          <w:tcPr>
            <w:tcW w:w="1703" w:type="dxa"/>
            <w:vAlign w:val="top"/>
          </w:tcPr>
          <w:p>
            <w:pPr>
              <w:spacing w:before="83" w:line="221" w:lineRule="auto"/>
              <w:ind w:left="7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十</w:t>
            </w:r>
          </w:p>
        </w:tc>
      </w:tr>
      <w:tr>
        <w:tblPrEx>
          <w:tblW w:w="9319" w:type="dxa"/>
          <w:tblInd w:w="20" w:type="dxa"/>
          <w:tblLayout w:type="fixed"/>
        </w:tblPrEx>
        <w:trPr>
          <w:trHeight w:val="328"/>
        </w:trPr>
        <w:tc>
          <w:tcPr>
            <w:tcW w:w="1703" w:type="dxa"/>
            <w:vAlign w:val="top"/>
          </w:tcPr>
          <w:p>
            <w:pPr>
              <w:spacing w:before="84" w:line="220" w:lineRule="auto"/>
              <w:ind w:left="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中度</w:t>
            </w:r>
          </w:p>
        </w:tc>
        <w:tc>
          <w:tcPr>
            <w:tcW w:w="3026" w:type="dxa"/>
            <w:vAlign w:val="top"/>
          </w:tcPr>
          <w:p>
            <w:pPr>
              <w:spacing w:before="129" w:line="184" w:lineRule="auto"/>
              <w:ind w:left="12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11～30</w:t>
            </w:r>
          </w:p>
        </w:tc>
        <w:tc>
          <w:tcPr>
            <w:tcW w:w="2887" w:type="dxa"/>
            <w:vAlign w:val="top"/>
          </w:tcPr>
          <w:p>
            <w:pPr>
              <w:spacing w:before="129" w:line="184" w:lineRule="auto"/>
              <w:ind w:left="12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6～10</w:t>
            </w:r>
          </w:p>
        </w:tc>
        <w:tc>
          <w:tcPr>
            <w:tcW w:w="1703" w:type="dxa"/>
            <w:vAlign w:val="top"/>
          </w:tcPr>
          <w:p>
            <w:pPr>
              <w:spacing w:before="102" w:line="231" w:lineRule="auto"/>
              <w:ind w:left="6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++</w:t>
            </w:r>
          </w:p>
        </w:tc>
      </w:tr>
      <w:tr>
        <w:tblPrEx>
          <w:tblW w:w="9319" w:type="dxa"/>
          <w:tblInd w:w="20" w:type="dxa"/>
          <w:tblLayout w:type="fixed"/>
        </w:tblPrEx>
        <w:trPr>
          <w:trHeight w:val="353"/>
        </w:trPr>
        <w:tc>
          <w:tcPr>
            <w:tcW w:w="1703" w:type="dxa"/>
            <w:vAlign w:val="top"/>
          </w:tcPr>
          <w:p>
            <w:pPr>
              <w:spacing w:before="96" w:line="220" w:lineRule="auto"/>
              <w:ind w:left="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重度</w:t>
            </w:r>
          </w:p>
        </w:tc>
        <w:tc>
          <w:tcPr>
            <w:tcW w:w="3026" w:type="dxa"/>
            <w:vAlign w:val="top"/>
          </w:tcPr>
          <w:p>
            <w:pPr>
              <w:spacing w:before="114" w:line="237" w:lineRule="auto"/>
              <w:ind w:left="13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≥31</w:t>
            </w:r>
          </w:p>
        </w:tc>
        <w:tc>
          <w:tcPr>
            <w:tcW w:w="2887" w:type="dxa"/>
            <w:vAlign w:val="top"/>
          </w:tcPr>
          <w:p>
            <w:pPr>
              <w:spacing w:before="114" w:line="237" w:lineRule="auto"/>
              <w:ind w:left="12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≥11</w:t>
            </w:r>
          </w:p>
        </w:tc>
        <w:tc>
          <w:tcPr>
            <w:tcW w:w="1703" w:type="dxa"/>
            <w:vAlign w:val="top"/>
          </w:tcPr>
          <w:p>
            <w:pPr>
              <w:spacing w:before="114" w:line="238" w:lineRule="exact"/>
              <w:ind w:left="5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1"/>
                <w:sz w:val="18"/>
                <w:szCs w:val="18"/>
              </w:rPr>
              <w:t>+++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66" w:line="222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5.2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成灾标准</w:t>
      </w:r>
    </w:p>
    <w:p>
      <w:pPr>
        <w:spacing w:before="203" w:line="257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2"/>
          <w:sz w:val="20"/>
          <w:szCs w:val="20"/>
        </w:rPr>
        <w:t>5.2.1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12"/>
          <w:sz w:val="20"/>
          <w:szCs w:val="20"/>
        </w:rPr>
        <w:t>根据表1的分级标准，当白刺夜蛾危害程度为轻度时，确定为未达到</w:t>
      </w:r>
      <w:r>
        <w:rPr>
          <w:rFonts w:ascii="SimSun" w:eastAsia="SimSun" w:hAnsi="SimSun" w:cs="SimSun"/>
          <w:spacing w:val="11"/>
          <w:sz w:val="20"/>
          <w:szCs w:val="20"/>
        </w:rPr>
        <w:t>成灾标准，应加强害虫预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测预报，其发生区作为害虫监测区。</w:t>
      </w:r>
    </w:p>
    <w:p>
      <w:pPr>
        <w:spacing w:before="82" w:line="258" w:lineRule="auto"/>
        <w:ind w:right="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5.2.2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当白刺夜蛾危害程度为中度和重度</w:t>
      </w:r>
      <w:r>
        <w:rPr>
          <w:rFonts w:ascii="SimSun" w:eastAsia="SimSun" w:hAnsi="SimSun" w:cs="SimSun"/>
          <w:color w:val="F7991E"/>
          <w:spacing w:val="8"/>
          <w:sz w:val="20"/>
          <w:szCs w:val="20"/>
        </w:rPr>
        <w:t>危害时</w:t>
      </w:r>
      <w:r>
        <w:rPr>
          <w:rFonts w:ascii="SimSun" w:eastAsia="SimSun" w:hAnsi="SimSun" w:cs="SimSun"/>
          <w:spacing w:val="8"/>
          <w:sz w:val="20"/>
          <w:szCs w:val="20"/>
        </w:rPr>
        <w:t>，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确</w:t>
      </w:r>
      <w:r>
        <w:rPr>
          <w:rFonts w:ascii="SimSun" w:eastAsia="SimSun" w:hAnsi="SimSun" w:cs="SimSun"/>
          <w:color w:val="F7991E"/>
          <w:spacing w:val="8"/>
          <w:sz w:val="20"/>
          <w:szCs w:val="20"/>
        </w:rPr>
        <w:t>定</w:t>
      </w:r>
      <w:r>
        <w:rPr>
          <w:rFonts w:ascii="SimSun" w:eastAsia="SimSun" w:hAnsi="SimSun" w:cs="SimSun"/>
          <w:spacing w:val="8"/>
          <w:sz w:val="20"/>
          <w:szCs w:val="20"/>
        </w:rPr>
        <w:t>为达到成灾标准，应开展害虫防治，其发生区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作为害虫防治区。</w:t>
      </w:r>
    </w:p>
    <w:p>
      <w:pPr>
        <w:spacing w:before="8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5.2.3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5"/>
          <w:sz w:val="20"/>
          <w:szCs w:val="20"/>
        </w:rPr>
        <w:t>害虫预测预报应执行</w:t>
      </w:r>
      <w:r>
        <w:rPr>
          <w:rFonts w:ascii="Times New Roman" w:eastAsia="Times New Roman" w:hAnsi="Times New Roman" w:cs="Times New Roman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62/T1830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的规定。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6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6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防治方案编制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65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6.1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方案内容</w:t>
      </w:r>
    </w:p>
    <w:p>
      <w:pPr>
        <w:spacing w:before="215"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4"/>
          <w:footerReference w:type="default" r:id="rId35"/>
          <w:pgSz w:w="11910" w:h="16840"/>
          <w:pgMar w:top="400" w:right="1141" w:bottom="1330" w:left="1400" w:header="0" w:footer="1131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>6.1.1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7"/>
          <w:sz w:val="20"/>
          <w:szCs w:val="20"/>
        </w:rPr>
        <w:t>防治方案应以防治区小班为单位进行编制。</w:t>
      </w:r>
    </w:p>
    <w:p>
      <w:pPr>
        <w:spacing w:before="8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6.1.2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4"/>
          <w:sz w:val="20"/>
          <w:szCs w:val="20"/>
        </w:rPr>
        <w:t>防治方案主要内容有：</w:t>
      </w:r>
    </w:p>
    <w:p>
      <w:pPr>
        <w:spacing w:before="63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a)</w:t>
      </w:r>
      <w:r>
        <w:rPr>
          <w:rFonts w:ascii="SimSun" w:eastAsia="SimSun" w:hAnsi="SimSun" w:cs="SimSun"/>
          <w:spacing w:val="10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白剌灌木林立地条件、灌木林生长状况、防治作业条件、水源条件、交通状况等。</w:t>
      </w:r>
    </w:p>
    <w:p>
      <w:pPr>
        <w:spacing w:before="73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b)</w:t>
      </w:r>
      <w:r>
        <w:rPr>
          <w:rFonts w:ascii="SimSun" w:eastAsia="SimSun" w:hAnsi="SimSun" w:cs="SimSun"/>
          <w:spacing w:val="10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害虫发生状况(发生面积、虫态及害虫种群数量等)、危害程度、成灾面积等。</w:t>
      </w:r>
    </w:p>
    <w:p>
      <w:pPr>
        <w:spacing w:before="72" w:line="252" w:lineRule="auto"/>
        <w:ind w:left="819" w:right="47" w:hanging="3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c)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害虫防治面积、防治方法、防治时间与次数、防治药剂与药量、防治器械、防治作业人员数量、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防治组织方式、药剂用水来源、防治经费等。</w:t>
      </w:r>
    </w:p>
    <w:p>
      <w:pPr>
        <w:spacing w:before="75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d)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明确提出防治目标、防治预期达到效果以及环境保</w:t>
      </w:r>
      <w:r>
        <w:rPr>
          <w:rFonts w:ascii="SimSun" w:eastAsia="SimSun" w:hAnsi="SimSun" w:cs="SimSun"/>
          <w:spacing w:val="8"/>
          <w:sz w:val="20"/>
          <w:szCs w:val="20"/>
        </w:rPr>
        <w:t>护措施。</w:t>
      </w:r>
    </w:p>
    <w:p>
      <w:pPr>
        <w:spacing w:before="7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e)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1"/>
          <w:sz w:val="20"/>
          <w:szCs w:val="20"/>
        </w:rPr>
        <w:t>绘制害虫分布图、害虫防治作业区布局图，并符合本文件</w:t>
      </w:r>
      <w:r>
        <w:rPr>
          <w:rFonts w:ascii="SimSun" w:eastAsia="SimSun" w:hAnsi="SimSun" w:cs="SimSun"/>
          <w:spacing w:val="10"/>
          <w:sz w:val="20"/>
          <w:szCs w:val="20"/>
        </w:rPr>
        <w:t>6.2的要求。</w:t>
      </w:r>
    </w:p>
    <w:p>
      <w:pPr>
        <w:spacing w:before="9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>6.1.3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7"/>
          <w:sz w:val="20"/>
          <w:szCs w:val="20"/>
        </w:rPr>
        <w:t>在防治区内应设置防治观察样地和防治对照样地。</w:t>
      </w:r>
    </w:p>
    <w:p>
      <w:pPr>
        <w:spacing w:before="6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a)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0"/>
          <w:sz w:val="20"/>
          <w:szCs w:val="20"/>
        </w:rPr>
        <w:t>防治观察样地和防治对照样地设置及数量要求应符合本</w:t>
      </w:r>
      <w:r>
        <w:rPr>
          <w:rFonts w:ascii="SimSun" w:eastAsia="SimSun" w:hAnsi="SimSun" w:cs="SimSun"/>
          <w:spacing w:val="9"/>
          <w:sz w:val="20"/>
          <w:szCs w:val="20"/>
        </w:rPr>
        <w:t>文件4.3的规定。</w:t>
      </w:r>
    </w:p>
    <w:p>
      <w:pPr>
        <w:spacing w:before="85" w:line="220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b)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防治对照区不进行防治，用于调查防治效果。</w:t>
      </w:r>
    </w:p>
    <w:p>
      <w:pPr>
        <w:spacing w:before="70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6.1.4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4"/>
          <w:sz w:val="20"/>
          <w:szCs w:val="20"/>
        </w:rPr>
        <w:t>药剂安全应执行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/T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2648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的规</w:t>
      </w:r>
      <w:r>
        <w:rPr>
          <w:rFonts w:ascii="SimSun" w:eastAsia="SimSun" w:hAnsi="SimSun" w:cs="SimSun"/>
          <w:spacing w:val="3"/>
          <w:sz w:val="20"/>
          <w:szCs w:val="20"/>
        </w:rPr>
        <w:t>定。</w:t>
      </w:r>
    </w:p>
    <w:p>
      <w:pPr>
        <w:spacing w:before="9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6.1.5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5"/>
          <w:sz w:val="20"/>
          <w:szCs w:val="20"/>
        </w:rPr>
        <w:t>药剂选择原则如下：</w:t>
      </w:r>
    </w:p>
    <w:p>
      <w:pPr>
        <w:sectPr>
          <w:headerReference w:type="default" r:id="rId36"/>
          <w:footerReference w:type="default" r:id="rId37"/>
          <w:type w:val="nextPage"/>
          <w:pgSz w:w="11910" w:h="16840"/>
          <w:pgMar w:top="400" w:right="1141" w:bottom="1330" w:left="1400" w:header="0" w:footer="1131" w:gutter="0"/>
          <w:pgNumType w:start="13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57" w:line="188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5" w:name="_bookmark10"/>
      <w:bookmarkEnd w:id="5"/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DB62/T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4347—2021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tabs>
          <w:tab w:val="left" w:pos="870"/>
        </w:tabs>
        <w:spacing w:before="65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应优先选用生物制剂及高效、低毒、低残留药剂。</w:t>
      </w:r>
    </w:p>
    <w:p>
      <w:pPr>
        <w:tabs>
          <w:tab w:val="left" w:pos="870"/>
        </w:tabs>
        <w:spacing w:before="73" w:line="286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应选择水剂、水分散粒剂、微乳剂、微胶囊悬浮剂等环保剂型产品。</w:t>
      </w:r>
    </w:p>
    <w:p>
      <w:pPr>
        <w:tabs>
          <w:tab w:val="left" w:pos="870"/>
        </w:tabs>
        <w:spacing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8"/>
          <w:sz w:val="20"/>
          <w:szCs w:val="20"/>
        </w:rPr>
        <w:t>应选择对天敌和其他有益生物安全的药剂品种。</w:t>
      </w:r>
    </w:p>
    <w:p>
      <w:pPr>
        <w:tabs>
          <w:tab w:val="left" w:pos="870"/>
        </w:tabs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应选择对生态环境安全的药剂品种。</w:t>
      </w:r>
    </w:p>
    <w:p>
      <w:pPr>
        <w:spacing w:before="8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6.1.6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防治方案中应编制出作业人员安全保障措施</w:t>
      </w:r>
      <w:r>
        <w:rPr>
          <w:rFonts w:ascii="SimSun" w:eastAsia="SimSun" w:hAnsi="SimSun" w:cs="SimSun"/>
          <w:spacing w:val="7"/>
          <w:sz w:val="20"/>
          <w:szCs w:val="20"/>
        </w:rPr>
        <w:t>和生态环境保护措施。</w:t>
      </w:r>
    </w:p>
    <w:p>
      <w:pPr>
        <w:spacing w:before="9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6.1.7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5"/>
          <w:sz w:val="20"/>
          <w:szCs w:val="20"/>
        </w:rPr>
        <w:t>防治方案设计表可采用附录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图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C.1。</w:t>
      </w:r>
    </w:p>
    <w:p>
      <w:pPr>
        <w:spacing w:before="219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6.2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方案编制要求</w:t>
      </w:r>
    </w:p>
    <w:p>
      <w:pPr>
        <w:spacing w:before="226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应确定出防治区范围，准确计算出防治面积。</w:t>
      </w:r>
    </w:p>
    <w:p>
      <w:pPr>
        <w:spacing w:before="7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6.2.2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应依据防治区的立地条件和林分生长状况，编制出具体的防治措施。</w:t>
      </w:r>
    </w:p>
    <w:p>
      <w:pPr>
        <w:spacing w:before="7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>6.2.3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9"/>
          <w:sz w:val="20"/>
          <w:szCs w:val="20"/>
        </w:rPr>
        <w:t>应明确防治方法、防治时间和防治操作要求</w:t>
      </w:r>
      <w:r>
        <w:rPr>
          <w:rFonts w:ascii="SimSun" w:eastAsia="SimSun" w:hAnsi="SimSun" w:cs="SimSun"/>
          <w:spacing w:val="8"/>
          <w:sz w:val="20"/>
          <w:szCs w:val="20"/>
        </w:rPr>
        <w:t>，防治组织方式应与防治面积、防治方法相协调。</w:t>
      </w:r>
    </w:p>
    <w:p>
      <w:pPr>
        <w:spacing w:before="7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应编制出防治观察样地和防治对照样地的设置</w:t>
      </w:r>
      <w:r>
        <w:rPr>
          <w:rFonts w:ascii="SimSun" w:eastAsia="SimSun" w:hAnsi="SimSun" w:cs="SimSun"/>
          <w:spacing w:val="7"/>
          <w:sz w:val="20"/>
          <w:szCs w:val="20"/>
        </w:rPr>
        <w:t>数量和要求。</w:t>
      </w:r>
    </w:p>
    <w:p>
      <w:pPr>
        <w:spacing w:before="72" w:line="253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>6.2.5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9"/>
          <w:sz w:val="20"/>
          <w:szCs w:val="20"/>
        </w:rPr>
        <w:t>应编制出防治组织方式，作业人员数量与技术培训，防治物资的准备、贮存与运输管理，车辆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配置、安全保障措施与监督检查等要求。</w:t>
      </w:r>
    </w:p>
    <w:p>
      <w:pPr>
        <w:spacing w:before="70"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6.2.6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应编制出防治结束后防治作业检查验收要求，以及组织开展防治效果评估相关内容。</w:t>
      </w:r>
    </w:p>
    <w:p>
      <w:pPr>
        <w:spacing w:before="76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6.2.7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应编制出防治作业后技术档案整理与管理要求。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6.2.8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方案成果应包括防治方案编制说明书、附表、附图及相关依据性</w:t>
      </w:r>
      <w:r>
        <w:rPr>
          <w:rFonts w:ascii="SimSun" w:eastAsia="SimSun" w:hAnsi="SimSun" w:cs="SimSun"/>
          <w:spacing w:val="7"/>
          <w:sz w:val="20"/>
          <w:szCs w:val="20"/>
        </w:rPr>
        <w:t>资料等。</w:t>
      </w:r>
    </w:p>
    <w:p>
      <w:pPr>
        <w:spacing w:before="259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6.3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0"/>
          <w:szCs w:val="20"/>
        </w:rPr>
        <w:t>方案图件要求</w:t>
      </w:r>
    </w:p>
    <w:p>
      <w:pPr>
        <w:spacing w:before="22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>6.3.1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7"/>
          <w:sz w:val="20"/>
          <w:szCs w:val="20"/>
        </w:rPr>
        <w:t>防治方案图件应有防治区害虫危害程度分布图、防治区作业布局图。</w:t>
      </w:r>
    </w:p>
    <w:p>
      <w:pPr>
        <w:tabs>
          <w:tab w:val="left" w:pos="870"/>
        </w:tabs>
        <w:spacing w:before="83" w:line="248" w:lineRule="auto"/>
        <w:ind w:left="409" w:right="1167" w:hanging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>6.3.2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图件要素除道路、村庄、水系、主要标识物等基本要素外，还</w:t>
      </w:r>
      <w:r>
        <w:rPr>
          <w:rFonts w:ascii="SimSun" w:eastAsia="SimSun" w:hAnsi="SimSun" w:cs="SimSun"/>
          <w:spacing w:val="7"/>
          <w:sz w:val="20"/>
          <w:szCs w:val="20"/>
        </w:rPr>
        <w:t>应满足以下要求：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9"/>
          <w:sz w:val="20"/>
          <w:szCs w:val="20"/>
        </w:rPr>
        <w:t>防治区害虫危害程度分布图应标注出害虫发生</w:t>
      </w:r>
      <w:r>
        <w:rPr>
          <w:rFonts w:ascii="SimSun" w:eastAsia="SimSun" w:hAnsi="SimSun" w:cs="SimSun"/>
          <w:spacing w:val="8"/>
          <w:sz w:val="20"/>
          <w:szCs w:val="20"/>
        </w:rPr>
        <w:t>的轻度区、中度区和重度区范围；</w:t>
      </w:r>
    </w:p>
    <w:p>
      <w:pPr>
        <w:spacing w:before="73" w:line="264" w:lineRule="auto"/>
        <w:ind w:left="859" w:right="57" w:hanging="4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——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防治作业布局图应标注出害虫防治区和害虫监测区、防治观察样地和防治对照样地的位置、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6"/>
          <w:sz w:val="20"/>
          <w:szCs w:val="20"/>
        </w:rPr>
        <w:t>防治作业布置点(线)、黑光灯布设点、药剂</w:t>
      </w:r>
      <w:r>
        <w:rPr>
          <w:rFonts w:ascii="SimSun" w:eastAsia="SimSun" w:hAnsi="SimSun" w:cs="SimSun"/>
          <w:spacing w:val="15"/>
          <w:sz w:val="20"/>
          <w:szCs w:val="20"/>
        </w:rPr>
        <w:t>配置点、水源点以及其它防治作业构筑物等要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素；</w:t>
      </w:r>
    </w:p>
    <w:p>
      <w:pPr>
        <w:spacing w:before="90" w:line="216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——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图件比例尺应为1:5000或1:10000或1:50000,坐标系应为</w:t>
      </w:r>
      <w:r>
        <w:rPr>
          <w:rFonts w:ascii="SimSun" w:eastAsia="SimSun" w:hAnsi="SimSun" w:cs="SimSun"/>
          <w:sz w:val="20"/>
          <w:szCs w:val="20"/>
        </w:rPr>
        <w:t>CGCS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2"/>
          <w:sz w:val="20"/>
          <w:szCs w:val="20"/>
        </w:rPr>
        <w:t>2000坐标系。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5" w:line="221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z w:val="20"/>
          <w:szCs w:val="20"/>
        </w:rPr>
        <w:t>7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防治技术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66" w:line="221" w:lineRule="auto"/>
        <w:ind w:left="2"/>
        <w:outlineLvl w:val="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7.1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物理防治</w:t>
      </w:r>
    </w:p>
    <w:p>
      <w:pPr>
        <w:spacing w:before="22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>7.1.1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9"/>
          <w:sz w:val="20"/>
          <w:szCs w:val="20"/>
        </w:rPr>
        <w:t>成虫采用趋光性进行诱杀。光源可采用黑光灯，设备可选用太阳能频</w:t>
      </w:r>
      <w:r>
        <w:rPr>
          <w:rFonts w:ascii="SimSun" w:eastAsia="SimSun" w:hAnsi="SimSun" w:cs="SimSun"/>
          <w:spacing w:val="8"/>
          <w:sz w:val="20"/>
          <w:szCs w:val="20"/>
        </w:rPr>
        <w:t>振式杀虫灯。</w:t>
      </w: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https://d.book118.com/795022323201011034</w:t>
        </w:r>
      </w:hyperlink>
    </w:p>
    <w:p>
      <w:pPr>
        <w:spacing w:before="224" w:line="219" w:lineRule="auto"/>
        <w:rPr>
          <w:rFonts w:ascii="SimSun" w:eastAsia="SimSun" w:hAnsi="SimSun" w:cs="SimSun"/>
          <w:sz w:val="20"/>
          <w:szCs w:val="20"/>
        </w:rPr>
      </w:pPr>
    </w:p>
    <w:sectPr>
      <w:headerReference w:type="default" r:id="rId39"/>
      <w:footerReference w:type="default" r:id="rId40"/>
      <w:pgSz w:w="11910" w:h="16840"/>
      <w:pgMar w:top="400" w:right="1462" w:bottom="1288" w:left="1110" w:header="0" w:footer="1149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67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19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3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32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1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1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8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8"/>
      <w:jc w:val="right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z w:val="20"/>
        <w:szCs w:val="20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9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https://4.2.2.1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yperlink" Target="https://4.2.2.2" TargetMode="External" /><Relationship Id="rId18" Type="http://schemas.openxmlformats.org/officeDocument/2006/relationships/hyperlink" Target="https://4.2.2.3" TargetMode="External" /><Relationship Id="rId19" Type="http://schemas.openxmlformats.org/officeDocument/2006/relationships/hyperlink" Target="https://4.2.2.4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4.3.1.1" TargetMode="External" /><Relationship Id="rId21" Type="http://schemas.openxmlformats.org/officeDocument/2006/relationships/hyperlink" Target="https://4.3.1.2" TargetMode="External" /><Relationship Id="rId22" Type="http://schemas.openxmlformats.org/officeDocument/2006/relationships/hyperlink" Target="https://4.3.1.3" TargetMode="External" /><Relationship Id="rId23" Type="http://schemas.openxmlformats.org/officeDocument/2006/relationships/hyperlink" Target="https://4.3.2.1" TargetMode="External" /><Relationship Id="rId24" Type="http://schemas.openxmlformats.org/officeDocument/2006/relationships/hyperlink" Target="https://4.3.2.2" TargetMode="External" /><Relationship Id="rId25" Type="http://schemas.openxmlformats.org/officeDocument/2006/relationships/hyperlink" Target="https://4.3.3.1" TargetMode="External" /><Relationship Id="rId26" Type="http://schemas.openxmlformats.org/officeDocument/2006/relationships/image" Target="media/image3.png" /><Relationship Id="rId27" Type="http://schemas.openxmlformats.org/officeDocument/2006/relationships/hyperlink" Target="https://4.3.3.2" TargetMode="External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hyperlink" Target="https://4.3.3.3" TargetMode="External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hyperlink" Target="https://d.book118.com/795022323201011034" TargetMode="Externa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2023-05-13T16:59:26Z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2023-05-13T16:59:29Z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645f51630c8b2900155233c5</vt:lpwstr>
  </property>
</Properties>
</file>