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2018-2023年铜仁职业技术学院高职单招（数学／语文／英语）历年常考试题库含答案解析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说“今日一天，当明日两天”的哲人是（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A.亚里士多德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C.爱默生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D.斯宾诺莎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关于艾青《我爱这土地》一诗，下列表述错误的是（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A.此诗写作于抗日战争临近胜利之时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B.此诗抒发了诗人深沉炽烈的爱国主义情感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C.“被暴风雨所打击着的土地”，象征着敌人对祖国的侵略和践踏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D.“激怒的风”象征着中国人民的愤怒与反抗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《张中丞传后叙》最突出的写作特色是（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A.抒情与叙事并重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B.议论与叙事并重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C.议论与抒情并重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D.描写与抒情并重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在《答司马谏议书》一文中，司马光强加给王安石变法的罪名是（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A.在位久，未能助上大有为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B.不恤国事，同俗自媚于众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C.侵官、生事、征利、拒谏、以致天下怨谤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D.一切不事事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短篇小说《断魂枪》所描写的时代背景是（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A.古代社会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B.近代中国（辛亥革命前后）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C.元代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D.戊戌变法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梁启超《论毅力》一文的中心论点是（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A.有毅力者成，反是者败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B.人生历程，大抵逆境居十六七，顺境亦居十三四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C.小逆之后，必有小顺；大逆之后，必有大顺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D.成败之数，视此而已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“多行不义必自毙”“贻笑大方”“夙兴夜寐”三个成语依次出自（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A.《寡人之于国也》、《庄子·秋水》、《季氏将伐颛臾》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B.《郑伯克段于鄢》、《庄子·秋水》、《诗经·氓》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C.《陈情表》、《诗经·氓》、《郑伯克段于鄢》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D.《礼记·大同》、《寡人之于国也》、《庄子·秋水》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下列关于文学常识的表述，完全正确的一项是（）。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A.《蚀》《子夜》《林家铺子》《寒夜》都是茅盾的代表作品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B.《雷雨》《日出》《原野》《北京人》都是曹禺的话剧作品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C.“爱情三部曲”“农村三部曲”“激流三部曲”的作者是巴金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D.郭沫若的历史剧《屈原》《虎符》《蔡文姬》写于抗战时期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《楚辞·九歌》共（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A.9首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B.10首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C.11首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D.12首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《马伶传》中的“分宜”“昆山”依次指（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A.分宜人、顾秉谦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B.严嵩、昆山人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C.严嵩、顾秉谦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D.分宜人、昆山人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苏轼的《前赤壁赋》作于（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A.杭州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B.密州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C.黄州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D.惠州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下列词句中，运用了比喻手法的是（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A.遥岑远目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B.献愁供恨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C.玉簪螺髻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D.求田问舍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《故都的秋》一文是一篇（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A.抒情散文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B.记事散文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C.游记散文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D.议论散文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我国诗歌史上被称为“诗圣”的是（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https://d.book118.com/795144134330011112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79514413433001111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