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污泥处理项目成效分析报告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00" w:history="1">
        <w:r>
          <w:rPr>
            <w:rFonts w:ascii="仿宋" w:eastAsia="仿宋" w:hAnsi="仿宋" w:cs="仿宋" w:hint="eastAsia"/>
            <w:lang w:eastAsia="zh-CN"/>
          </w:rPr>
          <w:t>概论</w:t>
        </w:r>
        <w:r>
          <w:tab/>
        </w:r>
        <w:r>
          <w:fldChar w:fldCharType="begin"/>
        </w:r>
        <w:r>
          <w:instrText xml:space="preserve"> PAGEREF _Toc27600 \h </w:instrText>
        </w:r>
        <w:r>
          <w:fldChar w:fldCharType="separate"/>
        </w:r>
        <w:r>
          <w:t>3</w:t>
        </w:r>
        <w:r>
          <w:fldChar w:fldCharType="end"/>
        </w:r>
      </w:hyperlink>
    </w:p>
    <w:p>
      <w:pPr>
        <w:pStyle w:val="TOC1"/>
        <w:tabs>
          <w:tab w:val="right" w:leader="dot" w:pos="8306"/>
        </w:tabs>
      </w:pPr>
      <w:hyperlink w:anchor="_Toc3929" w:history="1">
        <w:r>
          <w:rPr>
            <w:rFonts w:ascii="仿宋" w:eastAsia="仿宋" w:hAnsi="仿宋" w:cs="仿宋" w:hint="eastAsia"/>
            <w:lang w:eastAsia="zh-CN"/>
          </w:rPr>
          <w:t>一、组织架构与人力资源配置</w:t>
        </w:r>
        <w:r>
          <w:tab/>
        </w:r>
        <w:r>
          <w:fldChar w:fldCharType="begin"/>
        </w:r>
        <w:r>
          <w:instrText xml:space="preserve"> PAGEREF _Toc3929 \h </w:instrText>
        </w:r>
        <w:r>
          <w:fldChar w:fldCharType="separate"/>
        </w:r>
        <w:r>
          <w:t>3</w:t>
        </w:r>
        <w:r>
          <w:fldChar w:fldCharType="end"/>
        </w:r>
      </w:hyperlink>
    </w:p>
    <w:p>
      <w:pPr>
        <w:pStyle w:val="TOC2"/>
        <w:tabs>
          <w:tab w:val="right" w:leader="dot" w:pos="8306"/>
        </w:tabs>
      </w:pPr>
      <w:hyperlink w:anchor="_Toc17616" w:history="1">
        <w:r>
          <w:rPr>
            <w:rFonts w:ascii="仿宋" w:eastAsia="仿宋" w:hAnsi="仿宋" w:cs="仿宋" w:hint="eastAsia"/>
            <w:lang w:eastAsia="zh-CN"/>
          </w:rPr>
          <w:t>(一)、人员资源需求</w:t>
        </w:r>
        <w:r>
          <w:tab/>
        </w:r>
        <w:r>
          <w:fldChar w:fldCharType="begin"/>
        </w:r>
        <w:r>
          <w:instrText xml:space="preserve"> PAGEREF _Toc17616 \h </w:instrText>
        </w:r>
        <w:r>
          <w:fldChar w:fldCharType="separate"/>
        </w:r>
        <w:r>
          <w:t>3</w:t>
        </w:r>
        <w:r>
          <w:fldChar w:fldCharType="end"/>
        </w:r>
      </w:hyperlink>
    </w:p>
    <w:p>
      <w:pPr>
        <w:pStyle w:val="TOC2"/>
        <w:tabs>
          <w:tab w:val="right" w:leader="dot" w:pos="8306"/>
        </w:tabs>
      </w:pPr>
      <w:hyperlink w:anchor="_Toc15787" w:history="1">
        <w:r>
          <w:rPr>
            <w:rFonts w:ascii="仿宋" w:eastAsia="仿宋" w:hAnsi="仿宋" w:cs="仿宋" w:hint="eastAsia"/>
            <w:lang w:eastAsia="zh-CN"/>
          </w:rPr>
          <w:t>(二)、员工培训与发展</w:t>
        </w:r>
        <w:r>
          <w:tab/>
        </w:r>
        <w:r>
          <w:fldChar w:fldCharType="begin"/>
        </w:r>
        <w:r>
          <w:instrText xml:space="preserve"> PAGEREF _Toc15787 \h </w:instrText>
        </w:r>
        <w:r>
          <w:fldChar w:fldCharType="separate"/>
        </w:r>
        <w:r>
          <w:t>5</w:t>
        </w:r>
        <w:r>
          <w:fldChar w:fldCharType="end"/>
        </w:r>
      </w:hyperlink>
    </w:p>
    <w:p>
      <w:pPr>
        <w:pStyle w:val="TOC1"/>
        <w:tabs>
          <w:tab w:val="right" w:leader="dot" w:pos="8306"/>
        </w:tabs>
      </w:pPr>
      <w:hyperlink w:anchor="_Toc23301" w:history="1">
        <w:r>
          <w:rPr>
            <w:rFonts w:ascii="仿宋" w:eastAsia="仿宋" w:hAnsi="仿宋" w:cs="仿宋" w:hint="eastAsia"/>
            <w:lang w:eastAsia="zh-CN"/>
          </w:rPr>
          <w:t>二、法人治理架构</w:t>
        </w:r>
        <w:r>
          <w:tab/>
        </w:r>
        <w:r>
          <w:fldChar w:fldCharType="begin"/>
        </w:r>
        <w:r>
          <w:instrText xml:space="preserve"> PAGEREF _Toc23301 \h </w:instrText>
        </w:r>
        <w:r>
          <w:fldChar w:fldCharType="separate"/>
        </w:r>
        <w:r>
          <w:t>7</w:t>
        </w:r>
        <w:r>
          <w:fldChar w:fldCharType="end"/>
        </w:r>
      </w:hyperlink>
    </w:p>
    <w:p>
      <w:pPr>
        <w:pStyle w:val="TOC2"/>
        <w:tabs>
          <w:tab w:val="right" w:leader="dot" w:pos="8306"/>
        </w:tabs>
      </w:pPr>
      <w:hyperlink w:anchor="_Toc12323" w:history="1">
        <w:r>
          <w:rPr>
            <w:rFonts w:ascii="仿宋" w:eastAsia="仿宋" w:hAnsi="仿宋" w:cs="仿宋" w:hint="eastAsia"/>
            <w:lang w:eastAsia="zh-CN"/>
          </w:rPr>
          <w:t>(一)、股东权益与义务</w:t>
        </w:r>
        <w:r>
          <w:tab/>
        </w:r>
        <w:r>
          <w:fldChar w:fldCharType="begin"/>
        </w:r>
        <w:r>
          <w:instrText xml:space="preserve"> PAGEREF _Toc12323 \h </w:instrText>
        </w:r>
        <w:r>
          <w:fldChar w:fldCharType="separate"/>
        </w:r>
        <w:r>
          <w:t>7</w:t>
        </w:r>
        <w:r>
          <w:fldChar w:fldCharType="end"/>
        </w:r>
      </w:hyperlink>
    </w:p>
    <w:p>
      <w:pPr>
        <w:pStyle w:val="TOC2"/>
        <w:tabs>
          <w:tab w:val="right" w:leader="dot" w:pos="8306"/>
        </w:tabs>
      </w:pPr>
      <w:hyperlink w:anchor="_Toc6776" w:history="1">
        <w:r>
          <w:rPr>
            <w:rFonts w:ascii="仿宋" w:eastAsia="仿宋" w:hAnsi="仿宋" w:cs="仿宋" w:hint="eastAsia"/>
            <w:lang w:eastAsia="zh-CN"/>
          </w:rPr>
          <w:t>(二)、公司董事会</w:t>
        </w:r>
        <w:r>
          <w:tab/>
        </w:r>
        <w:r>
          <w:fldChar w:fldCharType="begin"/>
        </w:r>
        <w:r>
          <w:instrText xml:space="preserve"> PAGEREF _Toc6776 \h </w:instrText>
        </w:r>
        <w:r>
          <w:fldChar w:fldCharType="separate"/>
        </w:r>
        <w:r>
          <w:t>8</w:t>
        </w:r>
        <w:r>
          <w:fldChar w:fldCharType="end"/>
        </w:r>
      </w:hyperlink>
    </w:p>
    <w:p>
      <w:pPr>
        <w:pStyle w:val="TOC2"/>
        <w:tabs>
          <w:tab w:val="right" w:leader="dot" w:pos="8306"/>
        </w:tabs>
      </w:pPr>
      <w:hyperlink w:anchor="_Toc2777" w:history="1">
        <w:r>
          <w:rPr>
            <w:rFonts w:ascii="仿宋" w:eastAsia="仿宋" w:hAnsi="仿宋" w:cs="仿宋" w:hint="eastAsia"/>
            <w:lang w:eastAsia="zh-CN"/>
          </w:rPr>
          <w:t>(三)、高级管理层</w:t>
        </w:r>
        <w:r>
          <w:tab/>
        </w:r>
        <w:r>
          <w:fldChar w:fldCharType="begin"/>
        </w:r>
        <w:r>
          <w:instrText xml:space="preserve"> PAGEREF _Toc2777 \h </w:instrText>
        </w:r>
        <w:r>
          <w:fldChar w:fldCharType="separate"/>
        </w:r>
        <w:r>
          <w:t>10</w:t>
        </w:r>
        <w:r>
          <w:fldChar w:fldCharType="end"/>
        </w:r>
      </w:hyperlink>
    </w:p>
    <w:p>
      <w:pPr>
        <w:pStyle w:val="TOC2"/>
        <w:tabs>
          <w:tab w:val="right" w:leader="dot" w:pos="8306"/>
        </w:tabs>
      </w:pPr>
      <w:hyperlink w:anchor="_Toc9801" w:history="1">
        <w:r>
          <w:rPr>
            <w:rFonts w:ascii="仿宋" w:eastAsia="仿宋" w:hAnsi="仿宋" w:cs="仿宋" w:hint="eastAsia"/>
            <w:lang w:eastAsia="zh-CN"/>
          </w:rPr>
          <w:t>(四)、监督管理层</w:t>
        </w:r>
        <w:r>
          <w:tab/>
        </w:r>
        <w:r>
          <w:fldChar w:fldCharType="begin"/>
        </w:r>
        <w:r>
          <w:instrText xml:space="preserve"> PAGEREF _Toc9801 \h </w:instrText>
        </w:r>
        <w:r>
          <w:fldChar w:fldCharType="separate"/>
        </w:r>
        <w:r>
          <w:t>11</w:t>
        </w:r>
        <w:r>
          <w:fldChar w:fldCharType="end"/>
        </w:r>
      </w:hyperlink>
    </w:p>
    <w:p>
      <w:pPr>
        <w:pStyle w:val="TOC1"/>
        <w:tabs>
          <w:tab w:val="right" w:leader="dot" w:pos="8306"/>
        </w:tabs>
      </w:pPr>
      <w:hyperlink w:anchor="_Toc24112" w:history="1">
        <w:r>
          <w:rPr>
            <w:rFonts w:ascii="仿宋" w:eastAsia="仿宋" w:hAnsi="仿宋" w:cs="仿宋" w:hint="eastAsia"/>
            <w:lang w:eastAsia="zh-CN"/>
          </w:rPr>
          <w:t>三、污泥处理项目投资主体概况</w:t>
        </w:r>
        <w:r>
          <w:tab/>
        </w:r>
        <w:r>
          <w:fldChar w:fldCharType="begin"/>
        </w:r>
        <w:r>
          <w:instrText xml:space="preserve"> PAGEREF _Toc24112 \h </w:instrText>
        </w:r>
        <w:r>
          <w:fldChar w:fldCharType="separate"/>
        </w:r>
        <w:r>
          <w:t>12</w:t>
        </w:r>
        <w:r>
          <w:fldChar w:fldCharType="end"/>
        </w:r>
      </w:hyperlink>
    </w:p>
    <w:p>
      <w:pPr>
        <w:pStyle w:val="TOC2"/>
        <w:tabs>
          <w:tab w:val="right" w:leader="dot" w:pos="8306"/>
        </w:tabs>
      </w:pPr>
      <w:hyperlink w:anchor="_Toc26631" w:history="1">
        <w:r>
          <w:rPr>
            <w:rFonts w:ascii="仿宋" w:eastAsia="仿宋" w:hAnsi="仿宋" w:cs="仿宋" w:hint="eastAsia"/>
            <w:lang w:eastAsia="zh-CN"/>
          </w:rPr>
          <w:t>(一)、公司概要</w:t>
        </w:r>
        <w:r>
          <w:tab/>
        </w:r>
        <w:r>
          <w:fldChar w:fldCharType="begin"/>
        </w:r>
        <w:r>
          <w:instrText xml:space="preserve"> PAGEREF _Toc26631 \h </w:instrText>
        </w:r>
        <w:r>
          <w:fldChar w:fldCharType="separate"/>
        </w:r>
        <w:r>
          <w:t>12</w:t>
        </w:r>
        <w:r>
          <w:fldChar w:fldCharType="end"/>
        </w:r>
      </w:hyperlink>
    </w:p>
    <w:p>
      <w:pPr>
        <w:pStyle w:val="TOC2"/>
        <w:tabs>
          <w:tab w:val="right" w:leader="dot" w:pos="8306"/>
        </w:tabs>
      </w:pPr>
      <w:hyperlink w:anchor="_Toc1355" w:history="1">
        <w:r>
          <w:rPr>
            <w:rFonts w:ascii="仿宋" w:eastAsia="仿宋" w:hAnsi="仿宋" w:cs="仿宋" w:hint="eastAsia"/>
            <w:lang w:eastAsia="zh-CN"/>
          </w:rPr>
          <w:t>(二)、公司简介</w:t>
        </w:r>
        <w:r>
          <w:tab/>
        </w:r>
        <w:r>
          <w:fldChar w:fldCharType="begin"/>
        </w:r>
        <w:r>
          <w:instrText xml:space="preserve"> PAGEREF _Toc1355 \h </w:instrText>
        </w:r>
        <w:r>
          <w:fldChar w:fldCharType="separate"/>
        </w:r>
        <w:r>
          <w:t>13</w:t>
        </w:r>
        <w:r>
          <w:fldChar w:fldCharType="end"/>
        </w:r>
      </w:hyperlink>
    </w:p>
    <w:p>
      <w:pPr>
        <w:pStyle w:val="TOC2"/>
        <w:tabs>
          <w:tab w:val="right" w:leader="dot" w:pos="8306"/>
        </w:tabs>
      </w:pPr>
      <w:hyperlink w:anchor="_Toc20181" w:history="1">
        <w:r>
          <w:rPr>
            <w:rFonts w:ascii="仿宋" w:eastAsia="仿宋" w:hAnsi="仿宋" w:cs="仿宋" w:hint="eastAsia"/>
            <w:lang w:eastAsia="zh-CN"/>
          </w:rPr>
          <w:t>(三)、财务概况</w:t>
        </w:r>
        <w:r>
          <w:tab/>
        </w:r>
        <w:r>
          <w:fldChar w:fldCharType="begin"/>
        </w:r>
        <w:r>
          <w:instrText xml:space="preserve"> PAGEREF _Toc20181 \h </w:instrText>
        </w:r>
        <w:r>
          <w:fldChar w:fldCharType="separate"/>
        </w:r>
        <w:r>
          <w:t>13</w:t>
        </w:r>
        <w:r>
          <w:fldChar w:fldCharType="end"/>
        </w:r>
      </w:hyperlink>
    </w:p>
    <w:p>
      <w:pPr>
        <w:pStyle w:val="TOC2"/>
        <w:tabs>
          <w:tab w:val="right" w:leader="dot" w:pos="8306"/>
        </w:tabs>
      </w:pPr>
      <w:hyperlink w:anchor="_Toc22821" w:history="1">
        <w:r>
          <w:rPr>
            <w:rFonts w:ascii="仿宋" w:eastAsia="仿宋" w:hAnsi="仿宋" w:cs="仿宋" w:hint="eastAsia"/>
            <w:lang w:eastAsia="zh-CN"/>
          </w:rPr>
          <w:t>(四)、核心管理层介绍</w:t>
        </w:r>
        <w:r>
          <w:tab/>
        </w:r>
        <w:r>
          <w:fldChar w:fldCharType="begin"/>
        </w:r>
        <w:r>
          <w:instrText xml:space="preserve"> PAGEREF _Toc22821 \h </w:instrText>
        </w:r>
        <w:r>
          <w:fldChar w:fldCharType="separate"/>
        </w:r>
        <w:r>
          <w:t>14</w:t>
        </w:r>
        <w:r>
          <w:fldChar w:fldCharType="end"/>
        </w:r>
      </w:hyperlink>
    </w:p>
    <w:p>
      <w:pPr>
        <w:pStyle w:val="TOC1"/>
        <w:tabs>
          <w:tab w:val="right" w:leader="dot" w:pos="8306"/>
        </w:tabs>
      </w:pPr>
      <w:hyperlink w:anchor="_Toc25754" w:history="1">
        <w:r>
          <w:rPr>
            <w:rFonts w:ascii="仿宋" w:eastAsia="仿宋" w:hAnsi="仿宋" w:cs="仿宋" w:hint="eastAsia"/>
            <w:lang w:eastAsia="zh-CN"/>
          </w:rPr>
          <w:t>四、技术方案与建筑物规划</w:t>
        </w:r>
        <w:r>
          <w:tab/>
        </w:r>
        <w:r>
          <w:fldChar w:fldCharType="begin"/>
        </w:r>
        <w:r>
          <w:instrText xml:space="preserve"> PAGEREF _Toc25754 \h </w:instrText>
        </w:r>
        <w:r>
          <w:fldChar w:fldCharType="separate"/>
        </w:r>
        <w:r>
          <w:t>15</w:t>
        </w:r>
        <w:r>
          <w:fldChar w:fldCharType="end"/>
        </w:r>
      </w:hyperlink>
    </w:p>
    <w:p>
      <w:pPr>
        <w:pStyle w:val="TOC2"/>
        <w:tabs>
          <w:tab w:val="right" w:leader="dot" w:pos="8306"/>
        </w:tabs>
      </w:pPr>
      <w:hyperlink w:anchor="_Toc25978" w:history="1">
        <w:r>
          <w:rPr>
            <w:rFonts w:ascii="仿宋" w:eastAsia="仿宋" w:hAnsi="仿宋" w:cs="仿宋" w:hint="eastAsia"/>
            <w:lang w:eastAsia="zh-CN"/>
          </w:rPr>
          <w:t>(一)、设计原则与污泥处理项目工程概述</w:t>
        </w:r>
        <w:r>
          <w:tab/>
        </w:r>
        <w:r>
          <w:fldChar w:fldCharType="begin"/>
        </w:r>
        <w:r>
          <w:instrText xml:space="preserve"> PAGEREF _Toc25978 \h </w:instrText>
        </w:r>
        <w:r>
          <w:fldChar w:fldCharType="separate"/>
        </w:r>
        <w:r>
          <w:t>15</w:t>
        </w:r>
        <w:r>
          <w:fldChar w:fldCharType="end"/>
        </w:r>
      </w:hyperlink>
    </w:p>
    <w:p>
      <w:pPr>
        <w:pStyle w:val="TOC2"/>
        <w:tabs>
          <w:tab w:val="right" w:leader="dot" w:pos="8306"/>
        </w:tabs>
      </w:pPr>
      <w:hyperlink w:anchor="_Toc20944" w:history="1">
        <w:r>
          <w:rPr>
            <w:rFonts w:ascii="仿宋" w:eastAsia="仿宋" w:hAnsi="仿宋" w:cs="仿宋" w:hint="eastAsia"/>
            <w:lang w:eastAsia="zh-CN"/>
          </w:rPr>
          <w:t>(二)、建设选项</w:t>
        </w:r>
        <w:r>
          <w:tab/>
        </w:r>
        <w:r>
          <w:fldChar w:fldCharType="begin"/>
        </w:r>
        <w:r>
          <w:instrText xml:space="preserve"> PAGEREF _Toc20944 \h </w:instrText>
        </w:r>
        <w:r>
          <w:fldChar w:fldCharType="separate"/>
        </w:r>
        <w:r>
          <w:t>16</w:t>
        </w:r>
        <w:r>
          <w:fldChar w:fldCharType="end"/>
        </w:r>
      </w:hyperlink>
    </w:p>
    <w:p>
      <w:pPr>
        <w:pStyle w:val="TOC2"/>
        <w:tabs>
          <w:tab w:val="right" w:leader="dot" w:pos="8306"/>
        </w:tabs>
      </w:pPr>
      <w:hyperlink w:anchor="_Toc30174" w:history="1">
        <w:r>
          <w:rPr>
            <w:rFonts w:ascii="仿宋" w:eastAsia="仿宋" w:hAnsi="仿宋" w:cs="仿宋" w:hint="eastAsia"/>
            <w:lang w:eastAsia="zh-CN"/>
          </w:rPr>
          <w:t>(三)、建筑物规划与设备标准</w:t>
        </w:r>
        <w:r>
          <w:tab/>
        </w:r>
        <w:r>
          <w:fldChar w:fldCharType="begin"/>
        </w:r>
        <w:r>
          <w:instrText xml:space="preserve"> PAGEREF _Toc30174 \h </w:instrText>
        </w:r>
        <w:r>
          <w:fldChar w:fldCharType="separate"/>
        </w:r>
        <w:r>
          <w:t>17</w:t>
        </w:r>
        <w:r>
          <w:fldChar w:fldCharType="end"/>
        </w:r>
      </w:hyperlink>
    </w:p>
    <w:p>
      <w:pPr>
        <w:pStyle w:val="TOC1"/>
        <w:tabs>
          <w:tab w:val="right" w:leader="dot" w:pos="8306"/>
        </w:tabs>
      </w:pPr>
      <w:hyperlink w:anchor="_Toc27823" w:history="1">
        <w:r>
          <w:rPr>
            <w:rFonts w:ascii="仿宋" w:eastAsia="仿宋" w:hAnsi="仿宋" w:cs="仿宋" w:hint="eastAsia"/>
            <w:lang w:eastAsia="zh-CN"/>
          </w:rPr>
          <w:t>五、营销策略与品牌推广</w:t>
        </w:r>
        <w:r>
          <w:tab/>
        </w:r>
        <w:r>
          <w:fldChar w:fldCharType="begin"/>
        </w:r>
        <w:r>
          <w:instrText xml:space="preserve"> PAGEREF _Toc27823 \h </w:instrText>
        </w:r>
        <w:r>
          <w:fldChar w:fldCharType="separate"/>
        </w:r>
        <w:r>
          <w:t>19</w:t>
        </w:r>
        <w:r>
          <w:fldChar w:fldCharType="end"/>
        </w:r>
      </w:hyperlink>
    </w:p>
    <w:p>
      <w:pPr>
        <w:pStyle w:val="TOC2"/>
        <w:tabs>
          <w:tab w:val="right" w:leader="dot" w:pos="8306"/>
        </w:tabs>
      </w:pPr>
      <w:hyperlink w:anchor="_Toc17597" w:history="1">
        <w:r>
          <w:rPr>
            <w:rFonts w:ascii="仿宋" w:eastAsia="仿宋" w:hAnsi="仿宋" w:cs="仿宋" w:hint="eastAsia"/>
            <w:lang w:eastAsia="zh-CN"/>
          </w:rPr>
          <w:t>(一)、营销策略制定</w:t>
        </w:r>
        <w:r>
          <w:tab/>
        </w:r>
        <w:r>
          <w:fldChar w:fldCharType="begin"/>
        </w:r>
        <w:r>
          <w:instrText xml:space="preserve"> PAGEREF _Toc17597 \h </w:instrText>
        </w:r>
        <w:r>
          <w:fldChar w:fldCharType="separate"/>
        </w:r>
        <w:r>
          <w:t>19</w:t>
        </w:r>
        <w:r>
          <w:fldChar w:fldCharType="end"/>
        </w:r>
      </w:hyperlink>
    </w:p>
    <w:p>
      <w:pPr>
        <w:pStyle w:val="TOC2"/>
        <w:tabs>
          <w:tab w:val="right" w:leader="dot" w:pos="8306"/>
        </w:tabs>
      </w:pPr>
      <w:hyperlink w:anchor="_Toc5828" w:history="1">
        <w:r>
          <w:rPr>
            <w:rFonts w:ascii="仿宋" w:eastAsia="仿宋" w:hAnsi="仿宋" w:cs="仿宋" w:hint="eastAsia"/>
            <w:lang w:eastAsia="zh-CN"/>
          </w:rPr>
          <w:t>(二)、产品定位与定价策略</w:t>
        </w:r>
        <w:r>
          <w:tab/>
        </w:r>
        <w:r>
          <w:fldChar w:fldCharType="begin"/>
        </w:r>
        <w:r>
          <w:instrText xml:space="preserve"> PAGEREF _Toc5828 \h </w:instrText>
        </w:r>
        <w:r>
          <w:fldChar w:fldCharType="separate"/>
        </w:r>
        <w:r>
          <w:t>21</w:t>
        </w:r>
        <w:r>
          <w:fldChar w:fldCharType="end"/>
        </w:r>
      </w:hyperlink>
    </w:p>
    <w:p>
      <w:pPr>
        <w:pStyle w:val="TOC2"/>
        <w:tabs>
          <w:tab w:val="right" w:leader="dot" w:pos="8306"/>
        </w:tabs>
      </w:pPr>
      <w:hyperlink w:anchor="_Toc8976" w:history="1">
        <w:r>
          <w:rPr>
            <w:rFonts w:ascii="仿宋" w:eastAsia="仿宋" w:hAnsi="仿宋" w:cs="仿宋" w:hint="eastAsia"/>
            <w:lang w:eastAsia="zh-CN"/>
          </w:rPr>
          <w:t>(三)、促销与广告战略</w:t>
        </w:r>
        <w:r>
          <w:tab/>
        </w:r>
        <w:r>
          <w:fldChar w:fldCharType="begin"/>
        </w:r>
        <w:r>
          <w:instrText xml:space="preserve"> PAGEREF _Toc8976 \h </w:instrText>
        </w:r>
        <w:r>
          <w:fldChar w:fldCharType="separate"/>
        </w:r>
        <w:r>
          <w:t>22</w:t>
        </w:r>
        <w:r>
          <w:fldChar w:fldCharType="end"/>
        </w:r>
      </w:hyperlink>
    </w:p>
    <w:p>
      <w:pPr>
        <w:pStyle w:val="TOC2"/>
        <w:tabs>
          <w:tab w:val="right" w:leader="dot" w:pos="8306"/>
        </w:tabs>
      </w:pPr>
      <w:hyperlink w:anchor="_Toc1079" w:history="1">
        <w:r>
          <w:rPr>
            <w:rFonts w:ascii="仿宋" w:eastAsia="仿宋" w:hAnsi="仿宋" w:cs="仿宋" w:hint="eastAsia"/>
            <w:lang w:eastAsia="zh-CN"/>
          </w:rPr>
          <w:t>(四)、品牌推广计划</w:t>
        </w:r>
        <w:r>
          <w:tab/>
        </w:r>
        <w:r>
          <w:fldChar w:fldCharType="begin"/>
        </w:r>
        <w:r>
          <w:instrText xml:space="preserve"> PAGEREF _Toc1079 \h </w:instrText>
        </w:r>
        <w:r>
          <w:fldChar w:fldCharType="separate"/>
        </w:r>
        <w:r>
          <w:t>23</w:t>
        </w:r>
        <w:r>
          <w:fldChar w:fldCharType="end"/>
        </w:r>
      </w:hyperlink>
    </w:p>
    <w:p>
      <w:pPr>
        <w:pStyle w:val="TOC1"/>
        <w:tabs>
          <w:tab w:val="right" w:leader="dot" w:pos="8306"/>
        </w:tabs>
      </w:pPr>
      <w:hyperlink w:anchor="_Toc26383" w:history="1">
        <w:r>
          <w:rPr>
            <w:rFonts w:ascii="仿宋" w:eastAsia="仿宋" w:hAnsi="仿宋" w:cs="仿宋" w:hint="eastAsia"/>
            <w:lang w:eastAsia="zh-CN"/>
          </w:rPr>
          <w:t>六、战略合作与合作伙伴关系</w:t>
        </w:r>
        <w:r>
          <w:tab/>
        </w:r>
        <w:r>
          <w:fldChar w:fldCharType="begin"/>
        </w:r>
        <w:r>
          <w:instrText xml:space="preserve"> PAGEREF _Toc26383 \h </w:instrText>
        </w:r>
        <w:r>
          <w:fldChar w:fldCharType="separate"/>
        </w:r>
        <w:r>
          <w:t>25</w:t>
        </w:r>
        <w:r>
          <w:fldChar w:fldCharType="end"/>
        </w:r>
      </w:hyperlink>
    </w:p>
    <w:p>
      <w:pPr>
        <w:pStyle w:val="TOC2"/>
        <w:tabs>
          <w:tab w:val="right" w:leader="dot" w:pos="8306"/>
        </w:tabs>
      </w:pPr>
      <w:hyperlink w:anchor="_Toc8783" w:history="1">
        <w:r>
          <w:rPr>
            <w:rFonts w:ascii="仿宋" w:eastAsia="仿宋" w:hAnsi="仿宋" w:cs="仿宋" w:hint="eastAsia"/>
            <w:lang w:eastAsia="zh-CN"/>
          </w:rPr>
          <w:t>(一)、合作战略与目标</w:t>
        </w:r>
        <w:r>
          <w:tab/>
        </w:r>
        <w:r>
          <w:fldChar w:fldCharType="begin"/>
        </w:r>
        <w:r>
          <w:instrText xml:space="preserve"> PAGEREF _Toc8783 \h </w:instrText>
        </w:r>
        <w:r>
          <w:fldChar w:fldCharType="separate"/>
        </w:r>
        <w:r>
          <w:t>25</w:t>
        </w:r>
        <w:r>
          <w:fldChar w:fldCharType="end"/>
        </w:r>
      </w:hyperlink>
    </w:p>
    <w:p>
      <w:pPr>
        <w:pStyle w:val="TOC2"/>
        <w:tabs>
          <w:tab w:val="right" w:leader="dot" w:pos="8306"/>
        </w:tabs>
      </w:pPr>
      <w:hyperlink w:anchor="_Toc8492" w:history="1">
        <w:r>
          <w:rPr>
            <w:rFonts w:ascii="仿宋" w:eastAsia="仿宋" w:hAnsi="仿宋" w:cs="仿宋" w:hint="eastAsia"/>
            <w:lang w:eastAsia="zh-CN"/>
          </w:rPr>
          <w:t>(二)、合作伙伴选择与评估</w:t>
        </w:r>
        <w:r>
          <w:tab/>
        </w:r>
        <w:r>
          <w:fldChar w:fldCharType="begin"/>
        </w:r>
        <w:r>
          <w:instrText xml:space="preserve"> PAGEREF _Toc8492 \h </w:instrText>
        </w:r>
        <w:r>
          <w:fldChar w:fldCharType="separate"/>
        </w:r>
        <w:r>
          <w:t>25</w:t>
        </w:r>
        <w:r>
          <w:fldChar w:fldCharType="end"/>
        </w:r>
      </w:hyperlink>
    </w:p>
    <w:p>
      <w:pPr>
        <w:pStyle w:val="TOC2"/>
        <w:tabs>
          <w:tab w:val="right" w:leader="dot" w:pos="8306"/>
        </w:tabs>
      </w:pPr>
      <w:hyperlink w:anchor="_Toc16109" w:history="1">
        <w:r>
          <w:rPr>
            <w:rFonts w:ascii="仿宋" w:eastAsia="仿宋" w:hAnsi="仿宋" w:cs="仿宋" w:hint="eastAsia"/>
            <w:lang w:eastAsia="zh-CN"/>
          </w:rPr>
          <w:t>(三)、合同与协议管理</w:t>
        </w:r>
        <w:r>
          <w:tab/>
        </w:r>
        <w:r>
          <w:fldChar w:fldCharType="begin"/>
        </w:r>
        <w:r>
          <w:instrText xml:space="preserve"> PAGEREF _Toc16109 \h </w:instrText>
        </w:r>
        <w:r>
          <w:fldChar w:fldCharType="separate"/>
        </w:r>
        <w:r>
          <w:t>27</w:t>
        </w:r>
        <w:r>
          <w:fldChar w:fldCharType="end"/>
        </w:r>
      </w:hyperlink>
    </w:p>
    <w:p>
      <w:pPr>
        <w:pStyle w:val="TOC2"/>
        <w:tabs>
          <w:tab w:val="right" w:leader="dot" w:pos="8306"/>
        </w:tabs>
      </w:pPr>
      <w:hyperlink w:anchor="_Toc21010" w:history="1">
        <w:r>
          <w:rPr>
            <w:rFonts w:ascii="仿宋" w:eastAsia="仿宋" w:hAnsi="仿宋" w:cs="仿宋" w:hint="eastAsia"/>
            <w:lang w:eastAsia="zh-CN"/>
          </w:rPr>
          <w:t>(四)、风险管理与纠纷解决</w:t>
        </w:r>
        <w:r>
          <w:tab/>
        </w:r>
        <w:r>
          <w:fldChar w:fldCharType="begin"/>
        </w:r>
        <w:r>
          <w:instrText xml:space="preserve"> PAGEREF _Toc21010 \h </w:instrText>
        </w:r>
        <w:r>
          <w:fldChar w:fldCharType="separate"/>
        </w:r>
        <w:r>
          <w:t>27</w:t>
        </w:r>
        <w:r>
          <w:fldChar w:fldCharType="end"/>
        </w:r>
      </w:hyperlink>
    </w:p>
    <w:p>
      <w:pPr>
        <w:pStyle w:val="TOC1"/>
        <w:tabs>
          <w:tab w:val="right" w:leader="dot" w:pos="8306"/>
        </w:tabs>
      </w:pPr>
      <w:hyperlink w:anchor="_Toc24859" w:history="1">
        <w:r>
          <w:rPr>
            <w:rFonts w:ascii="仿宋" w:eastAsia="仿宋" w:hAnsi="仿宋" w:cs="仿宋" w:hint="eastAsia"/>
            <w:lang w:eastAsia="zh-CN"/>
          </w:rPr>
          <w:t>七、投资方案</w:t>
        </w:r>
        <w:r>
          <w:tab/>
        </w:r>
        <w:r>
          <w:fldChar w:fldCharType="begin"/>
        </w:r>
        <w:r>
          <w:instrText xml:space="preserve"> PAGEREF _Toc24859 \h </w:instrText>
        </w:r>
        <w:r>
          <w:fldChar w:fldCharType="separate"/>
        </w:r>
        <w:r>
          <w:t>28</w:t>
        </w:r>
        <w:r>
          <w:fldChar w:fldCharType="end"/>
        </w:r>
      </w:hyperlink>
    </w:p>
    <w:p>
      <w:pPr>
        <w:pStyle w:val="TOC2"/>
        <w:tabs>
          <w:tab w:val="right" w:leader="dot" w:pos="8306"/>
        </w:tabs>
      </w:pPr>
      <w:hyperlink w:anchor="_Toc29062" w:history="1">
        <w:r>
          <w:rPr>
            <w:rFonts w:ascii="仿宋" w:eastAsia="仿宋" w:hAnsi="仿宋" w:cs="仿宋" w:hint="eastAsia"/>
            <w:lang w:eastAsia="zh-CN"/>
          </w:rPr>
          <w:t>(一)、污泥处理项目总投资构成分析</w:t>
        </w:r>
        <w:r>
          <w:tab/>
        </w:r>
        <w:r>
          <w:fldChar w:fldCharType="begin"/>
        </w:r>
        <w:r>
          <w:instrText xml:space="preserve"> PAGEREF _Toc29062 \h </w:instrText>
        </w:r>
        <w:r>
          <w:fldChar w:fldCharType="separate"/>
        </w:r>
        <w:r>
          <w:t>28</w:t>
        </w:r>
        <w:r>
          <w:fldChar w:fldCharType="end"/>
        </w:r>
      </w:hyperlink>
    </w:p>
    <w:p>
      <w:pPr>
        <w:pStyle w:val="TOC2"/>
        <w:tabs>
          <w:tab w:val="right" w:leader="dot" w:pos="8306"/>
        </w:tabs>
      </w:pPr>
      <w:hyperlink w:anchor="_Toc741" w:history="1">
        <w:r>
          <w:rPr>
            <w:rFonts w:ascii="仿宋" w:eastAsia="仿宋" w:hAnsi="仿宋" w:cs="仿宋" w:hint="eastAsia"/>
            <w:lang w:eastAsia="zh-CN"/>
          </w:rPr>
          <w:t>(二)、建设投资构成</w:t>
        </w:r>
        <w:r>
          <w:tab/>
        </w:r>
        <w:r>
          <w:fldChar w:fldCharType="begin"/>
        </w:r>
        <w:r>
          <w:instrText xml:space="preserve"> PAGEREF _Toc741 \h </w:instrText>
        </w:r>
        <w:r>
          <w:fldChar w:fldCharType="separate"/>
        </w:r>
        <w:r>
          <w:t>29</w:t>
        </w:r>
        <w:r>
          <w:fldChar w:fldCharType="end"/>
        </w:r>
      </w:hyperlink>
    </w:p>
    <w:p>
      <w:pPr>
        <w:pStyle w:val="TOC2"/>
        <w:tabs>
          <w:tab w:val="right" w:leader="dot" w:pos="8306"/>
        </w:tabs>
      </w:pPr>
      <w:hyperlink w:anchor="_Toc21844" w:history="1">
        <w:r>
          <w:rPr>
            <w:rFonts w:ascii="仿宋" w:eastAsia="仿宋" w:hAnsi="仿宋" w:cs="仿宋" w:hint="eastAsia"/>
            <w:lang w:eastAsia="zh-CN"/>
          </w:rPr>
          <w:t>(三)、资金筹措方式</w:t>
        </w:r>
        <w:r>
          <w:tab/>
        </w:r>
        <w:r>
          <w:fldChar w:fldCharType="begin"/>
        </w:r>
        <w:r>
          <w:instrText xml:space="preserve"> PAGEREF _Toc21844 \h </w:instrText>
        </w:r>
        <w:r>
          <w:fldChar w:fldCharType="separate"/>
        </w:r>
        <w:r>
          <w:t>30</w:t>
        </w:r>
        <w:r>
          <w:fldChar w:fldCharType="end"/>
        </w:r>
      </w:hyperlink>
    </w:p>
    <w:p>
      <w:pPr>
        <w:pStyle w:val="TOC2"/>
        <w:tabs>
          <w:tab w:val="right" w:leader="dot" w:pos="8306"/>
        </w:tabs>
      </w:pPr>
      <w:hyperlink w:anchor="_Toc7951" w:history="1">
        <w:r>
          <w:rPr>
            <w:rFonts w:ascii="仿宋" w:eastAsia="仿宋" w:hAnsi="仿宋" w:cs="仿宋" w:hint="eastAsia"/>
            <w:lang w:eastAsia="zh-CN"/>
          </w:rPr>
          <w:t>(四)、投资分析</w:t>
        </w:r>
        <w:r>
          <w:tab/>
        </w:r>
        <w:r>
          <w:fldChar w:fldCharType="begin"/>
        </w:r>
        <w:r>
          <w:instrText xml:space="preserve"> PAGEREF _Toc7951 \h </w:instrText>
        </w:r>
        <w:r>
          <w:fldChar w:fldCharType="separate"/>
        </w:r>
        <w:r>
          <w:t>31</w:t>
        </w:r>
        <w:r>
          <w:fldChar w:fldCharType="end"/>
        </w:r>
      </w:hyperlink>
    </w:p>
    <w:p>
      <w:pPr>
        <w:pStyle w:val="TOC2"/>
        <w:tabs>
          <w:tab w:val="right" w:leader="dot" w:pos="8306"/>
        </w:tabs>
      </w:pPr>
      <w:hyperlink w:anchor="_Toc16566" w:history="1">
        <w:r>
          <w:rPr>
            <w:rFonts w:ascii="仿宋" w:eastAsia="仿宋" w:hAnsi="仿宋" w:cs="仿宋" w:hint="eastAsia"/>
            <w:lang w:eastAsia="zh-CN"/>
          </w:rPr>
          <w:t>(五)、资金使用计划</w:t>
        </w:r>
        <w:r>
          <w:tab/>
        </w:r>
        <w:r>
          <w:fldChar w:fldCharType="begin"/>
        </w:r>
        <w:r>
          <w:instrText xml:space="preserve"> PAGEREF _Toc16566 \h </w:instrText>
        </w:r>
        <w:r>
          <w:fldChar w:fldCharType="separate"/>
        </w:r>
        <w:r>
          <w:t>32</w:t>
        </w:r>
        <w:r>
          <w:fldChar w:fldCharType="end"/>
        </w:r>
      </w:hyperlink>
    </w:p>
    <w:p>
      <w:pPr>
        <w:pStyle w:val="TOC2"/>
        <w:tabs>
          <w:tab w:val="right" w:leader="dot" w:pos="8306"/>
        </w:tabs>
      </w:pPr>
      <w:hyperlink w:anchor="_Toc22888" w:history="1">
        <w:r>
          <w:rPr>
            <w:rFonts w:ascii="仿宋" w:eastAsia="仿宋" w:hAnsi="仿宋" w:cs="仿宋" w:hint="eastAsia"/>
            <w:lang w:eastAsia="zh-CN"/>
          </w:rPr>
          <w:t>(六)、污泥处理项目融资方案</w:t>
        </w:r>
        <w:r>
          <w:tab/>
        </w:r>
        <w:r>
          <w:fldChar w:fldCharType="begin"/>
        </w:r>
        <w:r>
          <w:instrText xml:space="preserve"> PAGEREF _Toc22888 \h </w:instrText>
        </w:r>
        <w:r>
          <w:fldChar w:fldCharType="separate"/>
        </w:r>
        <w:r>
          <w:t>33</w:t>
        </w:r>
        <w:r>
          <w:fldChar w:fldCharType="end"/>
        </w:r>
      </w:hyperlink>
    </w:p>
    <w:p>
      <w:pPr>
        <w:pStyle w:val="TOC2"/>
        <w:tabs>
          <w:tab w:val="right" w:leader="dot" w:pos="8306"/>
        </w:tabs>
      </w:pPr>
      <w:hyperlink w:anchor="_Toc26577" w:history="1">
        <w:r>
          <w:rPr>
            <w:rFonts w:ascii="仿宋" w:eastAsia="仿宋" w:hAnsi="仿宋" w:cs="仿宋" w:hint="eastAsia"/>
            <w:lang w:eastAsia="zh-CN"/>
          </w:rPr>
          <w:t>(七)、盈利模式和财务预测</w:t>
        </w:r>
        <w:r>
          <w:tab/>
        </w:r>
        <w:r>
          <w:fldChar w:fldCharType="begin"/>
        </w:r>
        <w:r>
          <w:instrText xml:space="preserve"> PAGEREF _Toc26577 \h </w:instrText>
        </w:r>
        <w:r>
          <w:fldChar w:fldCharType="separate"/>
        </w:r>
        <w:r>
          <w:t>35</w:t>
        </w:r>
        <w:r>
          <w:fldChar w:fldCharType="end"/>
        </w:r>
      </w:hyperlink>
    </w:p>
    <w:p>
      <w:pPr>
        <w:pStyle w:val="TOC1"/>
        <w:tabs>
          <w:tab w:val="right" w:leader="dot" w:pos="8306"/>
        </w:tabs>
      </w:pPr>
      <w:hyperlink w:anchor="_Toc32455" w:history="1">
        <w:r>
          <w:rPr>
            <w:rFonts w:ascii="仿宋" w:eastAsia="仿宋" w:hAnsi="仿宋" w:cs="仿宋" w:hint="eastAsia"/>
            <w:lang w:eastAsia="zh-CN"/>
          </w:rPr>
          <w:t>八、污泥处理项目进展与里程碑</w:t>
        </w:r>
        <w:r>
          <w:tab/>
        </w:r>
        <w:r>
          <w:fldChar w:fldCharType="begin"/>
        </w:r>
        <w:r>
          <w:instrText xml:space="preserve"> PAGEREF _Toc32455 \h </w:instrText>
        </w:r>
        <w:r>
          <w:fldChar w:fldCharType="separate"/>
        </w:r>
        <w:r>
          <w:t>36</w:t>
        </w:r>
        <w:r>
          <w:fldChar w:fldCharType="end"/>
        </w:r>
      </w:hyperlink>
    </w:p>
    <w:p>
      <w:pPr>
        <w:pStyle w:val="TOC2"/>
        <w:tabs>
          <w:tab w:val="right" w:leader="dot" w:pos="8306"/>
        </w:tabs>
      </w:pPr>
      <w:hyperlink w:anchor="_Toc20542" w:history="1">
        <w:r>
          <w:rPr>
            <w:rFonts w:ascii="仿宋" w:eastAsia="仿宋" w:hAnsi="仿宋" w:cs="仿宋" w:hint="eastAsia"/>
            <w:lang w:eastAsia="zh-CN"/>
          </w:rPr>
          <w:t>(一)、污泥处理项目进展</w:t>
        </w:r>
        <w:r>
          <w:tab/>
        </w:r>
        <w:r>
          <w:fldChar w:fldCharType="begin"/>
        </w:r>
        <w:r>
          <w:instrText xml:space="preserve"> PAGEREF _Toc20542 \h </w:instrText>
        </w:r>
        <w:r>
          <w:fldChar w:fldCharType="separate"/>
        </w:r>
        <w:r>
          <w:t>36</w:t>
        </w:r>
        <w:r>
          <w:fldChar w:fldCharType="end"/>
        </w:r>
      </w:hyperlink>
    </w:p>
    <w:p>
      <w:pPr>
        <w:pStyle w:val="TOC2"/>
        <w:tabs>
          <w:tab w:val="right" w:leader="dot" w:pos="8306"/>
        </w:tabs>
      </w:pPr>
      <w:hyperlink w:anchor="_Toc16895" w:history="1">
        <w:r>
          <w:rPr>
            <w:rFonts w:ascii="仿宋" w:eastAsia="仿宋" w:hAnsi="仿宋" w:cs="仿宋" w:hint="eastAsia"/>
            <w:lang w:eastAsia="zh-CN"/>
          </w:rPr>
          <w:t>(二)、重要里程碑与进度控制</w:t>
        </w:r>
        <w:r>
          <w:tab/>
        </w:r>
        <w:r>
          <w:fldChar w:fldCharType="begin"/>
        </w:r>
        <w:r>
          <w:instrText xml:space="preserve"> PAGEREF _Toc16895 \h </w:instrText>
        </w:r>
        <w:r>
          <w:fldChar w:fldCharType="separate"/>
        </w:r>
        <w:r>
          <w:t>37</w:t>
        </w:r>
        <w:r>
          <w:fldChar w:fldCharType="end"/>
        </w:r>
      </w:hyperlink>
    </w:p>
    <w:p>
      <w:pPr>
        <w:pStyle w:val="TOC2"/>
        <w:tabs>
          <w:tab w:val="right" w:leader="dot" w:pos="8306"/>
        </w:tabs>
      </w:pPr>
      <w:hyperlink w:anchor="_Toc32442" w:history="1">
        <w:r>
          <w:rPr>
            <w:rFonts w:ascii="仿宋" w:eastAsia="仿宋" w:hAnsi="仿宋" w:cs="仿宋" w:hint="eastAsia"/>
            <w:lang w:eastAsia="zh-CN"/>
          </w:rPr>
          <w:t>(三)、问题识别与解决方案</w:t>
        </w:r>
        <w:r>
          <w:tab/>
        </w:r>
        <w:r>
          <w:fldChar w:fldCharType="begin"/>
        </w:r>
        <w:r>
          <w:instrText xml:space="preserve"> PAGEREF _Toc32442 \h </w:instrText>
        </w:r>
        <w:r>
          <w:fldChar w:fldCharType="separate"/>
        </w:r>
        <w:r>
          <w:t>38</w:t>
        </w:r>
        <w:r>
          <w:fldChar w:fldCharType="end"/>
        </w:r>
      </w:hyperlink>
    </w:p>
    <w:p>
      <w:pPr>
        <w:pStyle w:val="TOC1"/>
        <w:tabs>
          <w:tab w:val="right" w:leader="dot" w:pos="8306"/>
        </w:tabs>
      </w:pPr>
      <w:hyperlink w:anchor="_Toc1346" w:history="1">
        <w:r>
          <w:rPr>
            <w:rFonts w:ascii="仿宋" w:eastAsia="仿宋" w:hAnsi="仿宋" w:cs="仿宋" w:hint="eastAsia"/>
            <w:lang w:eastAsia="zh-CN"/>
          </w:rPr>
          <w:t>九、风险评估与应对策略</w:t>
        </w:r>
        <w:r>
          <w:tab/>
        </w:r>
        <w:r>
          <w:fldChar w:fldCharType="begin"/>
        </w:r>
        <w:r>
          <w:instrText xml:space="preserve"> PAGEREF _Toc1346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70" w:history="1">
        <w:r>
          <w:rPr>
            <w:rFonts w:ascii="仿宋" w:eastAsia="仿宋" w:hAnsi="仿宋" w:cs="仿宋" w:hint="eastAsia"/>
            <w:lang w:eastAsia="zh-CN"/>
          </w:rPr>
          <w:t>(一)、污泥处理项目风险分析</w:t>
        </w:r>
        <w:r>
          <w:tab/>
        </w:r>
        <w:r>
          <w:fldChar w:fldCharType="begin"/>
        </w:r>
        <w:r>
          <w:instrText xml:space="preserve"> PAGEREF _Toc9070 \h </w:instrText>
        </w:r>
        <w:r>
          <w:fldChar w:fldCharType="separate"/>
        </w:r>
        <w:r>
          <w:t>39</w:t>
        </w:r>
        <w:r>
          <w:fldChar w:fldCharType="end"/>
        </w:r>
      </w:hyperlink>
    </w:p>
    <w:p>
      <w:pPr>
        <w:pStyle w:val="TOC2"/>
        <w:tabs>
          <w:tab w:val="right" w:leader="dot" w:pos="8306"/>
        </w:tabs>
      </w:pPr>
      <w:hyperlink w:anchor="_Toc15310" w:history="1">
        <w:r>
          <w:rPr>
            <w:rFonts w:ascii="仿宋" w:eastAsia="仿宋" w:hAnsi="仿宋" w:cs="仿宋" w:hint="eastAsia"/>
            <w:lang w:eastAsia="zh-CN"/>
          </w:rPr>
          <w:t>(二)、风险管理与应对方法</w:t>
        </w:r>
        <w:r>
          <w:tab/>
        </w:r>
        <w:r>
          <w:fldChar w:fldCharType="begin"/>
        </w:r>
        <w:r>
          <w:instrText xml:space="preserve"> PAGEREF _Toc15310 \h </w:instrText>
        </w:r>
        <w:r>
          <w:fldChar w:fldCharType="separate"/>
        </w:r>
        <w:r>
          <w:t>41</w:t>
        </w:r>
        <w:r>
          <w:fldChar w:fldCharType="end"/>
        </w:r>
      </w:hyperlink>
    </w:p>
    <w:p>
      <w:pPr>
        <w:pStyle w:val="TOC1"/>
        <w:tabs>
          <w:tab w:val="right" w:leader="dot" w:pos="8306"/>
        </w:tabs>
      </w:pPr>
      <w:hyperlink w:anchor="_Toc16757" w:history="1">
        <w:r>
          <w:rPr>
            <w:rFonts w:ascii="仿宋" w:eastAsia="仿宋" w:hAnsi="仿宋" w:cs="仿宋" w:hint="eastAsia"/>
            <w:lang w:eastAsia="zh-CN"/>
          </w:rPr>
          <w:t>十、市场调研与竞争分析</w:t>
        </w:r>
        <w:r>
          <w:tab/>
        </w:r>
        <w:r>
          <w:fldChar w:fldCharType="begin"/>
        </w:r>
        <w:r>
          <w:instrText xml:space="preserve"> PAGEREF _Toc16757 \h </w:instrText>
        </w:r>
        <w:r>
          <w:fldChar w:fldCharType="separate"/>
        </w:r>
        <w:r>
          <w:t>42</w:t>
        </w:r>
        <w:r>
          <w:fldChar w:fldCharType="end"/>
        </w:r>
      </w:hyperlink>
    </w:p>
    <w:p>
      <w:pPr>
        <w:pStyle w:val="TOC2"/>
        <w:tabs>
          <w:tab w:val="right" w:leader="dot" w:pos="8306"/>
        </w:tabs>
      </w:pPr>
      <w:hyperlink w:anchor="_Toc3547" w:history="1">
        <w:r>
          <w:rPr>
            <w:rFonts w:ascii="仿宋" w:eastAsia="仿宋" w:hAnsi="仿宋" w:cs="仿宋" w:hint="eastAsia"/>
            <w:lang w:eastAsia="zh-CN"/>
          </w:rPr>
          <w:t>(一)、市场状况概览</w:t>
        </w:r>
        <w:r>
          <w:tab/>
        </w:r>
        <w:r>
          <w:fldChar w:fldCharType="begin"/>
        </w:r>
        <w:r>
          <w:instrText xml:space="preserve"> PAGEREF _Toc3547 \h </w:instrText>
        </w:r>
        <w:r>
          <w:fldChar w:fldCharType="separate"/>
        </w:r>
        <w:r>
          <w:t>42</w:t>
        </w:r>
        <w:r>
          <w:fldChar w:fldCharType="end"/>
        </w:r>
      </w:hyperlink>
    </w:p>
    <w:p>
      <w:pPr>
        <w:pStyle w:val="TOC2"/>
        <w:tabs>
          <w:tab w:val="right" w:leader="dot" w:pos="8306"/>
        </w:tabs>
      </w:pPr>
      <w:hyperlink w:anchor="_Toc29573" w:history="1">
        <w:r>
          <w:rPr>
            <w:rFonts w:ascii="仿宋" w:eastAsia="仿宋" w:hAnsi="仿宋" w:cs="仿宋" w:hint="eastAsia"/>
            <w:lang w:eastAsia="zh-CN"/>
          </w:rPr>
          <w:t>(二)、市场细分与目标市场</w:t>
        </w:r>
        <w:r>
          <w:tab/>
        </w:r>
        <w:r>
          <w:fldChar w:fldCharType="begin"/>
        </w:r>
        <w:r>
          <w:instrText xml:space="preserve"> PAGEREF _Toc29573 \h </w:instrText>
        </w:r>
        <w:r>
          <w:fldChar w:fldCharType="separate"/>
        </w:r>
        <w:r>
          <w:t>44</w:t>
        </w:r>
        <w:r>
          <w:fldChar w:fldCharType="end"/>
        </w:r>
      </w:hyperlink>
    </w:p>
    <w:p>
      <w:pPr>
        <w:pStyle w:val="TOC2"/>
        <w:tabs>
          <w:tab w:val="right" w:leader="dot" w:pos="8306"/>
        </w:tabs>
      </w:pPr>
      <w:hyperlink w:anchor="_Toc31011" w:history="1">
        <w:r>
          <w:rPr>
            <w:rFonts w:ascii="仿宋" w:eastAsia="仿宋" w:hAnsi="仿宋" w:cs="仿宋" w:hint="eastAsia"/>
            <w:lang w:eastAsia="zh-CN"/>
          </w:rPr>
          <w:t>(三)、竞争对手分析</w:t>
        </w:r>
        <w:r>
          <w:tab/>
        </w:r>
        <w:r>
          <w:fldChar w:fldCharType="begin"/>
        </w:r>
        <w:r>
          <w:instrText xml:space="preserve"> PAGEREF _Toc31011 \h </w:instrText>
        </w:r>
        <w:r>
          <w:fldChar w:fldCharType="separate"/>
        </w:r>
        <w:r>
          <w:t>45</w:t>
        </w:r>
        <w:r>
          <w:fldChar w:fldCharType="end"/>
        </w:r>
      </w:hyperlink>
    </w:p>
    <w:p>
      <w:pPr>
        <w:pStyle w:val="TOC2"/>
        <w:tabs>
          <w:tab w:val="right" w:leader="dot" w:pos="8306"/>
        </w:tabs>
      </w:pPr>
      <w:hyperlink w:anchor="_Toc16101" w:history="1">
        <w:r>
          <w:rPr>
            <w:rFonts w:ascii="仿宋" w:eastAsia="仿宋" w:hAnsi="仿宋" w:cs="仿宋" w:hint="eastAsia"/>
            <w:lang w:eastAsia="zh-CN"/>
          </w:rPr>
          <w:t>(四)、市场机会与挑战</w:t>
        </w:r>
        <w:r>
          <w:tab/>
        </w:r>
        <w:r>
          <w:fldChar w:fldCharType="begin"/>
        </w:r>
        <w:r>
          <w:instrText xml:space="preserve"> PAGEREF _Toc16101 \h </w:instrText>
        </w:r>
        <w:r>
          <w:fldChar w:fldCharType="separate"/>
        </w:r>
        <w:r>
          <w:t>47</w:t>
        </w:r>
        <w:r>
          <w:fldChar w:fldCharType="end"/>
        </w:r>
      </w:hyperlink>
    </w:p>
    <w:p>
      <w:pPr>
        <w:pStyle w:val="TOC2"/>
        <w:tabs>
          <w:tab w:val="right" w:leader="dot" w:pos="8306"/>
        </w:tabs>
      </w:pPr>
      <w:hyperlink w:anchor="_Toc14971" w:history="1">
        <w:r>
          <w:rPr>
            <w:rFonts w:ascii="仿宋" w:eastAsia="仿宋" w:hAnsi="仿宋" w:cs="仿宋" w:hint="eastAsia"/>
            <w:lang w:eastAsia="zh-CN"/>
          </w:rPr>
          <w:t>(五)、市场战略</w:t>
        </w:r>
        <w:r>
          <w:tab/>
        </w:r>
        <w:r>
          <w:fldChar w:fldCharType="begin"/>
        </w:r>
        <w:r>
          <w:instrText xml:space="preserve"> PAGEREF _Toc14971 \h </w:instrText>
        </w:r>
        <w:r>
          <w:fldChar w:fldCharType="separate"/>
        </w:r>
        <w:r>
          <w:t>48</w:t>
        </w:r>
        <w:r>
          <w:fldChar w:fldCharType="end"/>
        </w:r>
      </w:hyperlink>
    </w:p>
    <w:p>
      <w:pPr>
        <w:pStyle w:val="TOC1"/>
        <w:tabs>
          <w:tab w:val="right" w:leader="dot" w:pos="8306"/>
        </w:tabs>
      </w:pPr>
      <w:hyperlink w:anchor="_Toc12057" w:history="1">
        <w:r>
          <w:rPr>
            <w:rFonts w:ascii="仿宋" w:eastAsia="仿宋" w:hAnsi="仿宋" w:cs="仿宋" w:hint="eastAsia"/>
            <w:lang w:eastAsia="zh-CN"/>
          </w:rPr>
          <w:t>十一、未来展望与增长策略</w:t>
        </w:r>
        <w:r>
          <w:tab/>
        </w:r>
        <w:r>
          <w:fldChar w:fldCharType="begin"/>
        </w:r>
        <w:r>
          <w:instrText xml:space="preserve"> PAGEREF _Toc12057 \h </w:instrText>
        </w:r>
        <w:r>
          <w:fldChar w:fldCharType="separate"/>
        </w:r>
        <w:r>
          <w:t>50</w:t>
        </w:r>
        <w:r>
          <w:fldChar w:fldCharType="end"/>
        </w:r>
      </w:hyperlink>
    </w:p>
    <w:p>
      <w:pPr>
        <w:pStyle w:val="TOC2"/>
        <w:tabs>
          <w:tab w:val="right" w:leader="dot" w:pos="8306"/>
        </w:tabs>
      </w:pPr>
      <w:hyperlink w:anchor="_Toc29007" w:history="1">
        <w:r>
          <w:rPr>
            <w:rFonts w:ascii="仿宋" w:eastAsia="仿宋" w:hAnsi="仿宋" w:cs="仿宋" w:hint="eastAsia"/>
            <w:lang w:eastAsia="zh-CN"/>
          </w:rPr>
          <w:t>(一)、未来市场趋势分析</w:t>
        </w:r>
        <w:r>
          <w:tab/>
        </w:r>
        <w:r>
          <w:fldChar w:fldCharType="begin"/>
        </w:r>
        <w:r>
          <w:instrText xml:space="preserve"> PAGEREF _Toc29007 \h </w:instrText>
        </w:r>
        <w:r>
          <w:fldChar w:fldCharType="separate"/>
        </w:r>
        <w:r>
          <w:t>50</w:t>
        </w:r>
        <w:r>
          <w:fldChar w:fldCharType="end"/>
        </w:r>
      </w:hyperlink>
    </w:p>
    <w:p>
      <w:pPr>
        <w:pStyle w:val="TOC2"/>
        <w:tabs>
          <w:tab w:val="right" w:leader="dot" w:pos="8306"/>
        </w:tabs>
      </w:pPr>
      <w:hyperlink w:anchor="_Toc2027" w:history="1">
        <w:r>
          <w:rPr>
            <w:rFonts w:ascii="仿宋" w:eastAsia="仿宋" w:hAnsi="仿宋" w:cs="仿宋" w:hint="eastAsia"/>
            <w:lang w:eastAsia="zh-CN"/>
          </w:rPr>
          <w:t>(二)、增长机会与战略</w:t>
        </w:r>
        <w:r>
          <w:tab/>
        </w:r>
        <w:r>
          <w:fldChar w:fldCharType="begin"/>
        </w:r>
        <w:r>
          <w:instrText xml:space="preserve"> PAGEREF _Toc2027 \h </w:instrText>
        </w:r>
        <w:r>
          <w:fldChar w:fldCharType="separate"/>
        </w:r>
        <w:r>
          <w:t>51</w:t>
        </w:r>
        <w:r>
          <w:fldChar w:fldCharType="end"/>
        </w:r>
      </w:hyperlink>
    </w:p>
    <w:p>
      <w:pPr>
        <w:pStyle w:val="TOC2"/>
        <w:tabs>
          <w:tab w:val="right" w:leader="dot" w:pos="8306"/>
        </w:tabs>
      </w:pPr>
      <w:hyperlink w:anchor="_Toc13324" w:history="1">
        <w:r>
          <w:rPr>
            <w:rFonts w:ascii="仿宋" w:eastAsia="仿宋" w:hAnsi="仿宋" w:cs="仿宋" w:hint="eastAsia"/>
            <w:lang w:eastAsia="zh-CN"/>
          </w:rPr>
          <w:t>(三)、扩展计划与新市场进入</w:t>
        </w:r>
        <w:r>
          <w:tab/>
        </w:r>
        <w:r>
          <w:fldChar w:fldCharType="begin"/>
        </w:r>
        <w:r>
          <w:instrText xml:space="preserve"> PAGEREF _Toc13324 \h </w:instrText>
        </w:r>
        <w:r>
          <w:fldChar w:fldCharType="separate"/>
        </w:r>
        <w:r>
          <w:t>51</w:t>
        </w:r>
        <w:r>
          <w:fldChar w:fldCharType="end"/>
        </w:r>
      </w:hyperlink>
    </w:p>
    <w:p>
      <w:pPr>
        <w:pStyle w:val="TOC1"/>
        <w:tabs>
          <w:tab w:val="right" w:leader="dot" w:pos="8306"/>
        </w:tabs>
      </w:pPr>
      <w:hyperlink w:anchor="_Toc2233" w:history="1">
        <w:r>
          <w:rPr>
            <w:rFonts w:ascii="仿宋" w:eastAsia="仿宋" w:hAnsi="仿宋" w:cs="仿宋" w:hint="eastAsia"/>
            <w:lang w:eastAsia="zh-CN"/>
          </w:rPr>
          <w:t>十二、环境保护与可持续发展</w:t>
        </w:r>
        <w:r>
          <w:tab/>
        </w:r>
        <w:r>
          <w:fldChar w:fldCharType="begin"/>
        </w:r>
        <w:r>
          <w:instrText xml:space="preserve"> PAGEREF _Toc2233 \h </w:instrText>
        </w:r>
        <w:r>
          <w:fldChar w:fldCharType="separate"/>
        </w:r>
        <w:r>
          <w:t>51</w:t>
        </w:r>
        <w:r>
          <w:fldChar w:fldCharType="end"/>
        </w:r>
      </w:hyperlink>
    </w:p>
    <w:p>
      <w:pPr>
        <w:pStyle w:val="TOC2"/>
        <w:tabs>
          <w:tab w:val="right" w:leader="dot" w:pos="8306"/>
        </w:tabs>
      </w:pPr>
      <w:hyperlink w:anchor="_Toc17589" w:history="1">
        <w:r>
          <w:rPr>
            <w:rFonts w:ascii="仿宋" w:eastAsia="仿宋" w:hAnsi="仿宋" w:cs="仿宋" w:hint="eastAsia"/>
            <w:lang w:eastAsia="zh-CN"/>
          </w:rPr>
          <w:t>(一)、环境保护政策与承诺</w:t>
        </w:r>
        <w:r>
          <w:tab/>
        </w:r>
        <w:r>
          <w:fldChar w:fldCharType="begin"/>
        </w:r>
        <w:r>
          <w:instrText xml:space="preserve"> PAGEREF _Toc17589 \h </w:instrText>
        </w:r>
        <w:r>
          <w:fldChar w:fldCharType="separate"/>
        </w:r>
        <w:r>
          <w:t>51</w:t>
        </w:r>
        <w:r>
          <w:fldChar w:fldCharType="end"/>
        </w:r>
      </w:hyperlink>
    </w:p>
    <w:p>
      <w:pPr>
        <w:pStyle w:val="TOC2"/>
        <w:tabs>
          <w:tab w:val="right" w:leader="dot" w:pos="8306"/>
        </w:tabs>
      </w:pPr>
      <w:hyperlink w:anchor="_Toc21293" w:history="1">
        <w:r>
          <w:rPr>
            <w:rFonts w:ascii="仿宋" w:eastAsia="仿宋" w:hAnsi="仿宋" w:cs="仿宋" w:hint="eastAsia"/>
            <w:lang w:eastAsia="zh-CN"/>
          </w:rPr>
          <w:t>(二)、可持续生产与绿色供应链</w:t>
        </w:r>
        <w:r>
          <w:tab/>
        </w:r>
        <w:r>
          <w:fldChar w:fldCharType="begin"/>
        </w:r>
        <w:r>
          <w:instrText xml:space="preserve"> PAGEREF _Toc21293 \h </w:instrText>
        </w:r>
        <w:r>
          <w:fldChar w:fldCharType="separate"/>
        </w:r>
        <w:r>
          <w:t>52</w:t>
        </w:r>
        <w:r>
          <w:fldChar w:fldCharType="end"/>
        </w:r>
      </w:hyperlink>
    </w:p>
    <w:p>
      <w:pPr>
        <w:pStyle w:val="TOC2"/>
        <w:tabs>
          <w:tab w:val="right" w:leader="dot" w:pos="8306"/>
        </w:tabs>
      </w:pPr>
      <w:hyperlink w:anchor="_Toc20273" w:history="1">
        <w:r>
          <w:rPr>
            <w:rFonts w:ascii="仿宋" w:eastAsia="仿宋" w:hAnsi="仿宋" w:cs="仿宋" w:hint="eastAsia"/>
            <w:lang w:eastAsia="zh-CN"/>
          </w:rPr>
          <w:t>(三)、减少废物和碳足迹</w:t>
        </w:r>
        <w:r>
          <w:tab/>
        </w:r>
        <w:r>
          <w:fldChar w:fldCharType="begin"/>
        </w:r>
        <w:r>
          <w:instrText xml:space="preserve"> PAGEREF _Toc20273 \h </w:instrText>
        </w:r>
        <w:r>
          <w:fldChar w:fldCharType="separate"/>
        </w:r>
        <w:r>
          <w:t>53</w:t>
        </w:r>
        <w:r>
          <w:fldChar w:fldCharType="end"/>
        </w:r>
      </w:hyperlink>
    </w:p>
    <w:p>
      <w:pPr>
        <w:pStyle w:val="TOC2"/>
        <w:tabs>
          <w:tab w:val="right" w:leader="dot" w:pos="8306"/>
        </w:tabs>
      </w:pPr>
      <w:hyperlink w:anchor="_Toc22736" w:history="1">
        <w:r>
          <w:rPr>
            <w:rFonts w:ascii="仿宋" w:eastAsia="仿宋" w:hAnsi="仿宋" w:cs="仿宋" w:hint="eastAsia"/>
            <w:lang w:eastAsia="zh-CN"/>
          </w:rPr>
          <w:t>(四)、知识产权保护与创新</w:t>
        </w:r>
        <w:r>
          <w:tab/>
        </w:r>
        <w:r>
          <w:fldChar w:fldCharType="begin"/>
        </w:r>
        <w:r>
          <w:instrText xml:space="preserve"> PAGEREF _Toc22736 \h </w:instrText>
        </w:r>
        <w:r>
          <w:fldChar w:fldCharType="separate"/>
        </w:r>
        <w:r>
          <w:t>54</w:t>
        </w:r>
        <w:r>
          <w:fldChar w:fldCharType="end"/>
        </w:r>
      </w:hyperlink>
    </w:p>
    <w:p>
      <w:pPr>
        <w:pStyle w:val="TOC2"/>
        <w:tabs>
          <w:tab w:val="right" w:leader="dot" w:pos="8306"/>
        </w:tabs>
      </w:pPr>
      <w:hyperlink w:anchor="_Toc10016" w:history="1">
        <w:r>
          <w:rPr>
            <w:rFonts w:ascii="仿宋" w:eastAsia="仿宋" w:hAnsi="仿宋" w:cs="仿宋" w:hint="eastAsia"/>
            <w:lang w:eastAsia="zh-CN"/>
          </w:rPr>
          <w:t>(五)、社区参与与教育</w:t>
        </w:r>
        <w:r>
          <w:tab/>
        </w:r>
        <w:r>
          <w:fldChar w:fldCharType="begin"/>
        </w:r>
        <w:r>
          <w:instrText xml:space="preserve"> PAGEREF _Toc10016 \h </w:instrText>
        </w:r>
        <w:r>
          <w:fldChar w:fldCharType="separate"/>
        </w:r>
        <w:r>
          <w:t>54</w:t>
        </w:r>
        <w:r>
          <w:fldChar w:fldCharType="end"/>
        </w:r>
      </w:hyperlink>
    </w:p>
    <w:p>
      <w:pPr>
        <w:pStyle w:val="TOC1"/>
        <w:tabs>
          <w:tab w:val="right" w:leader="dot" w:pos="8306"/>
        </w:tabs>
      </w:pPr>
      <w:hyperlink w:anchor="_Toc3606" w:history="1">
        <w:r>
          <w:rPr>
            <w:rFonts w:ascii="仿宋" w:eastAsia="仿宋" w:hAnsi="仿宋" w:cs="仿宋" w:hint="eastAsia"/>
            <w:lang w:eastAsia="zh-CN"/>
          </w:rPr>
          <w:t>十三、战略合作伙伴与投资者关系</w:t>
        </w:r>
        <w:r>
          <w:tab/>
        </w:r>
        <w:r>
          <w:fldChar w:fldCharType="begin"/>
        </w:r>
        <w:r>
          <w:instrText xml:space="preserve"> PAGEREF _Toc3606 \h </w:instrText>
        </w:r>
        <w:r>
          <w:fldChar w:fldCharType="separate"/>
        </w:r>
        <w:r>
          <w:t>55</w:t>
        </w:r>
        <w:r>
          <w:fldChar w:fldCharType="end"/>
        </w:r>
      </w:hyperlink>
    </w:p>
    <w:p>
      <w:pPr>
        <w:pStyle w:val="TOC2"/>
        <w:tabs>
          <w:tab w:val="right" w:leader="dot" w:pos="8306"/>
        </w:tabs>
      </w:pPr>
      <w:hyperlink w:anchor="_Toc26932" w:history="1">
        <w:r>
          <w:rPr>
            <w:rFonts w:ascii="仿宋" w:eastAsia="仿宋" w:hAnsi="仿宋" w:cs="仿宋" w:hint="eastAsia"/>
            <w:lang w:eastAsia="zh-CN"/>
          </w:rPr>
          <w:t>(一)、投资者关系管理</w:t>
        </w:r>
        <w:r>
          <w:tab/>
        </w:r>
        <w:r>
          <w:fldChar w:fldCharType="begin"/>
        </w:r>
        <w:r>
          <w:instrText xml:space="preserve"> PAGEREF _Toc26932 \h </w:instrText>
        </w:r>
        <w:r>
          <w:fldChar w:fldCharType="separate"/>
        </w:r>
        <w:r>
          <w:t>55</w:t>
        </w:r>
        <w:r>
          <w:fldChar w:fldCharType="end"/>
        </w:r>
      </w:hyperlink>
    </w:p>
    <w:p>
      <w:pPr>
        <w:pStyle w:val="TOC2"/>
        <w:tabs>
          <w:tab w:val="right" w:leader="dot" w:pos="8306"/>
        </w:tabs>
      </w:pPr>
      <w:hyperlink w:anchor="_Toc22220" w:history="1">
        <w:r>
          <w:rPr>
            <w:rFonts w:ascii="仿宋" w:eastAsia="仿宋" w:hAnsi="仿宋" w:cs="仿宋" w:hint="eastAsia"/>
            <w:lang w:eastAsia="zh-CN"/>
          </w:rPr>
          <w:t>(二)、战略合作伙伴关系管理</w:t>
        </w:r>
        <w:r>
          <w:tab/>
        </w:r>
        <w:r>
          <w:fldChar w:fldCharType="begin"/>
        </w:r>
        <w:r>
          <w:instrText xml:space="preserve"> PAGEREF _Toc22220 \h </w:instrText>
        </w:r>
        <w:r>
          <w:fldChar w:fldCharType="separate"/>
        </w:r>
        <w:r>
          <w:t>55</w:t>
        </w:r>
        <w:r>
          <w:fldChar w:fldCharType="end"/>
        </w:r>
      </w:hyperlink>
    </w:p>
    <w:p>
      <w:pPr>
        <w:pStyle w:val="TOC2"/>
        <w:tabs>
          <w:tab w:val="right" w:leader="dot" w:pos="8306"/>
        </w:tabs>
      </w:pPr>
      <w:hyperlink w:anchor="_Toc17498" w:history="1">
        <w:r>
          <w:rPr>
            <w:rFonts w:ascii="仿宋" w:eastAsia="仿宋" w:hAnsi="仿宋" w:cs="仿宋" w:hint="eastAsia"/>
            <w:lang w:eastAsia="zh-CN"/>
          </w:rPr>
          <w:t>(三)、投资者关系沟通</w:t>
        </w:r>
        <w:r>
          <w:tab/>
        </w:r>
        <w:r>
          <w:fldChar w:fldCharType="begin"/>
        </w:r>
        <w:r>
          <w:instrText xml:space="preserve"> PAGEREF _Toc17498 \h </w:instrText>
        </w:r>
        <w:r>
          <w:fldChar w:fldCharType="separate"/>
        </w:r>
        <w:r>
          <w:t>56</w:t>
        </w:r>
        <w:r>
          <w:fldChar w:fldCharType="end"/>
        </w:r>
      </w:hyperlink>
    </w:p>
    <w:p>
      <w:pPr>
        <w:pStyle w:val="TOC2"/>
        <w:tabs>
          <w:tab w:val="right" w:leader="dot" w:pos="8306"/>
        </w:tabs>
      </w:pPr>
      <w:hyperlink w:anchor="_Toc32542" w:history="1">
        <w:r>
          <w:rPr>
            <w:rFonts w:ascii="仿宋" w:eastAsia="仿宋" w:hAnsi="仿宋" w:cs="仿宋" w:hint="eastAsia"/>
            <w:lang w:eastAsia="zh-CN"/>
          </w:rPr>
          <w:t>(四)、投资者服务计划</w:t>
        </w:r>
        <w:r>
          <w:tab/>
        </w:r>
        <w:r>
          <w:fldChar w:fldCharType="begin"/>
        </w:r>
        <w:r>
          <w:instrText xml:space="preserve"> PAGEREF _Toc32542 \h </w:instrText>
        </w:r>
        <w:r>
          <w:fldChar w:fldCharType="separate"/>
        </w:r>
        <w:r>
          <w:t>56</w:t>
        </w:r>
        <w:r>
          <w:fldChar w:fldCharType="end"/>
        </w:r>
      </w:hyperlink>
    </w:p>
    <w:p>
      <w:pPr>
        <w:pStyle w:val="TOC1"/>
        <w:tabs>
          <w:tab w:val="right" w:leader="dot" w:pos="8306"/>
        </w:tabs>
      </w:pPr>
      <w:hyperlink w:anchor="_Toc4416" w:history="1">
        <w:r>
          <w:rPr>
            <w:rFonts w:ascii="仿宋" w:eastAsia="仿宋" w:hAnsi="仿宋" w:cs="仿宋" w:hint="eastAsia"/>
            <w:lang w:eastAsia="zh-CN"/>
          </w:rPr>
          <w:t>十四、战略退出计划</w:t>
        </w:r>
        <w:r>
          <w:tab/>
        </w:r>
        <w:r>
          <w:fldChar w:fldCharType="begin"/>
        </w:r>
        <w:r>
          <w:instrText xml:space="preserve"> PAGEREF _Toc4416 \h </w:instrText>
        </w:r>
        <w:r>
          <w:fldChar w:fldCharType="separate"/>
        </w:r>
        <w:r>
          <w:t>57</w:t>
        </w:r>
        <w:r>
          <w:fldChar w:fldCharType="end"/>
        </w:r>
      </w:hyperlink>
    </w:p>
    <w:p>
      <w:pPr>
        <w:pStyle w:val="TOC2"/>
        <w:tabs>
          <w:tab w:val="right" w:leader="dot" w:pos="8306"/>
        </w:tabs>
      </w:pPr>
      <w:hyperlink w:anchor="_Toc28032" w:history="1">
        <w:r>
          <w:rPr>
            <w:rFonts w:ascii="仿宋" w:eastAsia="仿宋" w:hAnsi="仿宋" w:cs="仿宋" w:hint="eastAsia"/>
            <w:lang w:eastAsia="zh-CN"/>
          </w:rPr>
          <w:t>(一)、污泥处理项目退出战略</w:t>
        </w:r>
        <w:r>
          <w:tab/>
        </w:r>
        <w:r>
          <w:fldChar w:fldCharType="begin"/>
        </w:r>
        <w:r>
          <w:instrText xml:space="preserve"> PAGEREF _Toc28032 \h </w:instrText>
        </w:r>
        <w:r>
          <w:fldChar w:fldCharType="separate"/>
        </w:r>
        <w:r>
          <w:t>57</w:t>
        </w:r>
        <w:r>
          <w:fldChar w:fldCharType="end"/>
        </w:r>
      </w:hyperlink>
    </w:p>
    <w:p>
      <w:pPr>
        <w:pStyle w:val="TOC2"/>
        <w:tabs>
          <w:tab w:val="right" w:leader="dot" w:pos="8306"/>
        </w:tabs>
      </w:pPr>
      <w:hyperlink w:anchor="_Toc21242" w:history="1">
        <w:r>
          <w:rPr>
            <w:rFonts w:ascii="仿宋" w:eastAsia="仿宋" w:hAnsi="仿宋" w:cs="仿宋" w:hint="eastAsia"/>
            <w:lang w:eastAsia="zh-CN"/>
          </w:rPr>
          <w:t>(二)、潜在退出方式</w:t>
        </w:r>
        <w:r>
          <w:tab/>
        </w:r>
        <w:r>
          <w:fldChar w:fldCharType="begin"/>
        </w:r>
        <w:r>
          <w:instrText xml:space="preserve"> PAGEREF _Toc21242 \h </w:instrText>
        </w:r>
        <w:r>
          <w:fldChar w:fldCharType="separate"/>
        </w:r>
        <w:r>
          <w:t>58</w:t>
        </w:r>
        <w:r>
          <w:fldChar w:fldCharType="end"/>
        </w:r>
      </w:hyperlink>
    </w:p>
    <w:p>
      <w:pPr>
        <w:pStyle w:val="TOC2"/>
        <w:tabs>
          <w:tab w:val="right" w:leader="dot" w:pos="8306"/>
        </w:tabs>
      </w:pPr>
      <w:hyperlink w:anchor="_Toc23883" w:history="1">
        <w:r>
          <w:rPr>
            <w:rFonts w:ascii="仿宋" w:eastAsia="仿宋" w:hAnsi="仿宋" w:cs="仿宋" w:hint="eastAsia"/>
            <w:lang w:eastAsia="zh-CN"/>
          </w:rPr>
          <w:t>(三)、退出时机与条件</w:t>
        </w:r>
        <w:r>
          <w:tab/>
        </w:r>
        <w:r>
          <w:fldChar w:fldCharType="begin"/>
        </w:r>
        <w:r>
          <w:instrText xml:space="preserve"> PAGEREF _Toc23883 \h </w:instrText>
        </w:r>
        <w:r>
          <w:fldChar w:fldCharType="separate"/>
        </w:r>
        <w:r>
          <w:t>58</w:t>
        </w:r>
        <w:r>
          <w:fldChar w:fldCharType="end"/>
        </w:r>
      </w:hyperlink>
    </w:p>
    <w:p>
      <w:pPr>
        <w:pStyle w:val="TOC2"/>
        <w:tabs>
          <w:tab w:val="right" w:leader="dot" w:pos="8306"/>
        </w:tabs>
      </w:pPr>
      <w:hyperlink w:anchor="_Toc11975" w:history="1">
        <w:r>
          <w:rPr>
            <w:rFonts w:ascii="仿宋" w:eastAsia="仿宋" w:hAnsi="仿宋" w:cs="仿宋" w:hint="eastAsia"/>
            <w:lang w:eastAsia="zh-CN"/>
          </w:rPr>
          <w:t>(四)、投资者回报与退出</w:t>
        </w:r>
        <w:r>
          <w:tab/>
        </w:r>
        <w:r>
          <w:fldChar w:fldCharType="begin"/>
        </w:r>
        <w:r>
          <w:instrText xml:space="preserve"> PAGEREF _Toc11975 \h </w:instrText>
        </w:r>
        <w:r>
          <w:fldChar w:fldCharType="separate"/>
        </w:r>
        <w:r>
          <w:t>59</w:t>
        </w:r>
        <w:r>
          <w:fldChar w:fldCharType="end"/>
        </w:r>
      </w:hyperlink>
    </w:p>
    <w:p>
      <w:pPr>
        <w:pStyle w:val="TOC1"/>
        <w:tabs>
          <w:tab w:val="right" w:leader="dot" w:pos="8306"/>
        </w:tabs>
      </w:pPr>
      <w:hyperlink w:anchor="_Toc18813" w:history="1">
        <w:r>
          <w:rPr>
            <w:rFonts w:ascii="仿宋" w:eastAsia="仿宋" w:hAnsi="仿宋" w:cs="仿宋" w:hint="eastAsia"/>
            <w:lang w:eastAsia="zh-CN"/>
          </w:rPr>
          <w:t>十五、污泥处理项目监督与评估</w:t>
        </w:r>
        <w:r>
          <w:tab/>
        </w:r>
        <w:r>
          <w:fldChar w:fldCharType="begin"/>
        </w:r>
        <w:r>
          <w:instrText xml:space="preserve"> PAGEREF _Toc18813 \h </w:instrText>
        </w:r>
        <w:r>
          <w:fldChar w:fldCharType="separate"/>
        </w:r>
        <w:r>
          <w:t>59</w:t>
        </w:r>
        <w:r>
          <w:fldChar w:fldCharType="end"/>
        </w:r>
      </w:hyperlink>
    </w:p>
    <w:p>
      <w:pPr>
        <w:pStyle w:val="TOC2"/>
        <w:tabs>
          <w:tab w:val="right" w:leader="dot" w:pos="8306"/>
        </w:tabs>
      </w:pPr>
      <w:hyperlink w:anchor="_Toc247" w:history="1">
        <w:r>
          <w:rPr>
            <w:rFonts w:ascii="仿宋" w:eastAsia="仿宋" w:hAnsi="仿宋" w:cs="仿宋" w:hint="eastAsia"/>
            <w:lang w:eastAsia="zh-CN"/>
          </w:rPr>
          <w:t>(一)、污泥处理项目监督体系</w:t>
        </w:r>
        <w:r>
          <w:tab/>
        </w:r>
        <w:r>
          <w:fldChar w:fldCharType="begin"/>
        </w:r>
        <w:r>
          <w:instrText xml:space="preserve"> PAGEREF _Toc247 \h </w:instrText>
        </w:r>
        <w:r>
          <w:fldChar w:fldCharType="separate"/>
        </w:r>
        <w:r>
          <w:t>59</w:t>
        </w:r>
        <w:r>
          <w:fldChar w:fldCharType="end"/>
        </w:r>
      </w:hyperlink>
    </w:p>
    <w:p>
      <w:pPr>
        <w:pStyle w:val="TOC2"/>
        <w:tabs>
          <w:tab w:val="right" w:leader="dot" w:pos="8306"/>
        </w:tabs>
      </w:pPr>
      <w:hyperlink w:anchor="_Toc11879" w:history="1">
        <w:r>
          <w:rPr>
            <w:rFonts w:ascii="仿宋" w:eastAsia="仿宋" w:hAnsi="仿宋" w:cs="仿宋" w:hint="eastAsia"/>
            <w:lang w:eastAsia="zh-CN"/>
          </w:rPr>
          <w:t>(二)、绩效评估与指标</w:t>
        </w:r>
        <w:r>
          <w:tab/>
        </w:r>
        <w:r>
          <w:fldChar w:fldCharType="begin"/>
        </w:r>
        <w:r>
          <w:instrText xml:space="preserve"> PAGEREF _Toc11879 \h </w:instrText>
        </w:r>
        <w:r>
          <w:fldChar w:fldCharType="separate"/>
        </w:r>
        <w:r>
          <w:t>60</w:t>
        </w:r>
        <w:r>
          <w:fldChar w:fldCharType="end"/>
        </w:r>
      </w:hyperlink>
    </w:p>
    <w:p>
      <w:pPr>
        <w:pStyle w:val="TOC2"/>
        <w:tabs>
          <w:tab w:val="right" w:leader="dot" w:pos="8306"/>
        </w:tabs>
      </w:pPr>
      <w:hyperlink w:anchor="_Toc10859" w:history="1">
        <w:r>
          <w:rPr>
            <w:rFonts w:ascii="仿宋" w:eastAsia="仿宋" w:hAnsi="仿宋" w:cs="仿宋" w:hint="eastAsia"/>
            <w:lang w:eastAsia="zh-CN"/>
          </w:rPr>
          <w:t>(三)、变更管理与调整</w:t>
        </w:r>
        <w:r>
          <w:tab/>
        </w:r>
        <w:r>
          <w:fldChar w:fldCharType="begin"/>
        </w:r>
        <w:r>
          <w:instrText xml:space="preserve"> PAGEREF _Toc10859 \h </w:instrText>
        </w:r>
        <w:r>
          <w:fldChar w:fldCharType="separate"/>
        </w:r>
        <w:r>
          <w:t>61</w:t>
        </w:r>
        <w:r>
          <w:fldChar w:fldCharType="end"/>
        </w:r>
      </w:hyperlink>
    </w:p>
    <w:p>
      <w:pPr>
        <w:pStyle w:val="TOC2"/>
        <w:tabs>
          <w:tab w:val="right" w:leader="dot" w:pos="8306"/>
        </w:tabs>
      </w:pPr>
      <w:hyperlink w:anchor="_Toc27032" w:history="1">
        <w:r>
          <w:rPr>
            <w:rFonts w:ascii="仿宋" w:eastAsia="仿宋" w:hAnsi="仿宋" w:cs="仿宋" w:hint="eastAsia"/>
            <w:lang w:eastAsia="zh-CN"/>
          </w:rPr>
          <w:t>(四)、定期报告与审计</w:t>
        </w:r>
        <w:r>
          <w:tab/>
        </w:r>
        <w:r>
          <w:fldChar w:fldCharType="begin"/>
        </w:r>
        <w:r>
          <w:instrText xml:space="preserve"> PAGEREF _Toc27032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对污泥处理市场调研项目的综合评价分析，通过深入研究市场需求、竞争状况和未来趋势，为企业制定合适的营销策略和发展规划提供参考依据。报告采用标准的分析方法和模型，对可行性进行了综合评估，并提出了优化建议。请注意，本报告仅供学习交流使用，不可做为商业用途。</w:t>
      </w:r>
    </w:p>
    <w:p>
      <w:pPr>
        <w:pStyle w:val="Heading1"/>
        <w:ind w:firstLine="560" w:firstLineChars="200"/>
        <w:rPr>
          <w:rFonts w:ascii="仿宋" w:eastAsia="仿宋" w:hAnsi="仿宋" w:cs="仿宋" w:hint="eastAsia"/>
          <w:sz w:val="28"/>
          <w:lang w:eastAsia="zh-CN"/>
        </w:rPr>
      </w:pPr>
      <w:bookmarkStart w:id="2" w:name="_Toc3929"/>
      <w:r>
        <w:rPr>
          <w:rFonts w:ascii="仿宋" w:eastAsia="仿宋" w:hAnsi="仿宋" w:cs="仿宋" w:hint="eastAsia"/>
          <w:sz w:val="28"/>
          <w:lang w:eastAsia="zh-CN"/>
        </w:rPr>
        <w:t>一、组织架构与人力资源配置</w:t>
      </w:r>
      <w:bookmarkEnd w:id="2"/>
    </w:p>
    <w:p>
      <w:pPr>
        <w:pStyle w:val="Heading2"/>
        <w:rPr>
          <w:rFonts w:ascii="仿宋" w:eastAsia="仿宋" w:hAnsi="仿宋" w:cs="仿宋" w:hint="eastAsia"/>
          <w:lang w:eastAsia="zh-CN"/>
        </w:rPr>
      </w:pPr>
      <w:bookmarkStart w:id="3" w:name="_Toc17616"/>
      <w:r>
        <w:rPr>
          <w:rFonts w:ascii="仿宋" w:eastAsia="仿宋" w:hAnsi="仿宋" w:cs="仿宋" w:hint="eastAsia"/>
          <w:lang w:eastAsia="zh-CN"/>
        </w:rPr>
        <w:t>(一)、人员资源需求</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当考虑公司的人员资源需求时，需要具体考虑不同职能领域的要求和每个职位的具体需求。每个领域的具体人员资源需求：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核心管理团队：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总裁：高度战略和领导能力，有丰富的管理经验，能够制定公司的长期战略和目标。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副总裁：各自负责公司的不同领域，例如市场、销售、财务等。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财务总监：负责财务管理、预算控制和财务报告，需要具备财务专业背景和相关资格认证。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市场总监：负责市场推广、品牌建设和市场战略制定，需要熟悉市场分析和竞争对手情况。</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专业技术人员：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工程师：根据污泥处理项目需求，需要不同领域的工程师，例如电子工程师、机械工程师、软件工程师等。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科学家：从事研究和开发工作，需要相关学科的博士学位和研究经验。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设计师：负责产品设计和创新，需要创造力和设计技能。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3. 销售和市场人员：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销售代表：负责销售产品或服务，需要沟通和谈判技巧。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市场营销经理：制定市场策略、广告计划和推广活动，需要市场分析和策略制定的经验。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客户关系管理人员：维护客户关系，提供客户支持和解决问题。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运营和生产人员：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生产工人：从事产品制造，需要相关领域的技术知识。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供应链管理人员：负责供应链规划、物流和库存管理。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质量控制专员：确保产品质量，进行质量检测和控制。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行政和支持人员：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行政助理：协助日常行政工作，如文件管理、会议组织。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人力资源专员：招聘、员工培训、绩效评估和员工关系管理。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会计师：负责财务和会计工作，如账目处理、报表编制。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6. 研发和创新人员：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研究员：从事研究和开发工作，需要具备相关领域的专业知识。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创新团队：推动新产品和技术的研发，需要具备创新和创造力。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人才招聘和管理：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人力资源经理：负责招聘策略、员工绩效评估和薪酬管理。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培训专员：设计和执行培训计划，提高员工的技能和知识。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8. 多元文化团队：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多语种客户服务团队：满足不同市场的多语种需求。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跨文化专家：了解不同文化和市场的差异，以更好地服务客户。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9. 高级管理培训：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高级管理培训师：制定高级管理培训计划，培养未来的领导者。</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每个职能领域的具体需求将取决于公司的业务规模、行业、战略目标和市场需求。公司应该根据实际情况拟定招聘计划，确保有足够的人才来支持公司的长期发展。</w:t>
      </w:r>
    </w:p>
    <w:p>
      <w:pPr>
        <w:pStyle w:val="Heading2"/>
        <w:ind w:firstLine="560" w:firstLineChars="200"/>
        <w:rPr>
          <w:rFonts w:ascii="仿宋" w:eastAsia="仿宋" w:hAnsi="仿宋" w:cs="仿宋" w:hint="eastAsia"/>
          <w:sz w:val="28"/>
          <w:lang w:eastAsia="zh-CN"/>
        </w:rPr>
      </w:pPr>
      <w:bookmarkStart w:id="4" w:name="_Toc15787"/>
      <w:r>
        <w:rPr>
          <w:rFonts w:ascii="仿宋" w:eastAsia="仿宋" w:hAnsi="仿宋" w:cs="仿宋" w:hint="eastAsia"/>
          <w:sz w:val="28"/>
          <w:lang w:eastAsia="zh-CN"/>
        </w:rPr>
        <w:t>(二)、员工培训与发展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为确保生产线的顺利投产并保障生产安全与产品质量，公司将有序组织技术人员和生产操作人员的培训，这一培训过程将分阶段进行：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设备安装初期培训：</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安装的初期，生产骨干和技术人员将前往施工现场与施工队伍一同协作，参与设备的安装工作。这个阶段的目标是在设备安装的过程中，让技术人员熟悉设备结构，以便为后续的单机调试和试生产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理论培训与实际操作训练：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试车前的两个月左右，公司将组织主要生产岗位的操作人员进行培训。这个过程将分阶段、分批次进行。首先，员工将接受理论培训，然后进行实际操作训练。此外，操作人员还将有机会前往同类型、同规模的工厂进行实习操作，以提高他们的操作技能和熟练度，为设备调试和生产做好充分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3. 调试前详细介绍：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前，技术人员和操作工人将接受详细介绍，包括工艺流程、设备特点、操作要点、安全生产规程等内容。此阶段的目标是确保所有相关人员对整个生产线的工艺和设备有充分的了解，并能熟练掌握各工艺工序的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在设备调试过程中，操作人员将在安装调试人员和设计人员的指导监督下，逐渐掌握各工艺工序的操作，了解并掌握各工段设备的操作规程。这一阶段的培训将直接应用于设备的调试和准备投产。</w:t>
      </w:r>
    </w:p>
    <w:p>
      <w:pPr>
        <w:ind w:firstLine="560" w:firstLineChars="200"/>
        <w:rPr>
          <w:rFonts w:ascii="仿宋" w:eastAsia="仿宋" w:hAnsi="仿宋" w:cs="仿宋" w:hint="eastAsia"/>
          <w:sz w:val="28"/>
        </w:rPr>
      </w:pPr>
      <w:r>
        <w:rPr>
          <w:rFonts w:ascii="仿宋" w:eastAsia="仿宋" w:hAnsi="仿宋" w:cs="仿宋" w:hint="eastAsia"/>
          <w:sz w:val="28"/>
          <w:lang w:eastAsia="zh-CN"/>
        </w:rPr>
        <w:t>5. 投产前技术讲座：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投产前，公司将组织有关技术讲座，以确保公司技术人员充分了解生产工艺、技术装备以及污泥处理项目采用的技术发展情况。这有助于确保技术人员的专业知识与技术水平与污泥处理项目要求保持一致。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严格考核与操作上岗：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在投产前，公司将对操作人员进行严格的考核。只有经过考核并合格的员工才能上岗操作，以确保他们在操作生产线时具备足够的操作技能和知识水平。</w:t>
      </w:r>
    </w:p>
    <w:p>
      <w:pPr>
        <w:pStyle w:val="Heading1"/>
        <w:ind w:firstLine="560" w:firstLineChars="200"/>
        <w:rPr>
          <w:rFonts w:ascii="仿宋" w:eastAsia="仿宋" w:hAnsi="仿宋" w:cs="仿宋" w:hint="eastAsia"/>
          <w:sz w:val="28"/>
          <w:lang w:eastAsia="zh-CN"/>
        </w:rPr>
      </w:pPr>
      <w:bookmarkStart w:id="5" w:name="_Toc23301"/>
      <w:r>
        <w:rPr>
          <w:rFonts w:ascii="仿宋" w:eastAsia="仿宋" w:hAnsi="仿宋" w:cs="仿宋" w:hint="eastAsia"/>
          <w:sz w:val="28"/>
          <w:lang w:eastAsia="zh-CN"/>
        </w:rPr>
        <w:t>二、法人治理架构</w:t>
      </w:r>
      <w:bookmarkEnd w:id="5"/>
    </w:p>
    <w:p>
      <w:pPr>
        <w:pStyle w:val="Heading2"/>
        <w:rPr>
          <w:rFonts w:ascii="仿宋" w:eastAsia="仿宋" w:hAnsi="仿宋" w:cs="仿宋" w:hint="eastAsia"/>
          <w:lang w:eastAsia="zh-CN"/>
        </w:rPr>
      </w:pPr>
      <w:bookmarkStart w:id="6" w:name="_Toc12323"/>
      <w:r>
        <w:rPr>
          <w:rFonts w:ascii="仿宋" w:eastAsia="仿宋" w:hAnsi="仿宋" w:cs="仿宋" w:hint="eastAsia"/>
          <w:lang w:eastAsia="zh-CN"/>
        </w:rPr>
        <w:t>(一)、股东权益与义务</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股东权益：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1. 所有权权益：股东持有公司股份，代表他们在公司的所有权。这些所有权权益赋予股东公司的股东大会选举公司领导层、审批公司的关键决策和政策，以及分享公司盈利的权利。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红利权：股东有权分享公司的盈利。公司盈余分配方案一般在股东大会上通过，股东按其所持股份比例分享利润。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3. 知情权：股东有权了解公司的财务状况、运营情况和重要决策。公司应向股东提供相关信息，使他们能够有效行使其知情权。</w:t>
      </w:r>
    </w:p>
    <w:p>
      <w:pPr>
        <w:ind w:firstLine="560" w:firstLineChars="200"/>
        <w:rPr>
          <w:rFonts w:ascii="仿宋" w:eastAsia="仿宋" w:hAnsi="仿宋" w:cs="仿宋" w:hint="eastAsia"/>
          <w:sz w:val="28"/>
        </w:rPr>
      </w:pPr>
      <w:r>
        <w:rPr>
          <w:rFonts w:ascii="仿宋" w:eastAsia="仿宋" w:hAnsi="仿宋" w:cs="仿宋" w:hint="eastAsia"/>
          <w:sz w:val="28"/>
          <w:lang w:eastAsia="zh-CN"/>
        </w:rPr>
        <w:t>4. 监督权：股东可以参与公司治理，包括选举董事会成员、审计公司财务报表，以及提出和审批公司政策和决策。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资产分配权：在公司解散或清算时，股东有权分享公司净资产。这确保了股东对公司资产的权益。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二、股东义务：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资本注入义务：股东必须按照其认购的股份金额，按时履行资本注入义务。这确保了公司有足够的资本来运营和发展。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法律合规义务：股东有责任确保公司的运营合法合规。他们应遵守所有适用的法律法规，包括公司法、证券法等。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诚信义务：股东有义务以诚信原则参与公司治理。这包括避免利益冲突，维护公司和其他股东的利益。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合同义务：股东必须遵守公司章程和其他公司文件中规定的合同义务，包括不得私自转让股份等。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公司治理义务：股东应积极参与公司治理，包括参加股东大会、投票选举董事会成员，审计公司财务报表，提出建议和投票支持公司政策和决策。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益和义务是公司治理和管理的基础，它们确保了公司的透明度、合法合规运营以及股东的权益得到保护。通过积极履行义务和行使权益，股东可以推动公司的可持续发展和长期成功。因此，股东在公司中的地位至关重要，他们不仅仅是投资者，更是公司治理的参与者和监督者。</w:t>
      </w:r>
    </w:p>
    <w:p>
      <w:pPr>
        <w:pStyle w:val="Heading2"/>
        <w:ind w:firstLine="560" w:firstLineChars="200"/>
        <w:rPr>
          <w:rFonts w:ascii="仿宋" w:eastAsia="仿宋" w:hAnsi="仿宋" w:cs="仿宋" w:hint="eastAsia"/>
          <w:sz w:val="28"/>
          <w:lang w:eastAsia="zh-CN"/>
        </w:rPr>
      </w:pPr>
      <w:bookmarkStart w:id="7" w:name="_Toc6776"/>
      <w:r>
        <w:rPr>
          <w:rFonts w:ascii="仿宋" w:eastAsia="仿宋" w:hAnsi="仿宋" w:cs="仿宋" w:hint="eastAsia"/>
          <w:sz w:val="28"/>
          <w:lang w:eastAsia="zh-CN"/>
        </w:rPr>
        <w:t>(二)、公司董事会</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董事会组成：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公司董事会通常由董事组成，董事的数量和身份多样化，以确保各种利益得到代表。董事的任命和撤换一般由公司章程规定，也可能受到监管机构的法律规定。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董事会职责：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公司董事会的主要职责包括：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监督公司管理层的决策和行为，确保其符合法律法规和公司政策。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审查和批准公司的战略计划和预算。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选择、评估和奖励公司高级管理层。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监督公司的财务状况，审计报告和内部控制。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决定股东分红政策和公司的分配政策。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对公司的社会责任、可持续发展和风险管理提供建议和监督。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3. 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董事会按照事先安排的计划举行定期会议，以讨论公司的重大事务和决策。会议通常由董事会主席主持，出席的董事需要达成一致意见或根据表决结果做出决策。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董事会决策：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董事会通过投票决定公司的重大事项，决策通常要得到多数董事的支持。不同公司可能对决策和表决规则有不同的要求，取决于公司章程和法律法规。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董事会监督：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董事会通过内部和外部审计、监管报告以及高级管理层的报告来监督公司的运营。他们确保公司的行为合法合规，同时也要确保公司的长期战略与股东的利益相一致。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董事会职能：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公司董事会的职能包括执行、监督和咨询。他们执行公司的日常管理，监督高级管理层的决策，并为公司提供重要建议和战略方向。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公司董事会的作用在于平衡公司内部各方利益，确保公司的决策和行为符合法律和道德要求。一个高效的董事会有助于公司的长期成功和可持续发展。</w:t>
      </w:r>
    </w:p>
    <w:p>
      <w:pPr>
        <w:pStyle w:val="Heading2"/>
        <w:ind w:firstLine="560" w:firstLineChars="200"/>
        <w:rPr>
          <w:rFonts w:ascii="仿宋" w:eastAsia="仿宋" w:hAnsi="仿宋" w:cs="仿宋" w:hint="eastAsia"/>
          <w:sz w:val="28"/>
          <w:lang w:eastAsia="zh-CN"/>
        </w:rPr>
      </w:pPr>
      <w:bookmarkStart w:id="8" w:name="_Toc2777"/>
      <w:r>
        <w:rPr>
          <w:rFonts w:ascii="仿宋" w:eastAsia="仿宋" w:hAnsi="仿宋" w:cs="仿宋" w:hint="eastAsia"/>
          <w:sz w:val="28"/>
          <w:lang w:eastAsia="zh-CN"/>
        </w:rPr>
        <w:t>(三)、高级管理层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公司的高级管理层组成如下：公司设总裁一名，由董事会聘任或解聘，同时设副总裁若干名和财务总监一名，同样由董事会聘任或解聘。这些高级管理人员均代表公司高级管理层。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公司章程中的规定适用于所有高级管理人员，包括总裁、副总裁、财务总监等。高级管理层的成员必须遵守这些规定。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在公司控股股东和实际控制人单位担任非董事或监事职务的个人，不得同时担任公司的高级管理职位。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的总裁每届任期为3年，可以连任。总裁对董事会负有责任，并行使多项职权，包括主持公司的生产经营管理、制定年度经营计划和投资方案、设定公司内部管理机构和基本管理制度、制定具体规章、提请董事会聘任或解聘副总裁和财务负责人、决定其他负责管理人员的聘任或解聘等。总裁也列席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5. 总裁应制定总裁工作细则，其中包括总裁会议的召开条件、程序和参与人员，以及高级管理人员的具体职责和分工，公司资金和资产运用的权限，以及其他必要事项。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总裁可以在任期届满之前提出辞职，具体辞职程序和办法将在总裁与公司之间的劳动合同中规定。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7. 副总裁协助总裁工作，负责特定方面的生产经营管理工作。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公司还设有董事会秘书，负责筹备公司股东大会和董事会、监事会的会议，管理相关文件和股东资料，以及处理信息披露事务。董事会秘书需要遵守法律、法规、部门规章和公司章程的相关规定。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9. 董事会秘书也应制定董事会秘书工作细则，其中包括董事会秘书的资格、聘任程序、权力职责以及其他必要事项。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10. 高级管理人员在履行公司职务时如果违反法律、法规、规章或公司章程的规定，导致公司损失，应当承担赔偿责任。这一原则旨在确保高级管理层合法合规地履行其职责，维护公司的权益。</w:t>
      </w:r>
    </w:p>
    <w:p>
      <w:pPr>
        <w:pStyle w:val="Heading2"/>
        <w:ind w:firstLine="560" w:firstLineChars="200"/>
        <w:rPr>
          <w:rFonts w:ascii="仿宋" w:eastAsia="仿宋" w:hAnsi="仿宋" w:cs="仿宋" w:hint="eastAsia"/>
          <w:sz w:val="28"/>
          <w:lang w:eastAsia="zh-CN"/>
        </w:rPr>
      </w:pPr>
      <w:bookmarkStart w:id="9" w:name="_Toc9801"/>
      <w:r>
        <w:rPr>
          <w:rFonts w:ascii="仿宋" w:eastAsia="仿宋" w:hAnsi="仿宋" w:cs="仿宋" w:hint="eastAsia"/>
          <w:sz w:val="28"/>
          <w:lang w:eastAsia="zh-CN"/>
        </w:rPr>
        <w:t>(四)、监督管理层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公司的监督管理层是公司治理结构的重要组成部分，负责监督和管理公司的经营活动，确保公司合规运营、风险管理、财务透明度和公司治理的有效性。监督管理层包括监事会和监事长。</w:t>
      </w:r>
    </w:p>
    <w:p>
      <w:pPr>
        <w:ind w:firstLine="560" w:firstLineChars="200"/>
        <w:rPr>
          <w:rFonts w:ascii="仿宋" w:eastAsia="仿宋" w:hAnsi="仿宋" w:cs="仿宋" w:hint="eastAsia"/>
          <w:sz w:val="28"/>
        </w:rPr>
      </w:pPr>
      <w:r>
        <w:rPr>
          <w:rFonts w:ascii="仿宋" w:eastAsia="仿宋" w:hAnsi="仿宋" w:cs="仿宋" w:hint="eastAsia"/>
          <w:sz w:val="28"/>
          <w:lang w:eastAsia="zh-CN"/>
        </w:rPr>
        <w:t>1. 监事会： 监事会是公司治理结构中的独立监督机构，独立于董事会和管理层，其成员通常由公司股东选举产生。监事会的主要职责包括监督公司管理层的决策，审计公司的财务报表，审核公司内部控制制度的有效性，监督公司的风险管理和合规程序，提出对公司经营活动的建议。监事会通过定期会议和报告向股东和董事会提供有关公司经营状况和决策的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监事长：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事会通常由一位监事长领导，监事长是监事会的主席，负责协调监事会的工作，领导监事会的决策，以及代表监事会与董事会和公司管理层进行沟通。监事长的角色非常关键，需要确保监事会的独立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监督管理层的设立有助于维护公司的合法权益，监督公司管理层的决策，保障公司股东和利益相关者的利益。监督管理层的工作有助于确保公司合规运营，遵守法律法规，管理风险，保护公司的声誉，提高公司治理的透明度和质量。</w:t>
      </w:r>
    </w:p>
    <w:p>
      <w:pPr>
        <w:pStyle w:val="Heading1"/>
        <w:ind w:firstLine="560" w:firstLineChars="200"/>
        <w:rPr>
          <w:rFonts w:ascii="仿宋" w:eastAsia="仿宋" w:hAnsi="仿宋" w:cs="仿宋" w:hint="eastAsia"/>
          <w:sz w:val="28"/>
          <w:lang w:eastAsia="zh-CN"/>
        </w:rPr>
      </w:pPr>
      <w:bookmarkStart w:id="10" w:name="_Toc24112"/>
      <w:r>
        <w:rPr>
          <w:rFonts w:ascii="仿宋" w:eastAsia="仿宋" w:hAnsi="仿宋" w:cs="仿宋" w:hint="eastAsia"/>
          <w:sz w:val="28"/>
          <w:lang w:eastAsia="zh-CN"/>
        </w:rPr>
        <w:t>三、污泥处理项目投资主体概况</w:t>
      </w:r>
      <w:bookmarkEnd w:id="10"/>
    </w:p>
    <w:p>
      <w:pPr>
        <w:pStyle w:val="Heading2"/>
        <w:rPr>
          <w:rFonts w:ascii="仿宋" w:eastAsia="仿宋" w:hAnsi="仿宋" w:cs="仿宋" w:hint="eastAsia"/>
          <w:lang w:eastAsia="zh-CN"/>
        </w:rPr>
      </w:pPr>
      <w:bookmarkStart w:id="11" w:name="_Toc26631"/>
      <w:r>
        <w:rPr>
          <w:rFonts w:ascii="仿宋" w:eastAsia="仿宋" w:hAnsi="仿宋" w:cs="仿宋" w:hint="eastAsia"/>
          <w:lang w:eastAsia="zh-CN"/>
        </w:rPr>
        <w:t>(一)、公司概要</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注册资本：8XXX万元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登记机关：XXX市市场监督管理局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成立日期：20XXX年XX月XX日</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注册地址：XXX市，中心区，XX街道XXX号</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 经营范围：公司经营范围XXXXX，提供相关技术咨询和服务，以及法律法规允许的其他业务。公司以诚实守信、质量第一的原则为客户提供优质的产品和服务，遵守国家法律法规，积极履行社会责任。</w:t>
      </w:r>
    </w:p>
    <w:p>
      <w:pPr>
        <w:pStyle w:val="Heading2"/>
        <w:ind w:firstLine="560" w:firstLineChars="200"/>
        <w:rPr>
          <w:rFonts w:ascii="仿宋" w:eastAsia="仿宋" w:hAnsi="仿宋" w:cs="仿宋" w:hint="eastAsia"/>
          <w:sz w:val="28"/>
          <w:lang w:eastAsia="zh-CN"/>
        </w:rPr>
      </w:pPr>
      <w:bookmarkStart w:id="12" w:name="_Toc1355"/>
      <w:r>
        <w:rPr>
          <w:rFonts w:ascii="仿宋" w:eastAsia="仿宋" w:hAnsi="仿宋" w:cs="仿宋" w:hint="eastAsia"/>
          <w:sz w:val="28"/>
          <w:lang w:eastAsia="zh-CN"/>
        </w:rPr>
        <w:t>(二)、公司简介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公司总部位于xxx市中心区的XX街道xxx号。xxx有限公司以诚实守信和质量第一的原则为客户提供高质量的产品和服务。公司在经营过程中遵守国家法律法规，积极履行社会责任。公司致力于满足客户需求，提供有竞争力的解决方案，并不断提高产品质量和技术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xxxxxx有限公司的经营理念是建立可持续的业务，实现共同发展。公司愿意与国内外的合作伙伴建立互利共赢的合作关系，共同推动行业的发展。通过不断创新和发展，xxxxxx有限公司致力于成为行业内的领先企业。</w:t>
      </w:r>
    </w:p>
    <w:p>
      <w:pPr>
        <w:pStyle w:val="Heading2"/>
        <w:ind w:firstLine="560" w:firstLineChars="200"/>
        <w:rPr>
          <w:rFonts w:ascii="仿宋" w:eastAsia="仿宋" w:hAnsi="仿宋" w:cs="仿宋" w:hint="eastAsia"/>
          <w:sz w:val="28"/>
          <w:lang w:eastAsia="zh-CN"/>
        </w:rPr>
      </w:pPr>
      <w:bookmarkStart w:id="13" w:name="_Toc20181"/>
      <w:r>
        <w:rPr>
          <w:rFonts w:ascii="仿宋" w:eastAsia="仿宋" w:hAnsi="仿宋" w:cs="仿宋" w:hint="eastAsia"/>
          <w:sz w:val="28"/>
          <w:lang w:eastAsia="zh-CN"/>
        </w:rPr>
        <w:t>(三)、财务概况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资产状况：截至最近财年末，公司总资产达到XXXX万元。其中，流动资产占总资产的XX%，主要包括现金、存货和应收账款。非流动资产占总资产的XX%，主要包括固定资产和投资性资产。</w:t>
      </w:r>
    </w:p>
    <w:p>
      <w:pPr>
        <w:ind w:firstLine="560" w:firstLineChars="200"/>
        <w:rPr>
          <w:rFonts w:ascii="仿宋" w:eastAsia="仿宋" w:hAnsi="仿宋" w:cs="仿宋" w:hint="eastAsia"/>
          <w:sz w:val="28"/>
        </w:rPr>
      </w:pPr>
      <w:r>
        <w:rPr>
          <w:rFonts w:ascii="仿宋" w:eastAsia="仿宋" w:hAnsi="仿宋" w:cs="仿宋" w:hint="eastAsia"/>
          <w:sz w:val="28"/>
          <w:lang w:eastAsia="zh-CN"/>
        </w:rPr>
        <w:t>2. 负债状况：公司总负债为XXXX万元，其中，流动负债占总负债的XX%，主要包括短期借款和应付账款。非流动负债占总负债的XX%，主要包括长期借款和应付债券。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3. 所有者权益：公司净资产为XXXX万元，表现出色。公司拥有稳健的资本结构，为业务发展提供了坚实的基础。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收入情况：最近财年，公司实现营业收入XXXX万元，较前一年同期增长了XX%。这主要得益于市场需求的增加和产品质量的提升。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利润情况：公司净利润XXXX万元，净利润率为XX%。公司在成本管理和运营效率上取得了显著的进展，这有助于提高盈利能力。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现金流状况：公司的现金流状况良好，拥有足够的现金储备来支持日常经营和未来的投资计划。</w:t>
      </w:r>
    </w:p>
    <w:p>
      <w:pPr>
        <w:pStyle w:val="Heading2"/>
        <w:ind w:firstLine="560" w:firstLineChars="200"/>
        <w:rPr>
          <w:rFonts w:ascii="仿宋" w:eastAsia="仿宋" w:hAnsi="仿宋" w:cs="仿宋" w:hint="eastAsia"/>
          <w:sz w:val="28"/>
          <w:lang w:eastAsia="zh-CN"/>
        </w:rPr>
      </w:pPr>
      <w:bookmarkStart w:id="14" w:name="_Toc22821"/>
      <w:r>
        <w:rPr>
          <w:rFonts w:ascii="仿宋" w:eastAsia="仿宋" w:hAnsi="仿宋" w:cs="仿宋" w:hint="eastAsia"/>
          <w:sz w:val="28"/>
          <w:lang w:eastAsia="zh-CN"/>
        </w:rPr>
        <w:t>(四)、核心管理层介绍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公司董事长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XXX先生拥有多年的管理经验，领导公司的战略规划和业务发展。他在公司创立初期就加入了公司，并一直担任董事长职务。</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公司总经理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XXX女士是一位资深管理者，负责公司的日常运营和战略执行，推动公司的创新和增长。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XXX先生是注册会计师，负责公司的财务战略、预算和资本管理，确保公司的财务健康。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XXX先生是该行业的专家，领导公司的研发团队，保持公司产品的技术领先地位。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5. 销售与市场总监 XXX</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XXX先生拥有广泛的市场营销经验，负责市场战略、销售渠道和客户关系管理，推动公司产品的市场推广。</w:t>
      </w:r>
    </w:p>
    <w:p>
      <w:pPr>
        <w:pStyle w:val="Heading1"/>
        <w:ind w:firstLine="560" w:firstLineChars="200"/>
        <w:rPr>
          <w:rFonts w:ascii="仿宋" w:eastAsia="仿宋" w:hAnsi="仿宋" w:cs="仿宋" w:hint="eastAsia"/>
          <w:sz w:val="28"/>
          <w:lang w:eastAsia="zh-CN"/>
        </w:rPr>
      </w:pPr>
      <w:bookmarkStart w:id="15" w:name="_Toc25754"/>
      <w:r>
        <w:rPr>
          <w:rFonts w:ascii="仿宋" w:eastAsia="仿宋" w:hAnsi="仿宋" w:cs="仿宋" w:hint="eastAsia"/>
          <w:sz w:val="28"/>
          <w:lang w:eastAsia="zh-CN"/>
        </w:rPr>
        <w:t>四、技术方案与建筑物规划</w:t>
      </w:r>
      <w:bookmarkEnd w:id="15"/>
    </w:p>
    <w:p>
      <w:pPr>
        <w:pStyle w:val="Heading2"/>
        <w:rPr>
          <w:rFonts w:ascii="仿宋" w:eastAsia="仿宋" w:hAnsi="仿宋" w:cs="仿宋" w:hint="eastAsia"/>
          <w:lang w:eastAsia="zh-CN"/>
        </w:rPr>
      </w:pPr>
      <w:bookmarkStart w:id="16" w:name="_Toc25978"/>
      <w:r>
        <w:rPr>
          <w:rFonts w:ascii="仿宋" w:eastAsia="仿宋" w:hAnsi="仿宋" w:cs="仿宋" w:hint="eastAsia"/>
          <w:lang w:eastAsia="zh-CN"/>
        </w:rPr>
        <w:t>(一)、设计原则与污泥处理项目工程概述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资源合理配置：充分优化自然资源的使用，确保污泥处理项目设施之间协调发展。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风格协调：建筑风格应与周边环境和其他建筑协调一致。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7. 多方面考虑：设计要符合环保、安全、卫生、绿化、消防、节能和土地利用的原则。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总体规划原则：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合理布局：确保总体平面布置合理，充分考虑土地的有效利用，并预留未来的发展潜力。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分区功能：根据不同的功能划分区域，包括生产区、动力区和办公生活区，以满足不同需求。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交通便捷：设计主要道路以确保生产物料流通畅，道路和管网连接畅通。</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环保绿化：在厂区道路两旁和建筑物周围进行充分的绿化，特别关注厂区空地和入口处的绿化，以创造文明的生产环境。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地域特色：确保建筑风格与周边建筑风格协调一致，体现地域特色。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6. 多方面原则：贯彻环保、安全、卫生、绿化、消防、节能和土地利用等设计原则。</w:t>
      </w:r>
    </w:p>
    <w:p>
      <w:pPr>
        <w:pStyle w:val="Heading2"/>
        <w:ind w:firstLine="560" w:firstLineChars="200"/>
        <w:rPr>
          <w:rFonts w:ascii="仿宋" w:eastAsia="仿宋" w:hAnsi="仿宋" w:cs="仿宋" w:hint="eastAsia"/>
          <w:sz w:val="28"/>
          <w:lang w:eastAsia="zh-CN"/>
        </w:rPr>
      </w:pPr>
      <w:bookmarkStart w:id="17" w:name="_Toc20944"/>
      <w:r>
        <w:rPr>
          <w:rFonts w:ascii="仿宋" w:eastAsia="仿宋" w:hAnsi="仿宋" w:cs="仿宋" w:hint="eastAsia"/>
          <w:sz w:val="28"/>
          <w:lang w:eastAsia="zh-CN"/>
        </w:rPr>
        <w:t>(二)、建设选项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结构方案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规范依据：设计将严格遵循国家和地区相关的建筑规范、结构设计规定，以确保工程的结构设计符合法律法规的要求，并能够应对各种自然和人为因素的挑战。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建筑物结构设计：主要建筑物的结构设计将侧重于确保其强度、稳定性和安全性。工程设计团队将进行详尽的计算和模拟，以满足污泥处理项目的需要，并在可能的情况下采用先进的建筑材料和技术，以提高结构的抗震、抗风和抗灾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建筑立面设计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建筑立面设计将注重以下几个方面：</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 外观美观：设计团队将追求建筑外观的美学价值，确保建筑在周边环境中显得和谐、吸引人，并反映出现代感和创新性。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材料选择：根据污泥处理项目的性质和功能，选择适宜的建筑材料，以确保立面的质感和质量，同时降低维护成本。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节能与环保：设计将注重立面的节能性能，采用符合节能标准的材料和绝缘技术，以减少能源消耗。此外，将考虑环保因素，减少对环境的负面影响，如减少废弃物和污染物的排放。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结构与功能：立面设计将与建筑的功能相匹配，满足内部空间的采光、通风和隐私需求。同时，建筑立面将与结构方案协调，以确保结构的一致性和稳定性。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城市融合：立面设计将与城市环境融合，考虑周边建筑、道路和公共空间，以创造和谐的城市景观。</w:t>
      </w:r>
    </w:p>
    <w:p>
      <w:pPr>
        <w:pStyle w:val="Heading2"/>
        <w:ind w:firstLine="560" w:firstLineChars="200"/>
        <w:rPr>
          <w:rFonts w:ascii="仿宋" w:eastAsia="仿宋" w:hAnsi="仿宋" w:cs="仿宋" w:hint="eastAsia"/>
          <w:sz w:val="28"/>
          <w:lang w:eastAsia="zh-CN"/>
        </w:rPr>
      </w:pPr>
      <w:bookmarkStart w:id="18" w:name="_Toc30174"/>
      <w:r>
        <w:rPr>
          <w:rFonts w:ascii="仿宋" w:eastAsia="仿宋" w:hAnsi="仿宋" w:cs="仿宋" w:hint="eastAsia"/>
          <w:sz w:val="28"/>
          <w:lang w:eastAsia="zh-CN"/>
        </w:rPr>
        <w:t>(三)、建筑物规划与设备标准</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本期污泥处理项目的建筑规划和设备标准将充分满足污泥处理项目的需求，并确保高效、安全的运营。具体细则如下：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建筑面积：本污泥处理项目的总建筑面积为XXX平方米，细分为不同用途的区域，包括生产工程、仓储工程、行政办公及生活服务设施，以及公共工程。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生产工程：生产工程的建筑面积将满足生产设备的布局和员工工作区域的需求，以确保生产活动的高效性和流畅性。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仓储工程：仓储工程的设计将符合物料储存的标准，包括储存设备的安排和货物的管理，以确保货物的安全和便捷存储。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行政办公及生活服务设施：行政办公区域将提供员工办公和休息的空间，包括办公室、休息室等。生活服务设施将提供员工必要的生活支持。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公共工程：公共工程将包括污泥处理项目所需的基础设施，例如电力、给排水、通讯等，以支持污泥处理项目的正常运营。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生产设备：污泥处理项目将采用符合国家和行业标准的现代化生产设备，以确保高效的生产过程。这些设备将包括XXX、XXX、以及其他必要的生产设备，以满足污泥处理项目的产能需求。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仓储设备：为了有效管理和储存物料，污泥处理项目将采用适当的仓储设备，如货架、叉车、和物料搬运设备，以提高物料管理的效率。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办公设备：行政办公区域将配备现代化的办公设备，如计算机、打印机、电话系统等，以支持员工的日常工作。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检测设备：为确保产品质量，污泥处理项目将配置必要的检测和测试设备，以进行产品质量控制和检测。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环保设备：污泥处理项目将采用符合环保标准的设备，如废水处理设备、废气处理设备等，以确保污泥处理项目的环保合规性。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9" w:name="_Toc27823"/>
      <w:r>
        <w:rPr>
          <w:rFonts w:ascii="仿宋" w:eastAsia="仿宋" w:hAnsi="仿宋" w:cs="仿宋" w:hint="eastAsia"/>
          <w:sz w:val="28"/>
          <w:lang w:eastAsia="zh-CN"/>
        </w:rPr>
        <w:t>五、营销策略与品牌推广</w:t>
      </w:r>
      <w:bookmarkEnd w:id="19"/>
    </w:p>
    <w:p>
      <w:pPr>
        <w:pStyle w:val="Heading2"/>
        <w:rPr>
          <w:rFonts w:ascii="仿宋" w:eastAsia="仿宋" w:hAnsi="仿宋" w:cs="仿宋" w:hint="eastAsia"/>
          <w:lang w:eastAsia="zh-CN"/>
        </w:rPr>
      </w:pPr>
      <w:bookmarkStart w:id="20" w:name="_Toc17597"/>
      <w:r>
        <w:rPr>
          <w:rFonts w:ascii="仿宋" w:eastAsia="仿宋" w:hAnsi="仿宋" w:cs="仿宋" w:hint="eastAsia"/>
          <w:lang w:eastAsia="zh-CN"/>
        </w:rPr>
        <w:t>(一)、营销策略制定</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1. 确定目标市场: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在公司的营销策略中，首要任务是明确目标市场。这涉及到以下关键因素：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地理位置：我们将仔细研究市场的地理位置，以确定在哪些地区或国家展开市场活动。这可以基于地域的潜在客户数量、竞争对手分布以及运输和分销的便捷性来进行选择。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客户类型：我们将明确公司的主要客户类型，包括个人消费者、企业客户、政府机构等。不同客户类型可能需要不同的营销策略。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行业垂直：我们将深入了解不同行业垂直领域的市场需求和特点。这有助于确定在哪些行业中我们具备竞争力，并能够为其提供解决方案。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在确定了目标市场后，我们将制定竞争定位策略，以确保公司在市场中有竞争优势：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优势分析：我们将分析公司的核心竞争优势，包括产品质量、创新能力、价格竞争力等。这些优势将成为我们竞争定位的基础。</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差异化因素：我们将确定公司的产品或服务与竞争对手有何不同之处。这可以是独特的功能、卓越的客户服务、可持续性承诺等。</w:t>
      </w:r>
    </w:p>
    <w:p>
      <w:pPr>
        <w:ind w:firstLine="560" w:firstLineChars="200"/>
        <w:rPr>
          <w:rFonts w:ascii="仿宋" w:eastAsia="仿宋" w:hAnsi="仿宋" w:cs="仿宋" w:hint="eastAsia"/>
          <w:sz w:val="28"/>
        </w:rPr>
      </w:pPr>
      <w:r>
        <w:rPr>
          <w:rFonts w:ascii="仿宋" w:eastAsia="仿宋" w:hAnsi="仿宋" w:cs="仿宋" w:hint="eastAsia"/>
          <w:sz w:val="28"/>
          <w:lang w:eastAsia="zh-CN"/>
        </w:rPr>
        <w:t>定位策略：我们将根据公司的优势和差异化因素，选择合适的市场定位，例如高端、中端、低端市场。这有助于明确目标客户群体。</w:t>
      </w:r>
    </w:p>
    <w:p>
      <w:pPr>
        <w:ind w:firstLine="560" w:firstLineChars="200"/>
        <w:rPr>
          <w:rFonts w:ascii="仿宋" w:eastAsia="仿宋" w:hAnsi="仿宋" w:cs="仿宋" w:hint="eastAsia"/>
          <w:sz w:val="28"/>
        </w:rPr>
      </w:pPr>
      <w:r>
        <w:rPr>
          <w:rFonts w:ascii="仿宋" w:eastAsia="仿宋" w:hAnsi="仿宋" w:cs="仿宋" w:hint="eastAsia"/>
          <w:sz w:val="28"/>
          <w:lang w:eastAsia="zh-CN"/>
        </w:rPr>
        <w:t>3. 渠道策略: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我们将精心制定销售和分销渠道策略，以确保产品或服务能够有效地达到客户手中：</w:t>
      </w:r>
    </w:p>
    <w:p>
      <w:pPr>
        <w:ind w:firstLine="560" w:firstLineChars="200"/>
        <w:rPr>
          <w:rFonts w:ascii="仿宋" w:eastAsia="仿宋" w:hAnsi="仿宋" w:cs="仿宋" w:hint="eastAsia"/>
          <w:sz w:val="28"/>
        </w:rPr>
      </w:pPr>
      <w:r>
        <w:rPr>
          <w:rFonts w:ascii="仿宋" w:eastAsia="仿宋" w:hAnsi="仿宋" w:cs="仿宋" w:hint="eastAsia"/>
          <w:sz w:val="28"/>
          <w:lang w:eastAsia="zh-CN"/>
        </w:rPr>
        <w:t>直销：我们将决定是否采用直销模式，即通过公司内部销售团队直接销售产品或服务给客户。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代理商：我们将考虑是否借助代理商网络，将产品或服务推广到更广泛的市场。这可能涉及合作伙伴关系和代理商培训。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电子商务：我们将研究电子商务平台的利用，以拓展在线销售渠道。这包括电子商务网站、社交媒体销售等。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产品生命周期管理: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随着产品或服务在市场上的生命周期不断演变，我们将制定不同阶段的策略：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产品介绍：在产品上市初期，我们将推出激励计划、折扣活动等，以吸引早期采购者。</w:t>
      </w:r>
    </w:p>
    <w:p>
      <w:pPr>
        <w:ind w:firstLine="560" w:firstLineChars="200"/>
        <w:rPr>
          <w:rFonts w:ascii="仿宋" w:eastAsia="仿宋" w:hAnsi="仿宋" w:cs="仿宋" w:hint="eastAsia"/>
          <w:sz w:val="28"/>
        </w:rPr>
      </w:pPr>
      <w:r>
        <w:rPr>
          <w:rFonts w:ascii="仿宋" w:eastAsia="仿宋" w:hAnsi="仿宋" w:cs="仿宋" w:hint="eastAsia"/>
          <w:sz w:val="28"/>
          <w:lang w:eastAsia="zh-CN"/>
        </w:rPr>
        <w:t>成熟期管理：在产品进入成熟阶段后，我们将专注于提供卓越的客户服务、质量保证，并积极推广品牌。</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产品维护与创新：在产品进入衰退阶段前，我们将进行产品维护，同时不断寻求创新，以确保产品的竞争力。</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这些策略将有助于明确公司的营销方向，以满足市场需求，并最大程度地提高市场份额。</w:t>
      </w:r>
    </w:p>
    <w:p>
      <w:pPr>
        <w:pStyle w:val="Heading2"/>
        <w:ind w:firstLine="560" w:firstLineChars="200"/>
        <w:rPr>
          <w:rFonts w:ascii="仿宋" w:eastAsia="仿宋" w:hAnsi="仿宋" w:cs="仿宋" w:hint="eastAsia"/>
          <w:sz w:val="28"/>
          <w:lang w:eastAsia="zh-CN"/>
        </w:rPr>
      </w:pPr>
      <w:bookmarkStart w:id="21" w:name="_Toc5828"/>
      <w:r>
        <w:rPr>
          <w:rFonts w:ascii="仿宋" w:eastAsia="仿宋" w:hAnsi="仿宋" w:cs="仿宋" w:hint="eastAsia"/>
          <w:sz w:val="28"/>
          <w:lang w:eastAsia="zh-CN"/>
        </w:rPr>
        <w:t>(二)、产品定位与定价策略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产品特性与优势: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我们的产品是高性能电动汽车，采用最先进的电池技术，提供卓越的续航里程和零排放的环保特性。产品具备强大的动力性能，以及先进的自动驾驶和智能互联功能，为客户提供卓越的驾驶体验。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我们的产品在市场上的主要优势包括出色的质量和可靠性，持久的电池寿命，以及与我们的品牌相关联的可持续性承诺。此外，我们拥有强大的全球服务网络，为客户提供高效的售后支持。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定位策略: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产品定位为高端电动汽车市场的领导者。我们的产品将以高质量、高性能、高科技和高可持续性为特点，满足那些对电动汽车有高要求的客户。我们的目标是成为高端电动汽车市场的领导品牌，树立可持续出行的典范。</w:t>
      </w:r>
    </w:p>
    <w:p>
      <w:pPr>
        <w:ind w:firstLine="560" w:firstLineChars="200"/>
        <w:rPr>
          <w:rFonts w:ascii="仿宋" w:eastAsia="仿宋" w:hAnsi="仿宋" w:cs="仿宋" w:hint="eastAsia"/>
          <w:sz w:val="28"/>
        </w:rPr>
      </w:pPr>
      <w:r>
        <w:rPr>
          <w:rFonts w:ascii="仿宋" w:eastAsia="仿宋" w:hAnsi="仿宋" w:cs="仿宋" w:hint="eastAsia"/>
          <w:sz w:val="28"/>
          <w:lang w:eastAsia="zh-CN"/>
        </w:rPr>
        <w:t>定价策略: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基准定价：我们将根据产品的成本、市场竞争、目标市场需求等因素制定合理的基准价格。这个价格将反映产品的高品质和性能。</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促销定价：在产品上市初期，我们将推出特别促销活动，例如首批客户折扣、充电设备捆绑销售等，以吸引早期采购者。</w:t>
      </w:r>
    </w:p>
    <w:p>
      <w:pPr>
        <w:ind w:firstLine="560" w:firstLineChars="200"/>
        <w:rPr>
          <w:rFonts w:ascii="仿宋" w:eastAsia="仿宋" w:hAnsi="仿宋" w:cs="仿宋" w:hint="eastAsia"/>
          <w:sz w:val="28"/>
        </w:rPr>
      </w:pPr>
      <w:r>
        <w:rPr>
          <w:rFonts w:ascii="仿宋" w:eastAsia="仿宋" w:hAnsi="仿宋" w:cs="仿宋" w:hint="eastAsia"/>
          <w:sz w:val="28"/>
          <w:lang w:eastAsia="zh-CN"/>
        </w:rPr>
        <w:t>折扣策略：我们将考虑定期举行季度促销活动，如节假日销售或特殊活动，以刺激销售和提高市场份额。</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溢价定价：鉴于我们的产品具有高附加值和高品质，我们将采用溢价定价策略，以维护品牌的高端形象。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这些策略将有助于确保我们的产品在高端电动汽车市场中拥有竞争力，并为客户提供超值的产品和服务。我们的定位和定价策略将有助于确保我们在目标市场中占据有利地位。</w:t>
      </w:r>
    </w:p>
    <w:p>
      <w:pPr>
        <w:pStyle w:val="Heading2"/>
        <w:ind w:firstLine="560" w:firstLineChars="200"/>
        <w:rPr>
          <w:rFonts w:ascii="仿宋" w:eastAsia="仿宋" w:hAnsi="仿宋" w:cs="仿宋" w:hint="eastAsia"/>
          <w:sz w:val="28"/>
          <w:lang w:eastAsia="zh-CN"/>
        </w:rPr>
      </w:pPr>
      <w:bookmarkStart w:id="22" w:name="_Toc8976"/>
      <w:r>
        <w:rPr>
          <w:rFonts w:ascii="仿宋" w:eastAsia="仿宋" w:hAnsi="仿宋" w:cs="仿宋" w:hint="eastAsia"/>
          <w:sz w:val="28"/>
          <w:lang w:eastAsia="zh-CN"/>
        </w:rPr>
        <w:t>(三)、促销与广告战略</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促销策略: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季节性促销：我们将根据市场需求和季节变化制定季节性促销活动。例如，在夏季旅游旺季，我们可能提供特别的夏季促销套餐，以吸引更多的客户。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特别优惠：不定期推出特别优惠，如购车赠送充电桩或维护服务。这些特别优惠将鼓励客户尽快购车。</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团购活动：我们将鼓励客户通过团购方式购车，以获得更多的折扣和福利。这将促进口碑传播和社交分享。</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广告媒体选择：我们将在广告媒体选择上广泛考虑，包括电视、网络、社交媒体、广播、户外广告和印刷媒体。我们将根据目标市场和广告效果不断调整广告投放策略。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广告内容：广告内容将突出产品的特性、性能和品质。我们还将强调可持续性和环保特性，以满足客户对可持续出行的需求。广告内容将以情感化的方式呈现，以建立品牌认知和忠诚度。</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广告预算：我们将根据销售目标和市场需求制定广告预算。广告预算将在季度内动态调整，以确保广告活动的最大效益。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数字营销:</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在线广告：我们将在互联网上进行广告投放，通过Google AdWords和社交媒体广告平台进行精准定向广告。这将有助于提高网站流量和线上销售。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社交媒体推广：我们将积极利用社交媒体平台，与潜在客户互动，发布产品信息和客户见证，并建立品牌忠诚度。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搜索引擎优化：通过优化公司网站的搜索引擎排名，确保客户在搜索引擎中能够容易找到我们的产品和服务。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这些促销与广告策略将有助于提高市场知名度、吸引客户、增加销售额和促进品牌发展。我们将不断监测和评估广告效果，以确保策略的有效性。</w:t>
      </w:r>
    </w:p>
    <w:p>
      <w:pPr>
        <w:pStyle w:val="Heading2"/>
        <w:ind w:firstLine="560" w:firstLineChars="200"/>
        <w:rPr>
          <w:rFonts w:ascii="仿宋" w:eastAsia="仿宋" w:hAnsi="仿宋" w:cs="仿宋" w:hint="eastAsia"/>
          <w:sz w:val="28"/>
          <w:lang w:eastAsia="zh-CN"/>
        </w:rPr>
      </w:pPr>
      <w:bookmarkStart w:id="23" w:name="_Toc1079"/>
      <w:r>
        <w:rPr>
          <w:rFonts w:ascii="仿宋" w:eastAsia="仿宋" w:hAnsi="仿宋" w:cs="仿宋" w:hint="eastAsia"/>
          <w:sz w:val="28"/>
          <w:lang w:eastAsia="zh-CN"/>
        </w:rPr>
        <w:t>(四)、品牌推广计划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品牌建设目标：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提高知名度：公司的品牌建设目标之一是提高品牌的知名度。我们将通过广告、市场宣传和社交媒体等方式，将品牌推广给更多的潜在客户。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建立信任度：信任是品牌成功的关键。我们的目标是建立客户对我们品牌的信任感，通过提供高质量的产品和卓越的客户服务来实现。</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塑造品牌形象：我们将积极塑造公司的品牌形象，使其与可持续性、环保和高品质产品等价值观相一致。这将有助于吸引具有类似价值观的客户。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品牌推广策略：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广告：我们将制定广告战略，包括在线广告、电视广告和广播广告。广告内容将突出品牌的核心信息和品质，以吸引目标市场的注意。</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公关：公司将积极参与行业活动、社会公益活动和赞助污泥处理项目，以提高品牌的知名度和社会声誉。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社交媒体：社交媒体将成为我们的品牌推广的重要平台。我们将定期发布有关公司新闻、产品信息和行业见解的内容，与客户互动并建立品牌忠诚度。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品牌一致性：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我们将确保在所有营销材料、广告和渠道中保持品牌一致性。这包括品牌标识、口号和核心信息的统一传达，以及在所有客户接触点中提供一致的客户体验。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我们将培训员工，以确保他们了解和传达公司的品牌形象，并将其融入到与客户的互动中。</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品牌推广计划将是公司品牌建设的重要组成部分，我们将持续评估和调整策略，以确保品牌目标的实现。这将有助于建立稳固的品牌地位，吸引更多的客户并促进销售增长。</w:t>
      </w:r>
    </w:p>
    <w:p>
      <w:pPr>
        <w:pStyle w:val="Heading1"/>
        <w:ind w:firstLine="560" w:firstLineChars="200"/>
        <w:rPr>
          <w:rFonts w:ascii="仿宋" w:eastAsia="仿宋" w:hAnsi="仿宋" w:cs="仿宋" w:hint="eastAsia"/>
          <w:sz w:val="28"/>
          <w:lang w:eastAsia="zh-CN"/>
        </w:rPr>
      </w:pPr>
      <w:bookmarkStart w:id="24" w:name="_Toc26383"/>
      <w:r>
        <w:rPr>
          <w:rFonts w:ascii="仿宋" w:eastAsia="仿宋" w:hAnsi="仿宋" w:cs="仿宋" w:hint="eastAsia"/>
          <w:sz w:val="28"/>
          <w:lang w:eastAsia="zh-CN"/>
        </w:rPr>
        <w:t>六、战略合作与合作伙伴关系</w:t>
      </w:r>
      <w:bookmarkEnd w:id="24"/>
    </w:p>
    <w:p>
      <w:pPr>
        <w:pStyle w:val="Heading2"/>
        <w:rPr>
          <w:rFonts w:ascii="仿宋" w:eastAsia="仿宋" w:hAnsi="仿宋" w:cs="仿宋" w:hint="eastAsia"/>
          <w:lang w:eastAsia="zh-CN"/>
        </w:rPr>
      </w:pPr>
      <w:bookmarkStart w:id="25" w:name="_Toc8783"/>
      <w:r>
        <w:rPr>
          <w:rFonts w:ascii="仿宋" w:eastAsia="仿宋" w:hAnsi="仿宋" w:cs="仿宋" w:hint="eastAsia"/>
          <w:lang w:eastAsia="zh-CN"/>
        </w:rPr>
        <w:t>(一)、合作战略与目标</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市场扩展战略： 公司与合作伙伴的目标可能是进入新市场或扩大在现有市场的份额。例如，公司与一家国际物流公司合作，以扩大其产品在国际市场上的销售。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2. 创新合作战略： 合作伙伴关系可以用于共同开发新产品或服务。公司与技术创新初创企业合作，以推动新技术的开发和商业化，从而在市场上获得竞争优势。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成本降低战略： 合作可以帮助公司降低生产成本。例如，公司与供应商建立紧密的合作关系，以确保供应链的高效性和成本效益。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品牌提升战略： 合作伙伴可以与公司共同推广品牌。公司与知名的合作伙伴合作，以提高品牌知名度和信誉。</w:t>
      </w:r>
    </w:p>
    <w:p>
      <w:pPr>
        <w:ind w:firstLine="560" w:firstLineChars="200"/>
        <w:rPr>
          <w:rFonts w:ascii="仿宋" w:eastAsia="仿宋" w:hAnsi="仿宋" w:cs="仿宋" w:hint="eastAsia"/>
          <w:sz w:val="28"/>
        </w:rPr>
      </w:pPr>
      <w:r>
        <w:rPr>
          <w:rFonts w:ascii="仿宋" w:eastAsia="仿宋" w:hAnsi="仿宋" w:cs="仿宋" w:hint="eastAsia"/>
          <w:sz w:val="28"/>
          <w:lang w:eastAsia="zh-CN"/>
        </w:rPr>
        <w:t>5. 资源共享战略： 合作伙伴关系可以用于共享资源，例如研究设备、人才或市场情报。公司与研究机构建立合作伙伴关系，以共同开展研究污泥处理项目。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6. 知识产权保护战略： 在技术领域的合作中，保护知识产权非常重要。公司与合作伙伴建立合作以确保知识产权的保护和合法使用。</w:t>
      </w:r>
    </w:p>
    <w:p>
      <w:pPr>
        <w:pStyle w:val="Heading2"/>
        <w:ind w:firstLine="560" w:firstLineChars="200"/>
        <w:rPr>
          <w:rFonts w:ascii="仿宋" w:eastAsia="仿宋" w:hAnsi="仿宋" w:cs="仿宋" w:hint="eastAsia"/>
          <w:sz w:val="28"/>
          <w:lang w:eastAsia="zh-CN"/>
        </w:rPr>
      </w:pPr>
      <w:bookmarkStart w:id="26" w:name="_Toc8492"/>
      <w:r>
        <w:rPr>
          <w:rFonts w:ascii="仿宋" w:eastAsia="仿宋" w:hAnsi="仿宋" w:cs="仿宋" w:hint="eastAsia"/>
          <w:sz w:val="28"/>
          <w:lang w:eastAsia="zh-CN"/>
        </w:rPr>
        <w:t>(二)、合作伙伴选择与评估</w:t>
      </w:r>
      <w:bookmarkEnd w:id="26"/>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确定合作伙伴要求：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公司首先需要明确合作伙伴的要求和标准。这可能包括合作伙伴的行业经验、市场地位、地理位置、资源能力、信誉度、文化适应性等。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市场研究： 公司应该进行市场研究，以识别潜在的合作伙伴。这包括竞争对手分析、行业趋势、市场机会等。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制定潜在合作伙伴列表： 基于市场研究，公司可以制定一个潜在合作伙伴的列表。这些可能是公司认为具有潜力的合作伙伴。</w:t>
      </w:r>
    </w:p>
    <w:p>
      <w:pPr>
        <w:ind w:firstLine="560" w:firstLineChars="200"/>
        <w:rPr>
          <w:rFonts w:ascii="仿宋" w:eastAsia="仿宋" w:hAnsi="仿宋" w:cs="仿宋" w:hint="eastAsia"/>
          <w:sz w:val="28"/>
        </w:rPr>
      </w:pPr>
      <w:r>
        <w:rPr>
          <w:rFonts w:ascii="仿宋" w:eastAsia="仿宋" w:hAnsi="仿宋" w:cs="仿宋" w:hint="eastAsia"/>
          <w:sz w:val="28"/>
          <w:lang w:eastAsia="zh-CN"/>
        </w:rPr>
        <w:t>4. 尽职调查： 对潜在合作伙伴进行详细的尽职调查。这包括审查其财务状况、业务记录、客户关系、管理团队、知识产权等。公司还可以考虑与潜在合作伙伴的面谈以更好地了解他们的能力和文化。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评估合作伙伴的资源能力： 公司需要评估潜在合作伙伴的资源能力，包括财务资源、技术资源、市场资源等。这将确保合作伙伴能够履行合作协议中的责任。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6. 评估合作伙伴的信誉度： 公司应该评估潜在合作伙伴的信誉度和商业道德。合作伙伴的声誉将直接影响到合作关系的成功。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7. 文化适应性： 公司和潜在合作伙伴之间的文化适应性也是重要的。共享相似的价值观和文化将有助于合作伙伴关系的顺利运作。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最终选择： 基于尽职调查和评估，公司将最终选择与之合作的合作伙伴。合作伙伴应与公司的战略目标相一致，能够共同实现共同的目标。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9. 协商合同： 一旦选择了合作伙伴，公司应与合作伙伴协商合同，明确合作的细节、责任和期望成果。</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合作伙伴选择与评估是确保战略合作的成功关键步骤。公司需要花时间和精力来寻找最适合的合作伙伴，以确保合作伙伴关系的互利和长期发展。</w:t>
      </w:r>
    </w:p>
    <w:p>
      <w:pPr>
        <w:pStyle w:val="Heading2"/>
        <w:ind w:firstLine="560" w:firstLineChars="200"/>
        <w:rPr>
          <w:rFonts w:ascii="仿宋" w:eastAsia="仿宋" w:hAnsi="仿宋" w:cs="仿宋" w:hint="eastAsia"/>
          <w:sz w:val="28"/>
          <w:lang w:eastAsia="zh-CN"/>
        </w:rPr>
      </w:pPr>
      <w:bookmarkStart w:id="27" w:name="_Toc16109"/>
      <w:r>
        <w:rPr>
          <w:rFonts w:ascii="仿宋" w:eastAsia="仿宋" w:hAnsi="仿宋" w:cs="仿宋" w:hint="eastAsia"/>
          <w:sz w:val="28"/>
          <w:lang w:eastAsia="zh-CN"/>
        </w:rPr>
        <w:t>(三)、合同与协议管理</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战略合作中，合同与协议的管理至关重要。公司将制定明确而具体的合同和协议，以确保明晰定义了双方的权利和责任，包括合作范围、期限、共同目标以及关键绩效指标。这种明确性有助于消除潜在的误解，维护双方之间的一致性，以确保战略合作能够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这些合同和协议，公司将设立专门的合同管理团队，负责监督和评估合作的进展。这个团队将保持密切的合作伙伴关系，定期审查合同履行情况，及时发现并解决潜在问题，以确保双方能够达到共同设定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还将制定全面的风险管理策略，以应对可能出现的合同风险。这一策略将包括风险的明确定义、风险的评估，以及在风险出现时的应对计划。公司将建立备忘录和计划，以保证迅速应对潜在问题，减轻风险可能带来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清晰的合同和协议、专门的合同管理团队以及全面的风险管理策略，公司将能够有效地管理与合作伙伴的关系，确保战略合作的成功和可持续发展。这将有助于双方实现其合作目标，共同应对市场挑战，取得持久的竞争优势。</w:t>
      </w:r>
    </w:p>
    <w:p>
      <w:pPr>
        <w:pStyle w:val="Heading2"/>
        <w:ind w:firstLine="560" w:firstLineChars="200"/>
        <w:rPr>
          <w:rFonts w:ascii="仿宋" w:eastAsia="仿宋" w:hAnsi="仿宋" w:cs="仿宋" w:hint="eastAsia"/>
          <w:sz w:val="28"/>
          <w:lang w:eastAsia="zh-CN"/>
        </w:rPr>
      </w:pPr>
      <w:bookmarkStart w:id="28" w:name="_Toc21010"/>
      <w:r>
        <w:rPr>
          <w:rFonts w:ascii="仿宋" w:eastAsia="仿宋" w:hAnsi="仿宋" w:cs="仿宋" w:hint="eastAsia"/>
          <w:sz w:val="28"/>
          <w:lang w:eastAsia="zh-CN"/>
        </w:rPr>
        <w:t>(四)、风险管理与纠纷解决</w:t>
      </w:r>
      <w:bookmarkEnd w:id="2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https://d.book118.com/795224032310011121</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污泥处理项目成效分析报告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FD2A3A"/>
    <w:rsid w:val="6EFD2A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795224032310011121"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2024-01-15T17:00:00Z</dcterms:created>
  <dcterms:modified xsi:type="dcterms:W3CDTF">2024-01-15T17:00:22Z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385A9FC5768B4BE2A8A6C07D8F4EA989_11</vt:lpwstr>
  </property>
  <property fmtid="{D5CDD505-2E9C-101B-9397-08002B2CF9AE}" pid="3" name="KSOProductBuildVer">
    <vt:lpwstr>2052-12.1.0.16120</vt:lpwstr>
  </property>
</Properties>
</file>