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高分子复合着色材料项目计划设计方案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444" w:history="1">
        <w:r>
          <w:rPr>
            <w:rFonts w:ascii="仿宋" w:eastAsia="仿宋" w:hAnsi="仿宋" w:cs="仿宋" w:hint="eastAsia"/>
            <w:lang w:eastAsia="zh-CN"/>
          </w:rPr>
          <w:t>前言</w:t>
        </w:r>
        <w:r>
          <w:tab/>
        </w:r>
        <w:r>
          <w:fldChar w:fldCharType="begin"/>
        </w:r>
        <w:r>
          <w:instrText xml:space="preserve"> PAGEREF _Toc29444 \h </w:instrText>
        </w:r>
        <w:r>
          <w:fldChar w:fldCharType="separate"/>
        </w:r>
        <w:r>
          <w:t>3</w:t>
        </w:r>
        <w:r>
          <w:fldChar w:fldCharType="end"/>
        </w:r>
      </w:hyperlink>
    </w:p>
    <w:p>
      <w:pPr>
        <w:pStyle w:val="TOC1"/>
        <w:tabs>
          <w:tab w:val="right" w:leader="dot" w:pos="8306"/>
        </w:tabs>
      </w:pPr>
      <w:hyperlink w:anchor="_Toc15373" w:history="1">
        <w:r>
          <w:rPr>
            <w:rFonts w:ascii="仿宋" w:eastAsia="仿宋" w:hAnsi="仿宋" w:cs="仿宋" w:hint="eastAsia"/>
            <w:lang w:eastAsia="zh-CN"/>
          </w:rPr>
          <w:t>一、高分子复合着色材料项目文档管理</w:t>
        </w:r>
        <w:r>
          <w:tab/>
        </w:r>
        <w:r>
          <w:fldChar w:fldCharType="begin"/>
        </w:r>
        <w:r>
          <w:instrText xml:space="preserve"> PAGEREF _Toc15373 \h </w:instrText>
        </w:r>
        <w:r>
          <w:fldChar w:fldCharType="separate"/>
        </w:r>
        <w:r>
          <w:t>3</w:t>
        </w:r>
        <w:r>
          <w:fldChar w:fldCharType="end"/>
        </w:r>
      </w:hyperlink>
    </w:p>
    <w:p>
      <w:pPr>
        <w:pStyle w:val="TOC2"/>
        <w:tabs>
          <w:tab w:val="right" w:leader="dot" w:pos="8306"/>
        </w:tabs>
      </w:pPr>
      <w:hyperlink w:anchor="_Toc10932" w:history="1">
        <w:r>
          <w:rPr>
            <w:rFonts w:ascii="仿宋" w:eastAsia="仿宋" w:hAnsi="仿宋" w:cs="仿宋" w:hint="eastAsia"/>
            <w:lang w:eastAsia="zh-CN"/>
          </w:rPr>
          <w:t>(一)、文档编制与审查</w:t>
        </w:r>
        <w:r>
          <w:tab/>
        </w:r>
        <w:r>
          <w:fldChar w:fldCharType="begin"/>
        </w:r>
        <w:r>
          <w:instrText xml:space="preserve"> PAGEREF _Toc10932 \h </w:instrText>
        </w:r>
        <w:r>
          <w:fldChar w:fldCharType="separate"/>
        </w:r>
        <w:r>
          <w:t>3</w:t>
        </w:r>
        <w:r>
          <w:fldChar w:fldCharType="end"/>
        </w:r>
      </w:hyperlink>
    </w:p>
    <w:p>
      <w:pPr>
        <w:pStyle w:val="TOC2"/>
        <w:tabs>
          <w:tab w:val="right" w:leader="dot" w:pos="8306"/>
        </w:tabs>
      </w:pPr>
      <w:hyperlink w:anchor="_Toc28463" w:history="1">
        <w:r>
          <w:rPr>
            <w:rFonts w:ascii="仿宋" w:eastAsia="仿宋" w:hAnsi="仿宋" w:cs="仿宋" w:hint="eastAsia"/>
            <w:lang w:eastAsia="zh-CN"/>
          </w:rPr>
          <w:t>(二)、文档发布与分发</w:t>
        </w:r>
        <w:r>
          <w:tab/>
        </w:r>
        <w:r>
          <w:fldChar w:fldCharType="begin"/>
        </w:r>
        <w:r>
          <w:instrText xml:space="preserve"> PAGEREF _Toc28463 \h </w:instrText>
        </w:r>
        <w:r>
          <w:fldChar w:fldCharType="separate"/>
        </w:r>
        <w:r>
          <w:t>4</w:t>
        </w:r>
        <w:r>
          <w:fldChar w:fldCharType="end"/>
        </w:r>
      </w:hyperlink>
    </w:p>
    <w:p>
      <w:pPr>
        <w:pStyle w:val="TOC2"/>
        <w:tabs>
          <w:tab w:val="right" w:leader="dot" w:pos="8306"/>
        </w:tabs>
      </w:pPr>
      <w:hyperlink w:anchor="_Toc26457" w:history="1">
        <w:r>
          <w:rPr>
            <w:rFonts w:ascii="仿宋" w:eastAsia="仿宋" w:hAnsi="仿宋" w:cs="仿宋" w:hint="eastAsia"/>
            <w:lang w:eastAsia="zh-CN"/>
          </w:rPr>
          <w:t>(三)、文档存档与归档</w:t>
        </w:r>
        <w:r>
          <w:tab/>
        </w:r>
        <w:r>
          <w:fldChar w:fldCharType="begin"/>
        </w:r>
        <w:r>
          <w:instrText xml:space="preserve"> PAGEREF _Toc26457 \h </w:instrText>
        </w:r>
        <w:r>
          <w:fldChar w:fldCharType="separate"/>
        </w:r>
        <w:r>
          <w:t>5</w:t>
        </w:r>
        <w:r>
          <w:fldChar w:fldCharType="end"/>
        </w:r>
      </w:hyperlink>
    </w:p>
    <w:p>
      <w:pPr>
        <w:pStyle w:val="TOC1"/>
        <w:tabs>
          <w:tab w:val="right" w:leader="dot" w:pos="8306"/>
        </w:tabs>
      </w:pPr>
      <w:hyperlink w:anchor="_Toc2357" w:history="1">
        <w:r>
          <w:rPr>
            <w:rFonts w:ascii="仿宋" w:eastAsia="仿宋" w:hAnsi="仿宋" w:cs="仿宋" w:hint="eastAsia"/>
            <w:lang w:eastAsia="zh-CN"/>
          </w:rPr>
          <w:t>二、高分子复合着色材料项目选址可行性分析</w:t>
        </w:r>
        <w:r>
          <w:tab/>
        </w:r>
        <w:r>
          <w:fldChar w:fldCharType="begin"/>
        </w:r>
        <w:r>
          <w:instrText xml:space="preserve"> PAGEREF _Toc2357 \h </w:instrText>
        </w:r>
        <w:r>
          <w:fldChar w:fldCharType="separate"/>
        </w:r>
        <w:r>
          <w:t>7</w:t>
        </w:r>
        <w:r>
          <w:fldChar w:fldCharType="end"/>
        </w:r>
      </w:hyperlink>
    </w:p>
    <w:p>
      <w:pPr>
        <w:pStyle w:val="TOC2"/>
        <w:tabs>
          <w:tab w:val="right" w:leader="dot" w:pos="8306"/>
        </w:tabs>
      </w:pPr>
      <w:hyperlink w:anchor="_Toc13063" w:history="1">
        <w:r>
          <w:rPr>
            <w:rFonts w:ascii="仿宋" w:eastAsia="仿宋" w:hAnsi="仿宋" w:cs="仿宋" w:hint="eastAsia"/>
            <w:lang w:eastAsia="zh-CN"/>
          </w:rPr>
          <w:t>(一)、高分子复合着色材料项目选址</w:t>
        </w:r>
        <w:r>
          <w:tab/>
        </w:r>
        <w:r>
          <w:fldChar w:fldCharType="begin"/>
        </w:r>
        <w:r>
          <w:instrText xml:space="preserve"> PAGEREF _Toc13063 \h </w:instrText>
        </w:r>
        <w:r>
          <w:fldChar w:fldCharType="separate"/>
        </w:r>
        <w:r>
          <w:t>7</w:t>
        </w:r>
        <w:r>
          <w:fldChar w:fldCharType="end"/>
        </w:r>
      </w:hyperlink>
    </w:p>
    <w:p>
      <w:pPr>
        <w:pStyle w:val="TOC2"/>
        <w:tabs>
          <w:tab w:val="right" w:leader="dot" w:pos="8306"/>
        </w:tabs>
      </w:pPr>
      <w:hyperlink w:anchor="_Toc15377" w:history="1">
        <w:r>
          <w:rPr>
            <w:rFonts w:ascii="仿宋" w:eastAsia="仿宋" w:hAnsi="仿宋" w:cs="仿宋" w:hint="eastAsia"/>
            <w:lang w:eastAsia="zh-CN"/>
          </w:rPr>
          <w:t>(二)、用地控制指标</w:t>
        </w:r>
        <w:r>
          <w:tab/>
        </w:r>
        <w:r>
          <w:fldChar w:fldCharType="begin"/>
        </w:r>
        <w:r>
          <w:instrText xml:space="preserve"> PAGEREF _Toc15377 \h </w:instrText>
        </w:r>
        <w:r>
          <w:fldChar w:fldCharType="separate"/>
        </w:r>
        <w:r>
          <w:t>7</w:t>
        </w:r>
        <w:r>
          <w:fldChar w:fldCharType="end"/>
        </w:r>
      </w:hyperlink>
    </w:p>
    <w:p>
      <w:pPr>
        <w:pStyle w:val="TOC2"/>
        <w:tabs>
          <w:tab w:val="right" w:leader="dot" w:pos="8306"/>
        </w:tabs>
      </w:pPr>
      <w:hyperlink w:anchor="_Toc12131" w:history="1">
        <w:r>
          <w:rPr>
            <w:rFonts w:ascii="仿宋" w:eastAsia="仿宋" w:hAnsi="仿宋" w:cs="仿宋" w:hint="eastAsia"/>
            <w:lang w:eastAsia="zh-CN"/>
          </w:rPr>
          <w:t>(三)、节约用地措施</w:t>
        </w:r>
        <w:r>
          <w:tab/>
        </w:r>
        <w:r>
          <w:fldChar w:fldCharType="begin"/>
        </w:r>
        <w:r>
          <w:instrText xml:space="preserve"> PAGEREF _Toc12131 \h </w:instrText>
        </w:r>
        <w:r>
          <w:fldChar w:fldCharType="separate"/>
        </w:r>
        <w:r>
          <w:t>9</w:t>
        </w:r>
        <w:r>
          <w:fldChar w:fldCharType="end"/>
        </w:r>
      </w:hyperlink>
    </w:p>
    <w:p>
      <w:pPr>
        <w:pStyle w:val="TOC2"/>
        <w:tabs>
          <w:tab w:val="right" w:leader="dot" w:pos="8306"/>
        </w:tabs>
      </w:pPr>
      <w:hyperlink w:anchor="_Toc1100" w:history="1">
        <w:r>
          <w:rPr>
            <w:rFonts w:ascii="仿宋" w:eastAsia="仿宋" w:hAnsi="仿宋" w:cs="仿宋" w:hint="eastAsia"/>
            <w:lang w:eastAsia="zh-CN"/>
          </w:rPr>
          <w:t>(四)、总图布置方案</w:t>
        </w:r>
        <w:r>
          <w:tab/>
        </w:r>
        <w:r>
          <w:fldChar w:fldCharType="begin"/>
        </w:r>
        <w:r>
          <w:instrText xml:space="preserve"> PAGEREF _Toc1100 \h </w:instrText>
        </w:r>
        <w:r>
          <w:fldChar w:fldCharType="separate"/>
        </w:r>
        <w:r>
          <w:t>10</w:t>
        </w:r>
        <w:r>
          <w:fldChar w:fldCharType="end"/>
        </w:r>
      </w:hyperlink>
    </w:p>
    <w:p>
      <w:pPr>
        <w:pStyle w:val="TOC2"/>
        <w:tabs>
          <w:tab w:val="right" w:leader="dot" w:pos="8306"/>
        </w:tabs>
      </w:pPr>
      <w:hyperlink w:anchor="_Toc10856" w:history="1">
        <w:r>
          <w:rPr>
            <w:rFonts w:ascii="仿宋" w:eastAsia="仿宋" w:hAnsi="仿宋" w:cs="仿宋" w:hint="eastAsia"/>
            <w:lang w:eastAsia="zh-CN"/>
          </w:rPr>
          <w:t>(五)、选址综合评价</w:t>
        </w:r>
        <w:r>
          <w:tab/>
        </w:r>
        <w:r>
          <w:fldChar w:fldCharType="begin"/>
        </w:r>
        <w:r>
          <w:instrText xml:space="preserve"> PAGEREF _Toc10856 \h </w:instrText>
        </w:r>
        <w:r>
          <w:fldChar w:fldCharType="separate"/>
        </w:r>
        <w:r>
          <w:t>11</w:t>
        </w:r>
        <w:r>
          <w:fldChar w:fldCharType="end"/>
        </w:r>
      </w:hyperlink>
    </w:p>
    <w:p>
      <w:pPr>
        <w:pStyle w:val="TOC1"/>
        <w:tabs>
          <w:tab w:val="right" w:leader="dot" w:pos="8306"/>
        </w:tabs>
      </w:pPr>
      <w:hyperlink w:anchor="_Toc30014" w:history="1">
        <w:r>
          <w:rPr>
            <w:rFonts w:ascii="仿宋" w:eastAsia="仿宋" w:hAnsi="仿宋" w:cs="仿宋" w:hint="eastAsia"/>
            <w:lang w:eastAsia="zh-CN"/>
          </w:rPr>
          <w:t>三、高分子复合着色材料项目土建工程</w:t>
        </w:r>
        <w:r>
          <w:tab/>
        </w:r>
        <w:r>
          <w:fldChar w:fldCharType="begin"/>
        </w:r>
        <w:r>
          <w:instrText xml:space="preserve"> PAGEREF _Toc30014 \h </w:instrText>
        </w:r>
        <w:r>
          <w:fldChar w:fldCharType="separate"/>
        </w:r>
        <w:r>
          <w:t>12</w:t>
        </w:r>
        <w:r>
          <w:fldChar w:fldCharType="end"/>
        </w:r>
      </w:hyperlink>
    </w:p>
    <w:p>
      <w:pPr>
        <w:pStyle w:val="TOC2"/>
        <w:tabs>
          <w:tab w:val="right" w:leader="dot" w:pos="8306"/>
        </w:tabs>
      </w:pPr>
      <w:hyperlink w:anchor="_Toc6699" w:history="1">
        <w:r>
          <w:rPr>
            <w:rFonts w:ascii="仿宋" w:eastAsia="仿宋" w:hAnsi="仿宋" w:cs="仿宋" w:hint="eastAsia"/>
            <w:lang w:eastAsia="zh-CN"/>
          </w:rPr>
          <w:t>(一)、建筑工程设计原则</w:t>
        </w:r>
        <w:r>
          <w:tab/>
        </w:r>
        <w:r>
          <w:fldChar w:fldCharType="begin"/>
        </w:r>
        <w:r>
          <w:instrText xml:space="preserve"> PAGEREF _Toc6699 \h </w:instrText>
        </w:r>
        <w:r>
          <w:fldChar w:fldCharType="separate"/>
        </w:r>
        <w:r>
          <w:t>12</w:t>
        </w:r>
        <w:r>
          <w:fldChar w:fldCharType="end"/>
        </w:r>
      </w:hyperlink>
    </w:p>
    <w:p>
      <w:pPr>
        <w:pStyle w:val="TOC2"/>
        <w:tabs>
          <w:tab w:val="right" w:leader="dot" w:pos="8306"/>
        </w:tabs>
      </w:pPr>
      <w:hyperlink w:anchor="_Toc9284" w:history="1">
        <w:r>
          <w:rPr>
            <w:rFonts w:ascii="仿宋" w:eastAsia="仿宋" w:hAnsi="仿宋" w:cs="仿宋" w:hint="eastAsia"/>
            <w:lang w:eastAsia="zh-CN"/>
          </w:rPr>
          <w:t>(二)、土建工程设计年限及安全等级</w:t>
        </w:r>
        <w:r>
          <w:tab/>
        </w:r>
        <w:r>
          <w:fldChar w:fldCharType="begin"/>
        </w:r>
        <w:r>
          <w:instrText xml:space="preserve"> PAGEREF _Toc9284 \h </w:instrText>
        </w:r>
        <w:r>
          <w:fldChar w:fldCharType="separate"/>
        </w:r>
        <w:r>
          <w:t>14</w:t>
        </w:r>
        <w:r>
          <w:fldChar w:fldCharType="end"/>
        </w:r>
      </w:hyperlink>
    </w:p>
    <w:p>
      <w:pPr>
        <w:pStyle w:val="TOC2"/>
        <w:tabs>
          <w:tab w:val="right" w:leader="dot" w:pos="8306"/>
        </w:tabs>
      </w:pPr>
      <w:hyperlink w:anchor="_Toc16334" w:history="1">
        <w:r>
          <w:rPr>
            <w:rFonts w:ascii="仿宋" w:eastAsia="仿宋" w:hAnsi="仿宋" w:cs="仿宋" w:hint="eastAsia"/>
            <w:lang w:eastAsia="zh-CN"/>
          </w:rPr>
          <w:t>(三)、建筑工程设计总体要求</w:t>
        </w:r>
        <w:r>
          <w:tab/>
        </w:r>
        <w:r>
          <w:fldChar w:fldCharType="begin"/>
        </w:r>
        <w:r>
          <w:instrText xml:space="preserve"> PAGEREF _Toc16334 \h </w:instrText>
        </w:r>
        <w:r>
          <w:fldChar w:fldCharType="separate"/>
        </w:r>
        <w:r>
          <w:t>15</w:t>
        </w:r>
        <w:r>
          <w:fldChar w:fldCharType="end"/>
        </w:r>
      </w:hyperlink>
    </w:p>
    <w:p>
      <w:pPr>
        <w:pStyle w:val="TOC2"/>
        <w:tabs>
          <w:tab w:val="right" w:leader="dot" w:pos="8306"/>
        </w:tabs>
      </w:pPr>
      <w:hyperlink w:anchor="_Toc4703" w:history="1">
        <w:r>
          <w:rPr>
            <w:rFonts w:ascii="仿宋" w:eastAsia="仿宋" w:hAnsi="仿宋" w:cs="仿宋" w:hint="eastAsia"/>
            <w:lang w:eastAsia="zh-CN"/>
          </w:rPr>
          <w:t>(四)、土建工程建设指标</w:t>
        </w:r>
        <w:r>
          <w:tab/>
        </w:r>
        <w:r>
          <w:fldChar w:fldCharType="begin"/>
        </w:r>
        <w:r>
          <w:instrText xml:space="preserve"> PAGEREF _Toc4703 \h </w:instrText>
        </w:r>
        <w:r>
          <w:fldChar w:fldCharType="separate"/>
        </w:r>
        <w:r>
          <w:t>15</w:t>
        </w:r>
        <w:r>
          <w:fldChar w:fldCharType="end"/>
        </w:r>
      </w:hyperlink>
    </w:p>
    <w:p>
      <w:pPr>
        <w:pStyle w:val="TOC1"/>
        <w:tabs>
          <w:tab w:val="right" w:leader="dot" w:pos="8306"/>
        </w:tabs>
      </w:pPr>
      <w:hyperlink w:anchor="_Toc29449" w:history="1">
        <w:r>
          <w:rPr>
            <w:rFonts w:ascii="仿宋" w:eastAsia="仿宋" w:hAnsi="仿宋" w:cs="仿宋" w:hint="eastAsia"/>
            <w:lang w:eastAsia="zh-CN"/>
          </w:rPr>
          <w:t>四、高分子复合着色材料项目可持续发展</w:t>
        </w:r>
        <w:r>
          <w:tab/>
        </w:r>
        <w:r>
          <w:fldChar w:fldCharType="begin"/>
        </w:r>
        <w:r>
          <w:instrText xml:space="preserve"> PAGEREF _Toc29449 \h </w:instrText>
        </w:r>
        <w:r>
          <w:fldChar w:fldCharType="separate"/>
        </w:r>
        <w:r>
          <w:t>16</w:t>
        </w:r>
        <w:r>
          <w:fldChar w:fldCharType="end"/>
        </w:r>
      </w:hyperlink>
    </w:p>
    <w:p>
      <w:pPr>
        <w:pStyle w:val="TOC2"/>
        <w:tabs>
          <w:tab w:val="right" w:leader="dot" w:pos="8306"/>
        </w:tabs>
      </w:pPr>
      <w:hyperlink w:anchor="_Toc12328" w:history="1">
        <w:r>
          <w:rPr>
            <w:rFonts w:ascii="仿宋" w:eastAsia="仿宋" w:hAnsi="仿宋" w:cs="仿宋" w:hint="eastAsia"/>
            <w:lang w:eastAsia="zh-CN"/>
          </w:rPr>
          <w:t>(一)、可持续战略与实践</w:t>
        </w:r>
        <w:r>
          <w:tab/>
        </w:r>
        <w:r>
          <w:fldChar w:fldCharType="begin"/>
        </w:r>
        <w:r>
          <w:instrText xml:space="preserve"> PAGEREF _Toc12328 \h </w:instrText>
        </w:r>
        <w:r>
          <w:fldChar w:fldCharType="separate"/>
        </w:r>
        <w:r>
          <w:t>16</w:t>
        </w:r>
        <w:r>
          <w:fldChar w:fldCharType="end"/>
        </w:r>
      </w:hyperlink>
    </w:p>
    <w:p>
      <w:pPr>
        <w:pStyle w:val="TOC2"/>
        <w:tabs>
          <w:tab w:val="right" w:leader="dot" w:pos="8306"/>
        </w:tabs>
      </w:pPr>
      <w:hyperlink w:anchor="_Toc25322" w:history="1">
        <w:r>
          <w:rPr>
            <w:rFonts w:ascii="仿宋" w:eastAsia="仿宋" w:hAnsi="仿宋" w:cs="仿宋" w:hint="eastAsia"/>
            <w:lang w:eastAsia="zh-CN"/>
          </w:rPr>
          <w:t>(二)、环保与社会责任</w:t>
        </w:r>
        <w:r>
          <w:tab/>
        </w:r>
        <w:r>
          <w:fldChar w:fldCharType="begin"/>
        </w:r>
        <w:r>
          <w:instrText xml:space="preserve"> PAGEREF _Toc25322 \h </w:instrText>
        </w:r>
        <w:r>
          <w:fldChar w:fldCharType="separate"/>
        </w:r>
        <w:r>
          <w:t>16</w:t>
        </w:r>
        <w:r>
          <w:fldChar w:fldCharType="end"/>
        </w:r>
      </w:hyperlink>
    </w:p>
    <w:p>
      <w:pPr>
        <w:pStyle w:val="TOC1"/>
        <w:tabs>
          <w:tab w:val="right" w:leader="dot" w:pos="8306"/>
        </w:tabs>
      </w:pPr>
      <w:hyperlink w:anchor="_Toc13815" w:history="1">
        <w:r>
          <w:rPr>
            <w:rFonts w:ascii="仿宋" w:eastAsia="仿宋" w:hAnsi="仿宋" w:cs="仿宋" w:hint="eastAsia"/>
            <w:lang w:eastAsia="zh-CN"/>
          </w:rPr>
          <w:t>五、高分子复合着色材料项目建设背景及必要性分析</w:t>
        </w:r>
        <w:r>
          <w:tab/>
        </w:r>
        <w:r>
          <w:fldChar w:fldCharType="begin"/>
        </w:r>
        <w:r>
          <w:instrText xml:space="preserve"> PAGEREF _Toc13815 \h </w:instrText>
        </w:r>
        <w:r>
          <w:fldChar w:fldCharType="separate"/>
        </w:r>
        <w:r>
          <w:t>17</w:t>
        </w:r>
        <w:r>
          <w:fldChar w:fldCharType="end"/>
        </w:r>
      </w:hyperlink>
    </w:p>
    <w:p>
      <w:pPr>
        <w:pStyle w:val="TOC2"/>
        <w:tabs>
          <w:tab w:val="right" w:leader="dot" w:pos="8306"/>
        </w:tabs>
      </w:pPr>
      <w:hyperlink w:anchor="_Toc15813" w:history="1">
        <w:r>
          <w:rPr>
            <w:rFonts w:ascii="仿宋" w:eastAsia="仿宋" w:hAnsi="仿宋" w:cs="仿宋" w:hint="eastAsia"/>
            <w:lang w:eastAsia="zh-CN"/>
          </w:rPr>
          <w:t>(一)、高分子复合着色材料项目背景分析</w:t>
        </w:r>
        <w:r>
          <w:tab/>
        </w:r>
        <w:r>
          <w:fldChar w:fldCharType="begin"/>
        </w:r>
        <w:r>
          <w:instrText xml:space="preserve"> PAGEREF _Toc15813 \h </w:instrText>
        </w:r>
        <w:r>
          <w:fldChar w:fldCharType="separate"/>
        </w:r>
        <w:r>
          <w:t>17</w:t>
        </w:r>
        <w:r>
          <w:fldChar w:fldCharType="end"/>
        </w:r>
      </w:hyperlink>
    </w:p>
    <w:p>
      <w:pPr>
        <w:pStyle w:val="TOC2"/>
        <w:tabs>
          <w:tab w:val="right" w:leader="dot" w:pos="8306"/>
        </w:tabs>
      </w:pPr>
      <w:hyperlink w:anchor="_Toc6831" w:history="1">
        <w:r>
          <w:rPr>
            <w:rFonts w:ascii="仿宋" w:eastAsia="仿宋" w:hAnsi="仿宋" w:cs="仿宋" w:hint="eastAsia"/>
            <w:lang w:eastAsia="zh-CN"/>
          </w:rPr>
          <w:t>(二)、高分子复合着色材料项目建设必要性分析</w:t>
        </w:r>
        <w:r>
          <w:tab/>
        </w:r>
        <w:r>
          <w:fldChar w:fldCharType="begin"/>
        </w:r>
        <w:r>
          <w:instrText xml:space="preserve"> PAGEREF _Toc6831 \h </w:instrText>
        </w:r>
        <w:r>
          <w:fldChar w:fldCharType="separate"/>
        </w:r>
        <w:r>
          <w:t>19</w:t>
        </w:r>
        <w:r>
          <w:fldChar w:fldCharType="end"/>
        </w:r>
      </w:hyperlink>
    </w:p>
    <w:p>
      <w:pPr>
        <w:pStyle w:val="TOC1"/>
        <w:tabs>
          <w:tab w:val="right" w:leader="dot" w:pos="8306"/>
        </w:tabs>
      </w:pPr>
      <w:hyperlink w:anchor="_Toc357" w:history="1">
        <w:r>
          <w:rPr>
            <w:rFonts w:ascii="仿宋" w:eastAsia="仿宋" w:hAnsi="仿宋" w:cs="仿宋" w:hint="eastAsia"/>
            <w:lang w:eastAsia="zh-CN"/>
          </w:rPr>
          <w:t>六、高分子复合着色材料项目绩效评估</w:t>
        </w:r>
        <w:r>
          <w:tab/>
        </w:r>
        <w:r>
          <w:fldChar w:fldCharType="begin"/>
        </w:r>
        <w:r>
          <w:instrText xml:space="preserve"> PAGEREF _Toc357 \h </w:instrText>
        </w:r>
        <w:r>
          <w:fldChar w:fldCharType="separate"/>
        </w:r>
        <w:r>
          <w:t>21</w:t>
        </w:r>
        <w:r>
          <w:fldChar w:fldCharType="end"/>
        </w:r>
      </w:hyperlink>
    </w:p>
    <w:p>
      <w:pPr>
        <w:pStyle w:val="TOC2"/>
        <w:tabs>
          <w:tab w:val="right" w:leader="dot" w:pos="8306"/>
        </w:tabs>
      </w:pPr>
      <w:hyperlink w:anchor="_Toc1429" w:history="1">
        <w:r>
          <w:rPr>
            <w:rFonts w:ascii="仿宋" w:eastAsia="仿宋" w:hAnsi="仿宋" w:cs="仿宋" w:hint="eastAsia"/>
            <w:lang w:eastAsia="zh-CN"/>
          </w:rPr>
          <w:t>(一)、绩效评估指标</w:t>
        </w:r>
        <w:r>
          <w:tab/>
        </w:r>
        <w:r>
          <w:fldChar w:fldCharType="begin"/>
        </w:r>
        <w:r>
          <w:instrText xml:space="preserve"> PAGEREF _Toc1429 \h </w:instrText>
        </w:r>
        <w:r>
          <w:fldChar w:fldCharType="separate"/>
        </w:r>
        <w:r>
          <w:t>21</w:t>
        </w:r>
        <w:r>
          <w:fldChar w:fldCharType="end"/>
        </w:r>
      </w:hyperlink>
    </w:p>
    <w:p>
      <w:pPr>
        <w:pStyle w:val="TOC2"/>
        <w:tabs>
          <w:tab w:val="right" w:leader="dot" w:pos="8306"/>
        </w:tabs>
      </w:pPr>
      <w:hyperlink w:anchor="_Toc32252" w:history="1">
        <w:r>
          <w:rPr>
            <w:rFonts w:ascii="仿宋" w:eastAsia="仿宋" w:hAnsi="仿宋" w:cs="仿宋" w:hint="eastAsia"/>
            <w:lang w:eastAsia="zh-CN"/>
          </w:rPr>
          <w:t>(二)、绩效评估方法</w:t>
        </w:r>
        <w:r>
          <w:tab/>
        </w:r>
        <w:r>
          <w:fldChar w:fldCharType="begin"/>
        </w:r>
        <w:r>
          <w:instrText xml:space="preserve"> PAGEREF _Toc32252 \h </w:instrText>
        </w:r>
        <w:r>
          <w:fldChar w:fldCharType="separate"/>
        </w:r>
        <w:r>
          <w:t>22</w:t>
        </w:r>
        <w:r>
          <w:fldChar w:fldCharType="end"/>
        </w:r>
      </w:hyperlink>
    </w:p>
    <w:p>
      <w:pPr>
        <w:pStyle w:val="TOC2"/>
        <w:tabs>
          <w:tab w:val="right" w:leader="dot" w:pos="8306"/>
        </w:tabs>
      </w:pPr>
      <w:hyperlink w:anchor="_Toc10601" w:history="1">
        <w:r>
          <w:rPr>
            <w:rFonts w:ascii="仿宋" w:eastAsia="仿宋" w:hAnsi="仿宋" w:cs="仿宋" w:hint="eastAsia"/>
            <w:lang w:eastAsia="zh-CN"/>
          </w:rPr>
          <w:t>(三)、绩效评估周期</w:t>
        </w:r>
        <w:r>
          <w:tab/>
        </w:r>
        <w:r>
          <w:fldChar w:fldCharType="begin"/>
        </w:r>
        <w:r>
          <w:instrText xml:space="preserve"> PAGEREF _Toc10601 \h </w:instrText>
        </w:r>
        <w:r>
          <w:fldChar w:fldCharType="separate"/>
        </w:r>
        <w:r>
          <w:t>23</w:t>
        </w:r>
        <w:r>
          <w:fldChar w:fldCharType="end"/>
        </w:r>
      </w:hyperlink>
    </w:p>
    <w:p>
      <w:pPr>
        <w:pStyle w:val="TOC1"/>
        <w:tabs>
          <w:tab w:val="right" w:leader="dot" w:pos="8306"/>
        </w:tabs>
      </w:pPr>
      <w:hyperlink w:anchor="_Toc21070" w:history="1">
        <w:r>
          <w:rPr>
            <w:rFonts w:ascii="仿宋" w:eastAsia="仿宋" w:hAnsi="仿宋" w:cs="仿宋" w:hint="eastAsia"/>
            <w:lang w:eastAsia="zh-CN"/>
          </w:rPr>
          <w:t>七、高分子复合着色材料项目技术管理</w:t>
        </w:r>
        <w:r>
          <w:tab/>
        </w:r>
        <w:r>
          <w:fldChar w:fldCharType="begin"/>
        </w:r>
        <w:r>
          <w:instrText xml:space="preserve"> PAGEREF _Toc21070 \h </w:instrText>
        </w:r>
        <w:r>
          <w:fldChar w:fldCharType="separate"/>
        </w:r>
        <w:r>
          <w:t>24</w:t>
        </w:r>
        <w:r>
          <w:fldChar w:fldCharType="end"/>
        </w:r>
      </w:hyperlink>
    </w:p>
    <w:p>
      <w:pPr>
        <w:pStyle w:val="TOC2"/>
        <w:tabs>
          <w:tab w:val="right" w:leader="dot" w:pos="8306"/>
        </w:tabs>
      </w:pPr>
      <w:hyperlink w:anchor="_Toc3525" w:history="1">
        <w:r>
          <w:rPr>
            <w:rFonts w:ascii="仿宋" w:eastAsia="仿宋" w:hAnsi="仿宋" w:cs="仿宋" w:hint="eastAsia"/>
            <w:lang w:eastAsia="zh-CN"/>
          </w:rPr>
          <w:t>(一)、技术方案选用方向</w:t>
        </w:r>
        <w:r>
          <w:tab/>
        </w:r>
        <w:r>
          <w:fldChar w:fldCharType="begin"/>
        </w:r>
        <w:r>
          <w:instrText xml:space="preserve"> PAGEREF _Toc3525 \h </w:instrText>
        </w:r>
        <w:r>
          <w:fldChar w:fldCharType="separate"/>
        </w:r>
        <w:r>
          <w:t>24</w:t>
        </w:r>
        <w:r>
          <w:fldChar w:fldCharType="end"/>
        </w:r>
      </w:hyperlink>
    </w:p>
    <w:p>
      <w:pPr>
        <w:pStyle w:val="TOC2"/>
        <w:tabs>
          <w:tab w:val="right" w:leader="dot" w:pos="8306"/>
        </w:tabs>
      </w:pPr>
      <w:hyperlink w:anchor="_Toc24089" w:history="1">
        <w:r>
          <w:rPr>
            <w:rFonts w:ascii="仿宋" w:eastAsia="仿宋" w:hAnsi="仿宋" w:cs="仿宋" w:hint="eastAsia"/>
            <w:lang w:eastAsia="zh-CN"/>
          </w:rPr>
          <w:t>(二)、工艺技术方案选用原则</w:t>
        </w:r>
        <w:r>
          <w:tab/>
        </w:r>
        <w:r>
          <w:fldChar w:fldCharType="begin"/>
        </w:r>
        <w:r>
          <w:instrText xml:space="preserve"> PAGEREF _Toc24089 \h </w:instrText>
        </w:r>
        <w:r>
          <w:fldChar w:fldCharType="separate"/>
        </w:r>
        <w:r>
          <w:t>26</w:t>
        </w:r>
        <w:r>
          <w:fldChar w:fldCharType="end"/>
        </w:r>
      </w:hyperlink>
    </w:p>
    <w:p>
      <w:pPr>
        <w:pStyle w:val="TOC2"/>
        <w:tabs>
          <w:tab w:val="right" w:leader="dot" w:pos="8306"/>
        </w:tabs>
      </w:pPr>
      <w:hyperlink w:anchor="_Toc13666" w:history="1">
        <w:r>
          <w:rPr>
            <w:rFonts w:ascii="仿宋" w:eastAsia="仿宋" w:hAnsi="仿宋" w:cs="仿宋" w:hint="eastAsia"/>
            <w:lang w:eastAsia="zh-CN"/>
          </w:rPr>
          <w:t>(三)、工艺技术方案要求</w:t>
        </w:r>
        <w:r>
          <w:tab/>
        </w:r>
        <w:r>
          <w:fldChar w:fldCharType="begin"/>
        </w:r>
        <w:r>
          <w:instrText xml:space="preserve"> PAGEREF _Toc13666 \h </w:instrText>
        </w:r>
        <w:r>
          <w:fldChar w:fldCharType="separate"/>
        </w:r>
        <w:r>
          <w:t>28</w:t>
        </w:r>
        <w:r>
          <w:fldChar w:fldCharType="end"/>
        </w:r>
      </w:hyperlink>
    </w:p>
    <w:p>
      <w:pPr>
        <w:pStyle w:val="TOC1"/>
        <w:tabs>
          <w:tab w:val="right" w:leader="dot" w:pos="8306"/>
        </w:tabs>
      </w:pPr>
      <w:hyperlink w:anchor="_Toc9578" w:history="1">
        <w:r>
          <w:rPr>
            <w:rFonts w:ascii="仿宋" w:eastAsia="仿宋" w:hAnsi="仿宋" w:cs="仿宋" w:hint="eastAsia"/>
            <w:lang w:eastAsia="zh-CN"/>
          </w:rPr>
          <w:t>八、高分子复合着色材料项目社会影响</w:t>
        </w:r>
        <w:r>
          <w:tab/>
        </w:r>
        <w:r>
          <w:fldChar w:fldCharType="begin"/>
        </w:r>
        <w:r>
          <w:instrText xml:space="preserve"> PAGEREF _Toc9578 \h </w:instrText>
        </w:r>
        <w:r>
          <w:fldChar w:fldCharType="separate"/>
        </w:r>
        <w:r>
          <w:t>30</w:t>
        </w:r>
        <w:r>
          <w:fldChar w:fldCharType="end"/>
        </w:r>
      </w:hyperlink>
    </w:p>
    <w:p>
      <w:pPr>
        <w:pStyle w:val="TOC2"/>
        <w:tabs>
          <w:tab w:val="right" w:leader="dot" w:pos="8306"/>
        </w:tabs>
      </w:pPr>
      <w:hyperlink w:anchor="_Toc18325" w:history="1">
        <w:r>
          <w:rPr>
            <w:rFonts w:ascii="仿宋" w:eastAsia="仿宋" w:hAnsi="仿宋" w:cs="仿宋" w:hint="eastAsia"/>
            <w:lang w:eastAsia="zh-CN"/>
          </w:rPr>
          <w:t>(一)、社会责任与义务</w:t>
        </w:r>
        <w:r>
          <w:tab/>
        </w:r>
        <w:r>
          <w:fldChar w:fldCharType="begin"/>
        </w:r>
        <w:r>
          <w:instrText xml:space="preserve"> PAGEREF _Toc18325 \h </w:instrText>
        </w:r>
        <w:r>
          <w:fldChar w:fldCharType="separate"/>
        </w:r>
        <w:r>
          <w:t>30</w:t>
        </w:r>
        <w:r>
          <w:fldChar w:fldCharType="end"/>
        </w:r>
      </w:hyperlink>
    </w:p>
    <w:p>
      <w:pPr>
        <w:pStyle w:val="TOC2"/>
        <w:tabs>
          <w:tab w:val="right" w:leader="dot" w:pos="8306"/>
        </w:tabs>
      </w:pPr>
      <w:hyperlink w:anchor="_Toc20091" w:history="1">
        <w:r>
          <w:rPr>
            <w:rFonts w:ascii="仿宋" w:eastAsia="仿宋" w:hAnsi="仿宋" w:cs="仿宋" w:hint="eastAsia"/>
            <w:lang w:eastAsia="zh-CN"/>
          </w:rPr>
          <w:t>(二)、社会参与与沟通</w:t>
        </w:r>
        <w:r>
          <w:tab/>
        </w:r>
        <w:r>
          <w:fldChar w:fldCharType="begin"/>
        </w:r>
        <w:r>
          <w:instrText xml:space="preserve"> PAGEREF _Toc20091 \h </w:instrText>
        </w:r>
        <w:r>
          <w:fldChar w:fldCharType="separate"/>
        </w:r>
        <w:r>
          <w:t>31</w:t>
        </w:r>
        <w:r>
          <w:fldChar w:fldCharType="end"/>
        </w:r>
      </w:hyperlink>
    </w:p>
    <w:p>
      <w:pPr>
        <w:pStyle w:val="TOC1"/>
        <w:tabs>
          <w:tab w:val="right" w:leader="dot" w:pos="8306"/>
        </w:tabs>
      </w:pPr>
      <w:hyperlink w:anchor="_Toc25862" w:history="1">
        <w:r>
          <w:rPr>
            <w:rFonts w:ascii="仿宋" w:eastAsia="仿宋" w:hAnsi="仿宋" w:cs="仿宋" w:hint="eastAsia"/>
            <w:lang w:eastAsia="zh-CN"/>
          </w:rPr>
          <w:t>九、高分子复合着色材料项目投资规划</w:t>
        </w:r>
        <w:r>
          <w:tab/>
        </w:r>
        <w:r>
          <w:fldChar w:fldCharType="begin"/>
        </w:r>
        <w:r>
          <w:instrText xml:space="preserve"> PAGEREF _Toc25862 \h </w:instrText>
        </w:r>
        <w:r>
          <w:fldChar w:fldCharType="separate"/>
        </w:r>
        <w:r>
          <w:t>32</w:t>
        </w:r>
        <w:r>
          <w:fldChar w:fldCharType="end"/>
        </w:r>
      </w:hyperlink>
    </w:p>
    <w:p>
      <w:pPr>
        <w:pStyle w:val="TOC2"/>
        <w:tabs>
          <w:tab w:val="right" w:leader="dot" w:pos="8306"/>
        </w:tabs>
      </w:pPr>
      <w:hyperlink w:anchor="_Toc1374" w:history="1">
        <w:r>
          <w:rPr>
            <w:rFonts w:ascii="仿宋" w:eastAsia="仿宋" w:hAnsi="仿宋" w:cs="仿宋" w:hint="eastAsia"/>
            <w:lang w:eastAsia="zh-CN"/>
          </w:rPr>
          <w:t>(一)、高分子复合着色材料项目总投资估算</w:t>
        </w:r>
        <w:r>
          <w:tab/>
        </w:r>
        <w:r>
          <w:fldChar w:fldCharType="begin"/>
        </w:r>
        <w:r>
          <w:instrText xml:space="preserve"> PAGEREF _Toc1374 \h </w:instrText>
        </w:r>
        <w:r>
          <w:fldChar w:fldCharType="separate"/>
        </w:r>
        <w:r>
          <w:t>32</w:t>
        </w:r>
        <w:r>
          <w:fldChar w:fldCharType="end"/>
        </w:r>
      </w:hyperlink>
    </w:p>
    <w:p>
      <w:pPr>
        <w:pStyle w:val="TOC2"/>
        <w:tabs>
          <w:tab w:val="right" w:leader="dot" w:pos="8306"/>
        </w:tabs>
      </w:pPr>
      <w:hyperlink w:anchor="_Toc1888" w:history="1">
        <w:r>
          <w:rPr>
            <w:rFonts w:ascii="仿宋" w:eastAsia="仿宋" w:hAnsi="仿宋" w:cs="仿宋" w:hint="eastAsia"/>
            <w:lang w:eastAsia="zh-CN"/>
          </w:rPr>
          <w:t>(二)、资金筹措</w:t>
        </w:r>
        <w:r>
          <w:tab/>
        </w:r>
        <w:r>
          <w:fldChar w:fldCharType="begin"/>
        </w:r>
        <w:r>
          <w:instrText xml:space="preserve"> PAGEREF _Toc1888 \h </w:instrText>
        </w:r>
        <w:r>
          <w:fldChar w:fldCharType="separate"/>
        </w:r>
        <w:r>
          <w:t>33</w:t>
        </w:r>
        <w:r>
          <w:fldChar w:fldCharType="end"/>
        </w:r>
      </w:hyperlink>
    </w:p>
    <w:p>
      <w:pPr>
        <w:pStyle w:val="TOC1"/>
        <w:tabs>
          <w:tab w:val="right" w:leader="dot" w:pos="8306"/>
        </w:tabs>
      </w:pPr>
      <w:hyperlink w:anchor="_Toc27497" w:history="1">
        <w:r>
          <w:rPr>
            <w:rFonts w:ascii="仿宋" w:eastAsia="仿宋" w:hAnsi="仿宋" w:cs="仿宋" w:hint="eastAsia"/>
            <w:lang w:eastAsia="zh-CN"/>
          </w:rPr>
          <w:t>十、生产安全保护</w:t>
        </w:r>
        <w:r>
          <w:tab/>
        </w:r>
        <w:r>
          <w:fldChar w:fldCharType="begin"/>
        </w:r>
        <w:r>
          <w:instrText xml:space="preserve"> PAGEREF _Toc27497 \h </w:instrText>
        </w:r>
        <w:r>
          <w:fldChar w:fldCharType="separate"/>
        </w:r>
        <w:r>
          <w:t>34</w:t>
        </w:r>
        <w:r>
          <w:fldChar w:fldCharType="end"/>
        </w:r>
      </w:hyperlink>
    </w:p>
    <w:p>
      <w:pPr>
        <w:pStyle w:val="TOC2"/>
        <w:tabs>
          <w:tab w:val="right" w:leader="dot" w:pos="8306"/>
        </w:tabs>
      </w:pPr>
      <w:hyperlink w:anchor="_Toc1939" w:history="1">
        <w:r>
          <w:rPr>
            <w:rFonts w:ascii="仿宋" w:eastAsia="仿宋" w:hAnsi="仿宋" w:cs="仿宋" w:hint="eastAsia"/>
            <w:lang w:eastAsia="zh-CN"/>
          </w:rPr>
          <w:t>(一)、消防安全</w:t>
        </w:r>
        <w:r>
          <w:tab/>
        </w:r>
        <w:r>
          <w:fldChar w:fldCharType="begin"/>
        </w:r>
        <w:r>
          <w:instrText xml:space="preserve"> PAGEREF _Toc1939 \h </w:instrText>
        </w:r>
        <w:r>
          <w:fldChar w:fldCharType="separate"/>
        </w:r>
        <w:r>
          <w:t>34</w:t>
        </w:r>
        <w:r>
          <w:fldChar w:fldCharType="end"/>
        </w:r>
      </w:hyperlink>
    </w:p>
    <w:p>
      <w:pPr>
        <w:pStyle w:val="TOC2"/>
        <w:tabs>
          <w:tab w:val="right" w:leader="dot" w:pos="8306"/>
        </w:tabs>
      </w:pPr>
      <w:hyperlink w:anchor="_Toc1787" w:history="1">
        <w:r>
          <w:rPr>
            <w:rFonts w:ascii="仿宋" w:eastAsia="仿宋" w:hAnsi="仿宋" w:cs="仿宋" w:hint="eastAsia"/>
            <w:lang w:eastAsia="zh-CN"/>
          </w:rPr>
          <w:t>(二)、防火防爆总图布置措施</w:t>
        </w:r>
        <w:r>
          <w:tab/>
        </w:r>
        <w:r>
          <w:fldChar w:fldCharType="begin"/>
        </w:r>
        <w:r>
          <w:instrText xml:space="preserve"> PAGEREF _Toc1787 \h </w:instrText>
        </w:r>
        <w:r>
          <w:fldChar w:fldCharType="separate"/>
        </w:r>
        <w:r>
          <w:t>36</w:t>
        </w:r>
        <w:r>
          <w:fldChar w:fldCharType="end"/>
        </w:r>
      </w:hyperlink>
    </w:p>
    <w:p>
      <w:pPr>
        <w:pStyle w:val="TOC2"/>
        <w:tabs>
          <w:tab w:val="right" w:leader="dot" w:pos="8306"/>
        </w:tabs>
      </w:pPr>
      <w:hyperlink w:anchor="_Toc18177" w:history="1">
        <w:r>
          <w:rPr>
            <w:rFonts w:ascii="仿宋" w:eastAsia="仿宋" w:hAnsi="仿宋" w:cs="仿宋" w:hint="eastAsia"/>
            <w:lang w:eastAsia="zh-CN"/>
          </w:rPr>
          <w:t>(三)、自然灾害防范措施</w:t>
        </w:r>
        <w:r>
          <w:tab/>
        </w:r>
        <w:r>
          <w:fldChar w:fldCharType="begin"/>
        </w:r>
        <w:r>
          <w:instrText xml:space="preserve"> PAGEREF _Toc18177 \h </w:instrText>
        </w:r>
        <w:r>
          <w:fldChar w:fldCharType="separate"/>
        </w:r>
        <w:r>
          <w:t>37</w:t>
        </w:r>
        <w:r>
          <w:fldChar w:fldCharType="end"/>
        </w:r>
      </w:hyperlink>
    </w:p>
    <w:p>
      <w:pPr>
        <w:pStyle w:val="TOC2"/>
        <w:tabs>
          <w:tab w:val="right" w:leader="dot" w:pos="8306"/>
        </w:tabs>
      </w:pPr>
      <w:hyperlink w:anchor="_Toc24161" w:history="1">
        <w:r>
          <w:rPr>
            <w:rFonts w:ascii="仿宋" w:eastAsia="仿宋" w:hAnsi="仿宋" w:cs="仿宋" w:hint="eastAsia"/>
            <w:lang w:eastAsia="zh-CN"/>
          </w:rPr>
          <w:t>(四)、安全色及安全标志使用要求</w:t>
        </w:r>
        <w:r>
          <w:tab/>
        </w:r>
        <w:r>
          <w:fldChar w:fldCharType="begin"/>
        </w:r>
        <w:r>
          <w:instrText xml:space="preserve"> PAGEREF _Toc24161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999" w:history="1">
        <w:r>
          <w:rPr>
            <w:rFonts w:ascii="仿宋" w:eastAsia="仿宋" w:hAnsi="仿宋" w:cs="仿宋" w:hint="eastAsia"/>
            <w:lang w:eastAsia="zh-CN"/>
          </w:rPr>
          <w:t>(五)、防尘防毒措施</w:t>
        </w:r>
        <w:r>
          <w:tab/>
        </w:r>
        <w:r>
          <w:fldChar w:fldCharType="begin"/>
        </w:r>
        <w:r>
          <w:instrText xml:space="preserve"> PAGEREF _Toc6999 \h </w:instrText>
        </w:r>
        <w:r>
          <w:fldChar w:fldCharType="separate"/>
        </w:r>
        <w:r>
          <w:t>39</w:t>
        </w:r>
        <w:r>
          <w:fldChar w:fldCharType="end"/>
        </w:r>
      </w:hyperlink>
    </w:p>
    <w:p>
      <w:pPr>
        <w:pStyle w:val="TOC2"/>
        <w:tabs>
          <w:tab w:val="right" w:leader="dot" w:pos="8306"/>
        </w:tabs>
      </w:pPr>
      <w:hyperlink w:anchor="_Toc32484" w:history="1">
        <w:r>
          <w:rPr>
            <w:rFonts w:ascii="仿宋" w:eastAsia="仿宋" w:hAnsi="仿宋" w:cs="仿宋" w:hint="eastAsia"/>
            <w:lang w:eastAsia="zh-CN"/>
          </w:rPr>
          <w:t>(六)、防静电、触电防护及防雷措施</w:t>
        </w:r>
        <w:r>
          <w:tab/>
        </w:r>
        <w:r>
          <w:fldChar w:fldCharType="begin"/>
        </w:r>
        <w:r>
          <w:instrText xml:space="preserve"> PAGEREF _Toc32484 \h </w:instrText>
        </w:r>
        <w:r>
          <w:fldChar w:fldCharType="separate"/>
        </w:r>
        <w:r>
          <w:t>40</w:t>
        </w:r>
        <w:r>
          <w:fldChar w:fldCharType="end"/>
        </w:r>
      </w:hyperlink>
    </w:p>
    <w:p>
      <w:pPr>
        <w:pStyle w:val="TOC2"/>
        <w:tabs>
          <w:tab w:val="right" w:leader="dot" w:pos="8306"/>
        </w:tabs>
      </w:pPr>
      <w:hyperlink w:anchor="_Toc23004" w:history="1">
        <w:r>
          <w:rPr>
            <w:rFonts w:ascii="仿宋" w:eastAsia="仿宋" w:hAnsi="仿宋" w:cs="仿宋" w:hint="eastAsia"/>
            <w:lang w:eastAsia="zh-CN"/>
          </w:rPr>
          <w:t>(七)、机械设备安全保障措施</w:t>
        </w:r>
        <w:r>
          <w:tab/>
        </w:r>
        <w:r>
          <w:fldChar w:fldCharType="begin"/>
        </w:r>
        <w:r>
          <w:instrText xml:space="preserve"> PAGEREF _Toc23004 \h </w:instrText>
        </w:r>
        <w:r>
          <w:fldChar w:fldCharType="separate"/>
        </w:r>
        <w:r>
          <w:t>41</w:t>
        </w:r>
        <w:r>
          <w:fldChar w:fldCharType="end"/>
        </w:r>
      </w:hyperlink>
    </w:p>
    <w:p>
      <w:pPr>
        <w:pStyle w:val="TOC1"/>
        <w:tabs>
          <w:tab w:val="right" w:leader="dot" w:pos="8306"/>
        </w:tabs>
      </w:pPr>
      <w:hyperlink w:anchor="_Toc31049" w:history="1">
        <w:r>
          <w:rPr>
            <w:rFonts w:ascii="仿宋" w:eastAsia="仿宋" w:hAnsi="仿宋" w:cs="仿宋" w:hint="eastAsia"/>
            <w:lang w:eastAsia="zh-CN"/>
          </w:rPr>
          <w:t>十一、高分子复合着色材料项目创新与研发</w:t>
        </w:r>
        <w:r>
          <w:tab/>
        </w:r>
        <w:r>
          <w:fldChar w:fldCharType="begin"/>
        </w:r>
        <w:r>
          <w:instrText xml:space="preserve"> PAGEREF _Toc31049 \h </w:instrText>
        </w:r>
        <w:r>
          <w:fldChar w:fldCharType="separate"/>
        </w:r>
        <w:r>
          <w:t>43</w:t>
        </w:r>
        <w:r>
          <w:fldChar w:fldCharType="end"/>
        </w:r>
      </w:hyperlink>
    </w:p>
    <w:p>
      <w:pPr>
        <w:pStyle w:val="TOC2"/>
        <w:tabs>
          <w:tab w:val="right" w:leader="dot" w:pos="8306"/>
        </w:tabs>
      </w:pPr>
      <w:hyperlink w:anchor="_Toc1654" w:history="1">
        <w:r>
          <w:rPr>
            <w:rFonts w:ascii="仿宋" w:eastAsia="仿宋" w:hAnsi="仿宋" w:cs="仿宋" w:hint="eastAsia"/>
            <w:lang w:eastAsia="zh-CN"/>
          </w:rPr>
          <w:t>(一)、创新策略与方向</w:t>
        </w:r>
        <w:r>
          <w:tab/>
        </w:r>
        <w:r>
          <w:fldChar w:fldCharType="begin"/>
        </w:r>
        <w:r>
          <w:instrText xml:space="preserve"> PAGEREF _Toc1654 \h </w:instrText>
        </w:r>
        <w:r>
          <w:fldChar w:fldCharType="separate"/>
        </w:r>
        <w:r>
          <w:t>43</w:t>
        </w:r>
        <w:r>
          <w:fldChar w:fldCharType="end"/>
        </w:r>
      </w:hyperlink>
    </w:p>
    <w:p>
      <w:pPr>
        <w:pStyle w:val="TOC2"/>
        <w:tabs>
          <w:tab w:val="right" w:leader="dot" w:pos="8306"/>
        </w:tabs>
      </w:pPr>
      <w:hyperlink w:anchor="_Toc26437" w:history="1">
        <w:r>
          <w:rPr>
            <w:rFonts w:ascii="仿宋" w:eastAsia="仿宋" w:hAnsi="仿宋" w:cs="仿宋" w:hint="eastAsia"/>
            <w:lang w:eastAsia="zh-CN"/>
          </w:rPr>
          <w:t>(二)、研发规划与投入</w:t>
        </w:r>
        <w:r>
          <w:tab/>
        </w:r>
        <w:r>
          <w:fldChar w:fldCharType="begin"/>
        </w:r>
        <w:r>
          <w:instrText xml:space="preserve"> PAGEREF _Toc26437 \h </w:instrText>
        </w:r>
        <w:r>
          <w:fldChar w:fldCharType="separate"/>
        </w:r>
        <w:r>
          <w:t>44</w:t>
        </w:r>
        <w:r>
          <w:fldChar w:fldCharType="end"/>
        </w:r>
      </w:hyperlink>
    </w:p>
    <w:p>
      <w:pPr>
        <w:pStyle w:val="TOC1"/>
        <w:tabs>
          <w:tab w:val="right" w:leader="dot" w:pos="8306"/>
        </w:tabs>
      </w:pPr>
      <w:hyperlink w:anchor="_Toc3010" w:history="1">
        <w:r>
          <w:rPr>
            <w:rFonts w:ascii="仿宋" w:eastAsia="仿宋" w:hAnsi="仿宋" w:cs="仿宋" w:hint="eastAsia"/>
            <w:lang w:eastAsia="zh-CN"/>
          </w:rPr>
          <w:t>十二、高分子复合着色材料项目人力资源管理</w:t>
        </w:r>
        <w:r>
          <w:tab/>
        </w:r>
        <w:r>
          <w:fldChar w:fldCharType="begin"/>
        </w:r>
        <w:r>
          <w:instrText xml:space="preserve"> PAGEREF _Toc3010 \h </w:instrText>
        </w:r>
        <w:r>
          <w:fldChar w:fldCharType="separate"/>
        </w:r>
        <w:r>
          <w:t>46</w:t>
        </w:r>
        <w:r>
          <w:fldChar w:fldCharType="end"/>
        </w:r>
      </w:hyperlink>
    </w:p>
    <w:p>
      <w:pPr>
        <w:pStyle w:val="TOC2"/>
        <w:tabs>
          <w:tab w:val="right" w:leader="dot" w:pos="8306"/>
        </w:tabs>
      </w:pPr>
      <w:hyperlink w:anchor="_Toc27069" w:history="1">
        <w:r>
          <w:rPr>
            <w:rFonts w:ascii="仿宋" w:eastAsia="仿宋" w:hAnsi="仿宋" w:cs="仿宋" w:hint="eastAsia"/>
            <w:lang w:eastAsia="zh-CN"/>
          </w:rPr>
          <w:t>(一)、建立健全的预算管理制度</w:t>
        </w:r>
        <w:r>
          <w:tab/>
        </w:r>
        <w:r>
          <w:fldChar w:fldCharType="begin"/>
        </w:r>
        <w:r>
          <w:instrText xml:space="preserve"> PAGEREF _Toc27069 \h </w:instrText>
        </w:r>
        <w:r>
          <w:fldChar w:fldCharType="separate"/>
        </w:r>
        <w:r>
          <w:t>46</w:t>
        </w:r>
        <w:r>
          <w:fldChar w:fldCharType="end"/>
        </w:r>
      </w:hyperlink>
    </w:p>
    <w:p>
      <w:pPr>
        <w:pStyle w:val="TOC2"/>
        <w:tabs>
          <w:tab w:val="right" w:leader="dot" w:pos="8306"/>
        </w:tabs>
      </w:pPr>
      <w:hyperlink w:anchor="_Toc19688" w:history="1">
        <w:r>
          <w:rPr>
            <w:rFonts w:ascii="仿宋" w:eastAsia="仿宋" w:hAnsi="仿宋" w:cs="仿宋" w:hint="eastAsia"/>
            <w:lang w:eastAsia="zh-CN"/>
          </w:rPr>
          <w:t>(二)、加强资金流动监控</w:t>
        </w:r>
        <w:r>
          <w:tab/>
        </w:r>
        <w:r>
          <w:fldChar w:fldCharType="begin"/>
        </w:r>
        <w:r>
          <w:instrText xml:space="preserve"> PAGEREF _Toc19688 \h </w:instrText>
        </w:r>
        <w:r>
          <w:fldChar w:fldCharType="separate"/>
        </w:r>
        <w:r>
          <w:t>48</w:t>
        </w:r>
        <w:r>
          <w:fldChar w:fldCharType="end"/>
        </w:r>
      </w:hyperlink>
    </w:p>
    <w:p>
      <w:pPr>
        <w:pStyle w:val="TOC2"/>
        <w:tabs>
          <w:tab w:val="right" w:leader="dot" w:pos="8306"/>
        </w:tabs>
      </w:pPr>
      <w:hyperlink w:anchor="_Toc19906" w:history="1">
        <w:r>
          <w:rPr>
            <w:rFonts w:ascii="仿宋" w:eastAsia="仿宋" w:hAnsi="仿宋" w:cs="仿宋" w:hint="eastAsia"/>
            <w:lang w:eastAsia="zh-CN"/>
          </w:rPr>
          <w:t>(三)、制定完善的风险控制机制</w:t>
        </w:r>
        <w:r>
          <w:tab/>
        </w:r>
        <w:r>
          <w:fldChar w:fldCharType="begin"/>
        </w:r>
        <w:r>
          <w:instrText xml:space="preserve"> PAGEREF _Toc19906 \h </w:instrText>
        </w:r>
        <w:r>
          <w:fldChar w:fldCharType="separate"/>
        </w:r>
        <w:r>
          <w:t>49</w:t>
        </w:r>
        <w:r>
          <w:fldChar w:fldCharType="end"/>
        </w:r>
      </w:hyperlink>
    </w:p>
    <w:p>
      <w:pPr>
        <w:pStyle w:val="TOC2"/>
        <w:tabs>
          <w:tab w:val="right" w:leader="dot" w:pos="8306"/>
        </w:tabs>
      </w:pPr>
      <w:hyperlink w:anchor="_Toc10005" w:history="1">
        <w:r>
          <w:rPr>
            <w:rFonts w:ascii="仿宋" w:eastAsia="仿宋" w:hAnsi="仿宋" w:cs="仿宋" w:hint="eastAsia"/>
            <w:lang w:eastAsia="zh-CN"/>
          </w:rPr>
          <w:t>(四)、优化成本管理</w:t>
        </w:r>
        <w:r>
          <w:tab/>
        </w:r>
        <w:r>
          <w:fldChar w:fldCharType="begin"/>
        </w:r>
        <w:r>
          <w:instrText xml:space="preserve"> PAGEREF _Toc10005 \h </w:instrText>
        </w:r>
        <w:r>
          <w:fldChar w:fldCharType="separate"/>
        </w:r>
        <w:r>
          <w:t>50</w:t>
        </w:r>
        <w:r>
          <w:fldChar w:fldCharType="end"/>
        </w:r>
      </w:hyperlink>
    </w:p>
    <w:p>
      <w:pPr>
        <w:pStyle w:val="TOC1"/>
        <w:tabs>
          <w:tab w:val="right" w:leader="dot" w:pos="8306"/>
        </w:tabs>
      </w:pPr>
      <w:hyperlink w:anchor="_Toc13992" w:history="1">
        <w:r>
          <w:rPr>
            <w:rFonts w:ascii="仿宋" w:eastAsia="仿宋" w:hAnsi="仿宋" w:cs="仿宋" w:hint="eastAsia"/>
            <w:lang w:eastAsia="zh-CN"/>
          </w:rPr>
          <w:t>十三、高分子复合着色材料项目变更管理</w:t>
        </w:r>
        <w:r>
          <w:tab/>
        </w:r>
        <w:r>
          <w:fldChar w:fldCharType="begin"/>
        </w:r>
        <w:r>
          <w:instrText xml:space="preserve"> PAGEREF _Toc13992 \h </w:instrText>
        </w:r>
        <w:r>
          <w:fldChar w:fldCharType="separate"/>
        </w:r>
        <w:r>
          <w:t>52</w:t>
        </w:r>
        <w:r>
          <w:fldChar w:fldCharType="end"/>
        </w:r>
      </w:hyperlink>
    </w:p>
    <w:p>
      <w:pPr>
        <w:pStyle w:val="TOC2"/>
        <w:tabs>
          <w:tab w:val="right" w:leader="dot" w:pos="8306"/>
        </w:tabs>
      </w:pPr>
      <w:hyperlink w:anchor="_Toc26561" w:history="1">
        <w:r>
          <w:rPr>
            <w:rFonts w:ascii="仿宋" w:eastAsia="仿宋" w:hAnsi="仿宋" w:cs="仿宋" w:hint="eastAsia"/>
            <w:lang w:eastAsia="zh-CN"/>
          </w:rPr>
          <w:t>(一)、变更申请与评估</w:t>
        </w:r>
        <w:r>
          <w:tab/>
        </w:r>
        <w:r>
          <w:fldChar w:fldCharType="begin"/>
        </w:r>
        <w:r>
          <w:instrText xml:space="preserve"> PAGEREF _Toc26561 \h </w:instrText>
        </w:r>
        <w:r>
          <w:fldChar w:fldCharType="separate"/>
        </w:r>
        <w:r>
          <w:t>52</w:t>
        </w:r>
        <w:r>
          <w:fldChar w:fldCharType="end"/>
        </w:r>
      </w:hyperlink>
    </w:p>
    <w:p>
      <w:pPr>
        <w:pStyle w:val="TOC2"/>
        <w:tabs>
          <w:tab w:val="right" w:leader="dot" w:pos="8306"/>
        </w:tabs>
      </w:pPr>
      <w:hyperlink w:anchor="_Toc23982" w:history="1">
        <w:r>
          <w:rPr>
            <w:rFonts w:ascii="仿宋" w:eastAsia="仿宋" w:hAnsi="仿宋" w:cs="仿宋" w:hint="eastAsia"/>
            <w:lang w:eastAsia="zh-CN"/>
          </w:rPr>
          <w:t>(二)、变更实施与控制</w:t>
        </w:r>
        <w:r>
          <w:tab/>
        </w:r>
        <w:r>
          <w:fldChar w:fldCharType="begin"/>
        </w:r>
        <w:r>
          <w:instrText xml:space="preserve"> PAGEREF _Toc23982 \h </w:instrText>
        </w:r>
        <w:r>
          <w:fldChar w:fldCharType="separate"/>
        </w:r>
        <w:r>
          <w:t>52</w:t>
        </w:r>
        <w:r>
          <w:fldChar w:fldCharType="end"/>
        </w:r>
      </w:hyperlink>
    </w:p>
    <w:p>
      <w:pPr>
        <w:pStyle w:val="TOC1"/>
        <w:tabs>
          <w:tab w:val="right" w:leader="dot" w:pos="8306"/>
        </w:tabs>
      </w:pPr>
      <w:hyperlink w:anchor="_Toc9772" w:history="1">
        <w:r>
          <w:rPr>
            <w:rFonts w:ascii="仿宋" w:eastAsia="仿宋" w:hAnsi="仿宋" w:cs="仿宋" w:hint="eastAsia"/>
            <w:lang w:eastAsia="zh-CN"/>
          </w:rPr>
          <w:t>十四、高分子复合着色材料项目治理与监督</w:t>
        </w:r>
        <w:r>
          <w:tab/>
        </w:r>
        <w:r>
          <w:fldChar w:fldCharType="begin"/>
        </w:r>
        <w:r>
          <w:instrText xml:space="preserve"> PAGEREF _Toc9772 \h </w:instrText>
        </w:r>
        <w:r>
          <w:fldChar w:fldCharType="separate"/>
        </w:r>
        <w:r>
          <w:t>53</w:t>
        </w:r>
        <w:r>
          <w:fldChar w:fldCharType="end"/>
        </w:r>
      </w:hyperlink>
    </w:p>
    <w:p>
      <w:pPr>
        <w:pStyle w:val="TOC2"/>
        <w:tabs>
          <w:tab w:val="right" w:leader="dot" w:pos="8306"/>
        </w:tabs>
      </w:pPr>
      <w:hyperlink w:anchor="_Toc8629" w:history="1">
        <w:r>
          <w:rPr>
            <w:rFonts w:ascii="仿宋" w:eastAsia="仿宋" w:hAnsi="仿宋" w:cs="仿宋" w:hint="eastAsia"/>
            <w:lang w:eastAsia="zh-CN"/>
          </w:rPr>
          <w:t>(一)、高分子复合着色材料项目治理结构</w:t>
        </w:r>
        <w:r>
          <w:tab/>
        </w:r>
        <w:r>
          <w:fldChar w:fldCharType="begin"/>
        </w:r>
        <w:r>
          <w:instrText xml:space="preserve"> PAGEREF _Toc8629 \h </w:instrText>
        </w:r>
        <w:r>
          <w:fldChar w:fldCharType="separate"/>
        </w:r>
        <w:r>
          <w:t>53</w:t>
        </w:r>
        <w:r>
          <w:fldChar w:fldCharType="end"/>
        </w:r>
      </w:hyperlink>
    </w:p>
    <w:p>
      <w:pPr>
        <w:pStyle w:val="TOC2"/>
        <w:tabs>
          <w:tab w:val="right" w:leader="dot" w:pos="8306"/>
        </w:tabs>
      </w:pPr>
      <w:hyperlink w:anchor="_Toc23166" w:history="1">
        <w:r>
          <w:rPr>
            <w:rFonts w:ascii="仿宋" w:eastAsia="仿宋" w:hAnsi="仿宋" w:cs="仿宋" w:hint="eastAsia"/>
            <w:lang w:eastAsia="zh-CN"/>
          </w:rPr>
          <w:t>(二)、监督与审计</w:t>
        </w:r>
        <w:r>
          <w:tab/>
        </w:r>
        <w:r>
          <w:fldChar w:fldCharType="begin"/>
        </w:r>
        <w:r>
          <w:instrText xml:space="preserve"> PAGEREF _Toc23166 \h </w:instrText>
        </w:r>
        <w:r>
          <w:fldChar w:fldCharType="separate"/>
        </w:r>
        <w:r>
          <w:t>55</w:t>
        </w:r>
        <w:r>
          <w:fldChar w:fldCharType="end"/>
        </w:r>
      </w:hyperlink>
    </w:p>
    <w:p>
      <w:pPr>
        <w:pStyle w:val="TOC1"/>
        <w:tabs>
          <w:tab w:val="right" w:leader="dot" w:pos="8306"/>
        </w:tabs>
      </w:pPr>
      <w:hyperlink w:anchor="_Toc5112" w:history="1">
        <w:r>
          <w:rPr>
            <w:rFonts w:ascii="仿宋" w:eastAsia="仿宋" w:hAnsi="仿宋" w:cs="仿宋" w:hint="eastAsia"/>
            <w:lang w:eastAsia="zh-CN"/>
          </w:rPr>
          <w:t>十五、利益相关者分析与沟通计划</w:t>
        </w:r>
        <w:r>
          <w:tab/>
        </w:r>
        <w:r>
          <w:fldChar w:fldCharType="begin"/>
        </w:r>
        <w:r>
          <w:instrText xml:space="preserve"> PAGEREF _Toc5112 \h </w:instrText>
        </w:r>
        <w:r>
          <w:fldChar w:fldCharType="separate"/>
        </w:r>
        <w:r>
          <w:t>56</w:t>
        </w:r>
        <w:r>
          <w:fldChar w:fldCharType="end"/>
        </w:r>
      </w:hyperlink>
    </w:p>
    <w:p>
      <w:pPr>
        <w:pStyle w:val="TOC2"/>
        <w:tabs>
          <w:tab w:val="right" w:leader="dot" w:pos="8306"/>
        </w:tabs>
      </w:pPr>
      <w:hyperlink w:anchor="_Toc6456" w:history="1">
        <w:r>
          <w:rPr>
            <w:rFonts w:ascii="仿宋" w:eastAsia="仿宋" w:hAnsi="仿宋" w:cs="仿宋" w:hint="eastAsia"/>
            <w:lang w:eastAsia="zh-CN"/>
          </w:rPr>
          <w:t>(一)、利益相关者分析</w:t>
        </w:r>
        <w:r>
          <w:tab/>
        </w:r>
        <w:r>
          <w:fldChar w:fldCharType="begin"/>
        </w:r>
        <w:r>
          <w:instrText xml:space="preserve"> PAGEREF _Toc6456 \h </w:instrText>
        </w:r>
        <w:r>
          <w:fldChar w:fldCharType="separate"/>
        </w:r>
        <w:r>
          <w:t>56</w:t>
        </w:r>
        <w:r>
          <w:fldChar w:fldCharType="end"/>
        </w:r>
      </w:hyperlink>
    </w:p>
    <w:p>
      <w:pPr>
        <w:pStyle w:val="TOC2"/>
        <w:tabs>
          <w:tab w:val="right" w:leader="dot" w:pos="8306"/>
        </w:tabs>
      </w:pPr>
      <w:hyperlink w:anchor="_Toc7387" w:history="1">
        <w:r>
          <w:rPr>
            <w:rFonts w:ascii="仿宋" w:eastAsia="仿宋" w:hAnsi="仿宋" w:cs="仿宋" w:hint="eastAsia"/>
            <w:lang w:eastAsia="zh-CN"/>
          </w:rPr>
          <w:t>(二)、沟通计划</w:t>
        </w:r>
        <w:r>
          <w:tab/>
        </w:r>
        <w:r>
          <w:fldChar w:fldCharType="begin"/>
        </w:r>
        <w:r>
          <w:instrText xml:space="preserve"> PAGEREF _Toc7387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44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373"/>
      <w:r>
        <w:rPr>
          <w:rFonts w:ascii="仿宋" w:eastAsia="仿宋" w:hAnsi="仿宋" w:cs="仿宋" w:hint="eastAsia"/>
          <w:sz w:val="28"/>
          <w:lang w:eastAsia="zh-CN"/>
        </w:rPr>
        <w:t>一、高分子复合着色材料项目文档管理</w:t>
      </w:r>
      <w:bookmarkEnd w:id="2"/>
    </w:p>
    <w:p>
      <w:pPr>
        <w:pStyle w:val="Heading2"/>
        <w:rPr>
          <w:rFonts w:ascii="仿宋" w:eastAsia="仿宋" w:hAnsi="仿宋" w:cs="仿宋" w:hint="eastAsia"/>
          <w:lang w:eastAsia="zh-CN"/>
        </w:rPr>
      </w:pPr>
      <w:bookmarkStart w:id="3" w:name="_Toc1093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高分子复合着色材料项目高度重视文档的质量和准确性，以支持高分子复合着色材料项目的各项活动和决策。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高分子复合着色材料项目文档的编制始于高分子复合着色材料项目计划的初期，我们制定了详细的文档编制计划，明确了每个文档的内容、格式和编写责任人。在高分子复合着色材料项目启动阶段，我们首先编制了高分子复合着色材料项目章程，明确定义了高分子复合着色材料项目的目标、范围、风险等关键要素。随后，高分子复合着色材料项目团队根据计划陆续编制了需求文档、设计文档、测试文档等各类文档，确保高分子复合着色材料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高分子复合着色材料项目管理中的重要环节，旨在确保高分子复合着色材料项目文档符合质量标准和高分子复合着色材料项目需求。在高分子复合着色材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高分子复合着色材料项目相关利益方和专业领域的专家对文档进行独立审查。这有助于获取更全面、客观的反馈，确保高分子复合着色材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分子复合着色材料项目在文档编制与审查方面建立了严格的管理机制，通过规范的流程和多维度的审查，确保高分子复合着色材料项目文档的质量、准确性和可靠性，为高分子复合着色材料项目的顺利推进提供了有力支持。</w:t>
      </w:r>
    </w:p>
    <w:p>
      <w:pPr>
        <w:pStyle w:val="Heading2"/>
        <w:ind w:firstLine="560" w:firstLineChars="200"/>
        <w:rPr>
          <w:rFonts w:ascii="仿宋" w:eastAsia="仿宋" w:hAnsi="仿宋" w:cs="仿宋" w:hint="eastAsia"/>
          <w:sz w:val="28"/>
          <w:lang w:eastAsia="zh-CN"/>
        </w:rPr>
      </w:pPr>
      <w:bookmarkStart w:id="4" w:name="_Toc28463"/>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在高分子复合着色材料项目中，我们致力于优化文档发布与分发过程，以确保信息的高效传递和团队间协作的顺畅进行。以下是我们采取的关键优化策略：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我们通过多渠道发布文档，包括电子邮件、高分子复合着色材料项目管理平台、内部网站等，以满足不同团队成员的偏好和需求。多渠道发布确保了信息的全面覆盖。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我们采用了精细的权限控制，确保只有授权人员可以访问敏感信息。这种安全措施保护了高分子复合着色材料项目文档的机密性，防止了未经授权的信息泄露。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6457"/>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存档与归档是高分子复合着色材料项目生命周期中一个至关重要的环节，直接关系到高分子复合着色材料项目信息的长期保存和历史记录的完整性。在高分子复合着色材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357"/>
      <w:r>
        <w:rPr>
          <w:rFonts w:ascii="仿宋" w:eastAsia="仿宋" w:hAnsi="仿宋" w:cs="仿宋" w:hint="eastAsia"/>
          <w:sz w:val="28"/>
          <w:lang w:eastAsia="zh-CN"/>
        </w:rPr>
        <w:t>二、高分子复合着色材料项目选址可行性分析</w:t>
      </w:r>
      <w:bookmarkEnd w:id="6"/>
    </w:p>
    <w:p>
      <w:pPr>
        <w:pStyle w:val="Heading2"/>
        <w:rPr>
          <w:rFonts w:ascii="仿宋" w:eastAsia="仿宋" w:hAnsi="仿宋" w:cs="仿宋" w:hint="eastAsia"/>
          <w:lang w:eastAsia="zh-CN"/>
        </w:rPr>
      </w:pPr>
      <w:bookmarkStart w:id="7" w:name="_Toc13063"/>
      <w:r>
        <w:rPr>
          <w:rFonts w:ascii="仿宋" w:eastAsia="仿宋" w:hAnsi="仿宋" w:cs="仿宋" w:hint="eastAsia"/>
          <w:lang w:eastAsia="zh-CN"/>
        </w:rPr>
        <w:t>(一)、高分子复合着色材料项目选址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该高分子复合着色材料项目选址位于XX省XX市XX区XXX街道</w:t>
      </w:r>
    </w:p>
    <w:p>
      <w:pPr>
        <w:pStyle w:val="Heading2"/>
        <w:ind w:firstLine="560" w:firstLineChars="200"/>
        <w:rPr>
          <w:rFonts w:ascii="仿宋" w:eastAsia="仿宋" w:hAnsi="仿宋" w:cs="仿宋" w:hint="eastAsia"/>
          <w:sz w:val="28"/>
          <w:lang w:eastAsia="zh-CN"/>
        </w:rPr>
      </w:pPr>
      <w:bookmarkStart w:id="8" w:name="_Toc15377"/>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高分子复合着色材料项目的征地面积将根据高分子复合着色材料项目的实际规模和需求进行精确规划。具体面积XXX平方米，旨在确保高分子复合着色材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净用地面积是在征地面积基础上去除不可利用面积后的实际可开发用地。具体面积XXX平方米，考虑到环保、交通、安全等多方面因素，以确保高分子复合着色材料项目在整体利用效率上达到最优。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高分子复合着色材料项目计划建设的建筑总规模具体面积XXX平方米。这一规模的确定综合考虑了高分子复合着色材料项目的性质、规模，以及城市规划的相关要求，确保建筑布局与周边环境协调一致。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 绿地率： 绿地率是高分子复合着色材料项目用地中被规划为绿地的比例。具体面积XXX平方米，旨在通过合理规划绿地，改善高分子复合着色材料项目周边环境，提升居民生活质量，并符合城市整体绿化规划。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容积率是用地上可以建设的建筑总体积与用地面积之比。具体面积XXX，通过合理的容积率规划，确保高分子复合着色材料项目建筑规模与周边环境和谐共生。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高分子复合着色材料项目选址与当地城市规划相一致，具体面积XXX平方米。通过与城市规划部门深入沟通，确保高分子复合着色材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高分子复合着色材料项目选址符合当地产业政策，具体面积XXX平方米。这包括高分子复合着色材料项目对当地经济的促进作用，以及对相关产业的带动效应，确保高分子复合着色材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用地总体要求必须符合环保和可持续发展的原则，具体面积XXX平方米。通过采用绿色建筑设计、节能减排等措施，确保高分子复合着色材料项目在建设和运营过程中对环境的影响最小化，达到可持续发展的要求。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确保高分子复合着色材料项目选址具备必要的公共设施配套，具体面积XXX平方米。这包括交通便利性、教育、医疗等基础设施，以提高居民生活品质，使得高分子复合着色材料项目选址更具吸引力。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考虑用地总体要求对当地社会稳定性的影响，具体面积XXX平方米。通过深入了解当地社区反馈，确保高分子复合着色材料项目的选址和建设过程对当地社会和谐稳定产生积极作用。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高分子复合着色材料项目选址不仅符合法规和规划，还在实际操作中具有可行性。这一全面规划将为高分子复合着色材料项目的成功实施提供坚实的基础，确保高分子复合着色材料项目选址阶段就能够奠定良好的发展基础。</w:t>
      </w:r>
    </w:p>
    <w:p>
      <w:pPr>
        <w:pStyle w:val="Heading2"/>
        <w:ind w:firstLine="560" w:firstLineChars="200"/>
        <w:rPr>
          <w:rFonts w:ascii="仿宋" w:eastAsia="仿宋" w:hAnsi="仿宋" w:cs="仿宋" w:hint="eastAsia"/>
          <w:sz w:val="28"/>
          <w:lang w:eastAsia="zh-CN"/>
        </w:rPr>
      </w:pPr>
      <w:bookmarkStart w:id="9" w:name="_Toc12131"/>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分子复合着色材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高分子复合着色材料项目的设备规划和空间设计中，我们将采取灵活设备布局的措施。设备布局将根据实际需求进行灵活设计，避免不必要的浪费。通过合理规划设备摆放位置，我们将提高设备的利用率，减少设备间距，以确保高分子复合着色材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高分子复合着色材料项目内部引入共享设施的概念，例如共享会议室、办公区等。通过这种方式，我们可以减少对资源的重复建设，提高资源共享效率，从而减小高分子复合着色材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1100"/>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高分子复合着色材料项目的总图布置中，我们将不同功能区域进行明确的规划，以最大程度满足高分子复合着色材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10856"/>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高分子复合着色材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分子复合着色材料项目对环境的影响是综合评价的重要因素之一。我们将详细考虑选址周边的自然环境、生态保护区、水源地等情况，确保高分子复合着色材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对选址的评价还需充分考虑当地政府的产业政策和法规。我们将详细了解高分子复合着色材料项目所在地的相关政策，确保高分子复合着色材料项目的规划和运营与当地法规相符，降低不必要的法律风险。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考虑到社会稳定性对企业运营的重要性，我们将评估选址地区的社会安全情况、劳工关系、社区反馈等方面，以确保高分子复合着色材料项目的建设和运营不会受到社会稳定性的负面影响。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最后，我们将综合考虑用地成本，包括土地购置费用、土地开发成本等。通过对用地成本的详细评估，我们能够做出更为精确的经济效益分析，为高分子复合着色材料项目的投资决策提供有力支持。</w:t>
      </w:r>
    </w:p>
    <w:p>
      <w:pPr>
        <w:pStyle w:val="Heading1"/>
        <w:ind w:firstLine="560" w:firstLineChars="200"/>
        <w:rPr>
          <w:rFonts w:ascii="仿宋" w:eastAsia="仿宋" w:hAnsi="仿宋" w:cs="仿宋" w:hint="eastAsia"/>
          <w:sz w:val="28"/>
          <w:lang w:eastAsia="zh-CN"/>
        </w:rPr>
      </w:pPr>
      <w:bookmarkStart w:id="12" w:name="_Toc30014"/>
      <w:r>
        <w:rPr>
          <w:rFonts w:ascii="仿宋" w:eastAsia="仿宋" w:hAnsi="仿宋" w:cs="仿宋" w:hint="eastAsia"/>
          <w:sz w:val="28"/>
          <w:lang w:eastAsia="zh-CN"/>
        </w:rPr>
        <w:t>三、高分子复合着色材料项目土建工程</w:t>
      </w:r>
      <w:bookmarkEnd w:id="12"/>
    </w:p>
    <w:p>
      <w:pPr>
        <w:pStyle w:val="Heading2"/>
        <w:rPr>
          <w:rFonts w:ascii="仿宋" w:eastAsia="仿宋" w:hAnsi="仿宋" w:cs="仿宋" w:hint="eastAsia"/>
          <w:lang w:eastAsia="zh-CN"/>
        </w:rPr>
      </w:pPr>
      <w:bookmarkStart w:id="13" w:name="_Toc6699"/>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在高分子复合着色材料项目的建筑工程设计中，我们将秉承一系列重要的设计原则，以确保高分子复合着色材料项目建筑在功能、美观、可持续性等方面达到最佳效果。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首要原则是确保建筑的功能性得到最大化的发挥。我们将充分理解高分子复合着色材料项目的实际需求，合理布局各个功能区域，保证建筑在满足业务需求的同时，提供高效的工作环境。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在建筑设计中，我们将综合考虑建设和运营成本。通过精细的经济效益分析，确保设计方案在高效利用资源的同时，对高分子复合着色材料项目的长期盈利能力有积极的贡献。</w:t>
      </w:r>
    </w:p>
    <w:p>
      <w:pPr>
        <w:pStyle w:val="Heading2"/>
        <w:ind w:firstLine="560" w:firstLineChars="200"/>
        <w:rPr>
          <w:rFonts w:ascii="仿宋" w:eastAsia="仿宋" w:hAnsi="仿宋" w:cs="仿宋" w:hint="eastAsia"/>
          <w:sz w:val="28"/>
          <w:lang w:eastAsia="zh-CN"/>
        </w:rPr>
      </w:pPr>
      <w:bookmarkStart w:id="14" w:name="_Toc9284"/>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分子复合着色材料项目的土建工程设计中，我们将精准设定设计年限，结合高分子复合着色材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高分子复合着色材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6334"/>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高分子复合着色材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高分子复合着色材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高分子复合着色材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4703"/>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本期工程高分子复合着色材料项目预计总建筑面积XXX平方米，其中：计容建筑面积XXX平方米，计划建筑工程投资XX万元，占高分子复合着色材料项目总投资的XX%。</w:t>
      </w:r>
    </w:p>
    <w:p>
      <w:pPr>
        <w:pStyle w:val="Heading1"/>
        <w:ind w:firstLine="560" w:firstLineChars="200"/>
        <w:rPr>
          <w:rFonts w:ascii="仿宋" w:eastAsia="仿宋" w:hAnsi="仿宋" w:cs="仿宋" w:hint="eastAsia"/>
          <w:sz w:val="28"/>
          <w:lang w:eastAsia="zh-CN"/>
        </w:rPr>
      </w:pPr>
      <w:bookmarkStart w:id="17" w:name="_Toc29449"/>
      <w:r>
        <w:rPr>
          <w:rFonts w:ascii="仿宋" w:eastAsia="仿宋" w:hAnsi="仿宋" w:cs="仿宋" w:hint="eastAsia"/>
          <w:sz w:val="28"/>
          <w:lang w:eastAsia="zh-CN"/>
        </w:rPr>
        <w:t>四、高分子复合着色材料项目可持续发展</w:t>
      </w:r>
      <w:bookmarkEnd w:id="17"/>
    </w:p>
    <w:p>
      <w:pPr>
        <w:pStyle w:val="Heading2"/>
        <w:rPr>
          <w:rFonts w:ascii="仿宋" w:eastAsia="仿宋" w:hAnsi="仿宋" w:cs="仿宋" w:hint="eastAsia"/>
          <w:lang w:eastAsia="zh-CN"/>
        </w:rPr>
      </w:pPr>
      <w:bookmarkStart w:id="18" w:name="_Toc12328"/>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分子复合着色材料项目中，高分子复合着色材料项目团队着眼于未来，明确了可持续发展的战略方向。制定的具体可持续发展目标包括降低资源使用、采用环保技术、最大化社会效益等。这一步骤不仅有助于高分子复合着色材料项目在环保和社会责任方面达到最高标准，也为未来提供了明确的指引，确保高分子复合着色材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可持续实践的融入高分子复合着色材料项目管理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高分子复合着色材料项目管理周期。从高分子复合着色材料项目规划开始，高分子复合着色材料项目团队就考虑了环境和社会的因素。在执行阶段，高分子复合着色材料项目团队积极推动绿色技术的应用，优化资源利用。此外，关注员工的社会责任，通过培训和沟通活动提高员工对可持续发展的认知，使他们能够在日常工作中践行可持续实践。这些举措不仅为高分子复合着色材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25322"/>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https://d.book118.com/795300221021011112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高分子复合着色材料项目计划设计方案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高分子复合着色材料项目计划设计方案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高分子复合着色材料项目计划设计方案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高分子复合着色材料项目计划设计方案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高分子复合着色材料项目计划设计方案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高分子复合着色材料项目计划设计方案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高分子复合着色材料项目计划设计方案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高分子复合着色材料项目计划设计方案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高分子复合着色材料项目计划设计方案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高分子复合着色材料项目计划设计方案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高分子复合着色材料项目计划设计方案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高分子复合着色材料项目计划设计方案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高分子复合着色材料项目计划设计方案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高分子复合着色材料项目计划设计方案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高分子复合着色材料项目计划设计方案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高分子复合着色材料项目计划设计方案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高分子复合着色材料项目计划设计方案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DC7100"/>
    <w:rsid w:val="2EDC71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530022102101111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2024-02-22T19:24:00Z</dcterms:created>
  <dcterms:modified xsi:type="dcterms:W3CDTF">2024-02-22T19:24:22Z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3129581E18C5465CA1259C8917BE2547_11</vt:lpwstr>
  </property>
  <property fmtid="{D5CDD505-2E9C-101B-9397-08002B2CF9AE}" pid="3" name="KSOProductBuildVer">
    <vt:lpwstr>2052-12.1.0.16250</vt:lpwstr>
  </property>
</Properties>
</file>