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A062C" w:rsidP="00CA062C" w14:paraId="7F3925C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A062C">
        <w:rPr>
          <w:rFonts w:ascii="华文中宋" w:eastAsia="华文中宋" w:hAnsi="华文中宋"/>
          <w:b/>
          <w:sz w:val="30"/>
        </w:rPr>
        <w:t>2024</w:t>
      </w:r>
      <w:r w:rsidRPr="00CA062C">
        <w:rPr>
          <w:rFonts w:ascii="华文中宋" w:eastAsia="华文中宋" w:hAnsi="华文中宋"/>
          <w:b/>
          <w:sz w:val="30"/>
        </w:rPr>
        <w:t>湖南衡阳市农业农村局所属事业单位急需紧缺专业技术人才引进</w:t>
      </w:r>
      <w:r w:rsidRPr="00CA062C">
        <w:rPr>
          <w:rFonts w:ascii="华文中宋" w:eastAsia="华文中宋" w:hAnsi="华文中宋"/>
          <w:b/>
          <w:sz w:val="30"/>
        </w:rPr>
        <w:t>4</w:t>
      </w:r>
      <w:r w:rsidRPr="00CA062C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E6B3DC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32EBAB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2BDBE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4C5F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70FAF9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674428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3CCD03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20083F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784ED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19DC0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中华民族精神源远流长，包含着丰富的内容。其中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夸父追日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大禹治水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愚公移山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精卫填海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等动人的传说所集中体现的中华民族精神是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DD05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、勤劳勇敢</w:t>
      </w:r>
    </w:p>
    <w:p w:rsidR="0030475A" w14:paraId="49192BC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、团结奋斗</w:t>
      </w:r>
    </w:p>
    <w:p w:rsidR="0030475A" w14:paraId="65B25F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、自强不息</w:t>
      </w:r>
    </w:p>
    <w:p w:rsidR="0030475A" w14:paraId="070B0B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、不折不挠</w:t>
      </w:r>
    </w:p>
    <w:p w:rsidR="0030475A" w14:paraId="4DD0F5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4584F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中华民族精神的基本内涵：在五千多年的发展中，中华民族形成了以爱国主义为核心，团结统一、爱好和平、勤劳勇敢、自强不息的伟大民族精神。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夸父追日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大禹治水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愚公移山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精卫填海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都体现的是自强不息的民族精神。故选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EDAB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AC7E0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60F2B8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5A9D5B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61CCE6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0CB9F0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449A2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F1895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统计局、信息中心、档案局这些机构都属于行政组织中的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82F33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、领导机构</w:t>
      </w:r>
    </w:p>
    <w:p w:rsidR="0030475A" w14:paraId="45E09E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、执行机构</w:t>
      </w:r>
    </w:p>
    <w:p w:rsidR="0030475A" w14:paraId="5533EB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、监督机构</w:t>
      </w:r>
    </w:p>
    <w:p w:rsidR="0030475A" w14:paraId="43D2DE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、信息机构</w:t>
      </w:r>
    </w:p>
    <w:p w:rsidR="0030475A" w14:paraId="0BB40E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5A1C9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统计局、信息中心、档案局属于信息机构。信息机构是负责信息收集、整理的辅助机关。故选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AC851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FA27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</w:p>
    <w:p w:rsidR="0030475A" w14:paraId="24D25E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、由代理人对第三人承担民事责任，被代理人不负责任</w:t>
      </w:r>
    </w:p>
    <w:p w:rsidR="0030475A" w14:paraId="357DC9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、由被代理人对第三人承担民事责任，代理人负连带责任</w:t>
      </w:r>
    </w:p>
    <w:p w:rsidR="0030475A" w14:paraId="3599B3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、先由代理人对第三人承担民事责任，代理人无法承担责任的，由被代理人承担责任</w:t>
      </w:r>
    </w:p>
    <w:p w:rsidR="0030475A" w14:paraId="648EF8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5BF31F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委托代理是指委托代理人按照被代理人的委托行使代理权。民事法律行为的委托代理，可以用书面形式，也可以用口头形式。书面委托代理的授权委托书应当载明代理人的姓名或者名称、代理事项、权限和期间，并由委托人签名或盖章。委托书授权不明的，被代理人应当向第三人承担民事责任，代理人负连带责任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https://d.book118.com/796020114101010042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paraId="586D39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2C" w14:paraId="3F9FC7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paraId="714CC70C" w14:textId="49505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062C" w14:paraId="0EC769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paraId="459700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textId="49505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06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6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:rsidP="00683DD2" w14:textId="49505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06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paraId="59FE6D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paraId="75801AB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paraId="5FAB0C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6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062C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0D342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A06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A062C"/>
    <w:rPr>
      <w:sz w:val="18"/>
      <w:szCs w:val="18"/>
    </w:rPr>
  </w:style>
  <w:style w:type="paragraph" w:styleId="Footer">
    <w:name w:val="footer"/>
    <w:basedOn w:val="Normal"/>
    <w:link w:val="a0"/>
    <w:rsid w:val="00CA062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A062C"/>
    <w:rPr>
      <w:sz w:val="18"/>
      <w:szCs w:val="18"/>
    </w:rPr>
  </w:style>
  <w:style w:type="character" w:styleId="PageNumber">
    <w:name w:val="page number"/>
    <w:basedOn w:val="DefaultParagraphFont"/>
    <w:rsid w:val="00CA0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96020114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3013</Words>
  <Characters>17177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