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53" w:lineRule="auto"/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6007608</wp:posOffset>
            </wp:positionH>
            <wp:positionV relativeFrom="page">
              <wp:posOffset>0</wp:posOffset>
            </wp:positionV>
            <wp:extent cx="6184391" cy="6857997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391" cy="6857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260" w:line="191" w:lineRule="auto"/>
        <w:ind w:left="45"/>
        <w:outlineLvl w:val="0"/>
        <w:rPr>
          <w:rFonts w:ascii="SimSun" w:eastAsia="SimSun" w:hAnsi="SimSun" w:cs="SimSun"/>
          <w:sz w:val="80"/>
          <w:szCs w:val="80"/>
        </w:rPr>
      </w:pPr>
      <w:r>
        <w:rPr>
          <w:rFonts w:ascii="Georgia" w:eastAsia="Georgia" w:hAnsi="Georgia" w:cs="Georgia"/>
          <w:spacing w:val="-4"/>
          <w:sz w:val="80"/>
          <w:szCs w:val="80"/>
        </w:rPr>
        <w:t>2024</w:t>
      </w:r>
      <w:r>
        <w:rPr>
          <w:rFonts w:ascii="SimSun" w:eastAsia="SimSun" w:hAnsi="SimSun" w:cs="SimSun"/>
          <w:spacing w:val="-4"/>
          <w:sz w:val="80"/>
          <w:szCs w:val="80"/>
        </w:rPr>
        <w:t>年全球并购趋势</w:t>
      </w:r>
    </w:p>
    <w:p>
      <w:pPr>
        <w:spacing w:before="2" w:line="218" w:lineRule="auto"/>
        <w:ind w:left="39"/>
        <w:rPr>
          <w:rFonts w:ascii="SimSun" w:eastAsia="SimSun" w:hAnsi="SimSun" w:cs="SimSun"/>
          <w:sz w:val="80"/>
          <w:szCs w:val="80"/>
        </w:rPr>
      </w:pPr>
      <w:r>
        <w:rPr>
          <w:rFonts w:ascii="SimSun" w:eastAsia="SimSun" w:hAnsi="SimSun" w:cs="SimSun"/>
          <w:spacing w:val="-53"/>
          <w:sz w:val="80"/>
          <w:szCs w:val="80"/>
        </w:rPr>
        <w:t>展望： 私募资本</w:t>
      </w:r>
    </w:p>
    <w:p>
      <w:pPr>
        <w:pStyle w:val="BodyText"/>
        <w:spacing w:line="276" w:lineRule="auto"/>
      </w:pPr>
    </w:p>
    <w:p>
      <w:pPr>
        <w:pStyle w:val="BodyText"/>
        <w:spacing w:line="277" w:lineRule="auto"/>
      </w:pPr>
    </w:p>
    <w:p>
      <w:pPr>
        <w:pStyle w:val="BodyText"/>
        <w:spacing w:line="277" w:lineRule="auto"/>
      </w:pPr>
    </w:p>
    <w:p>
      <w:pPr>
        <w:pStyle w:val="BodyText"/>
        <w:spacing w:before="104" w:line="221" w:lineRule="auto"/>
        <w:ind w:left="155"/>
        <w:rPr>
          <w:rFonts w:ascii="SimHei" w:eastAsia="SimHei" w:hAnsi="SimHei" w:cs="SimHei"/>
          <w:sz w:val="32"/>
          <w:szCs w:val="32"/>
        </w:rPr>
      </w:pPr>
      <w:r>
        <w:rPr>
          <w:spacing w:val="-1"/>
          <w:sz w:val="32"/>
          <w:szCs w:val="32"/>
        </w:rPr>
        <w:t>2024</w:t>
      </w:r>
      <w:r>
        <w:rPr>
          <w:rFonts w:ascii="SimHei" w:eastAsia="SimHei" w:hAnsi="SimHei" w:cs="SimHei"/>
          <w:spacing w:val="-1"/>
          <w:sz w:val="32"/>
          <w:szCs w:val="32"/>
        </w:rPr>
        <w:t>年</w:t>
      </w:r>
      <w:r>
        <w:rPr>
          <w:spacing w:val="-1"/>
          <w:sz w:val="32"/>
          <w:szCs w:val="32"/>
        </w:rPr>
        <w:t>2</w:t>
      </w:r>
      <w:r>
        <w:rPr>
          <w:rFonts w:ascii="SimHei" w:eastAsia="SimHei" w:hAnsi="SimHei" w:cs="SimHei"/>
          <w:spacing w:val="-1"/>
          <w:sz w:val="32"/>
          <w:szCs w:val="32"/>
        </w:rPr>
        <w:t>月</w:t>
      </w: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  <w:sectPr>
          <w:pgSz w:w="19200" w:h="10800"/>
          <w:pgMar w:top="0" w:right="0" w:bottom="0" w:left="695" w:header="0" w:footer="0" w:gutter="0"/>
          <w:cols w:space="708"/>
        </w:sectPr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line="1421" w:lineRule="exact"/>
      </w:pPr>
      <w:r>
        <w:rPr>
          <w:position w:val="-28"/>
        </w:rPr>
        <w:drawing>
          <wp:inline distT="0" distB="0" distL="0" distR="0">
            <wp:extent cx="2487167" cy="90220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7167" cy="90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21" w:lineRule="exact"/>
        <w:sectPr>
          <w:type w:val="nextPage"/>
          <w:pgSz w:w="19200" w:h="10800"/>
          <w:pgMar w:top="0" w:right="0" w:bottom="0" w:left="695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53" w:lineRule="auto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5782055</wp:posOffset>
            </wp:positionH>
            <wp:positionV relativeFrom="page">
              <wp:posOffset>0</wp:posOffset>
            </wp:positionV>
            <wp:extent cx="6409944" cy="68580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994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315" w:line="1337" w:lineRule="exact"/>
        <w:outlineLvl w:val="0"/>
        <w:rPr>
          <w:rFonts w:ascii="Georgia" w:eastAsia="Georgia" w:hAnsi="Georgia" w:cs="Georgia"/>
          <w:sz w:val="111"/>
          <w:szCs w:val="111"/>
        </w:rPr>
      </w:pPr>
      <w:r>
        <w:rPr>
          <w:rFonts w:ascii="Georgia" w:eastAsia="Georgia" w:hAnsi="Georgia" w:cs="Georgia"/>
          <w:spacing w:val="189"/>
          <w:w w:val="139"/>
          <w:position w:val="11"/>
          <w:sz w:val="111"/>
          <w:szCs w:val="111"/>
        </w:rPr>
        <w:t>01</w:t>
      </w:r>
    </w:p>
    <w:p>
      <w:pPr>
        <w:spacing w:before="490" w:line="220" w:lineRule="auto"/>
        <w:ind w:left="115"/>
        <w:rPr>
          <w:rFonts w:ascii="SimSun" w:eastAsia="SimSun" w:hAnsi="SimSun" w:cs="SimSun"/>
          <w:sz w:val="80"/>
          <w:szCs w:val="80"/>
        </w:rPr>
      </w:pPr>
      <w:r>
        <w:rPr>
          <w:rFonts w:ascii="SimSun" w:eastAsia="SimSun" w:hAnsi="SimSun" w:cs="SimSun"/>
          <w:spacing w:val="-7"/>
          <w:sz w:val="80"/>
          <w:szCs w:val="80"/>
        </w:rPr>
        <w:t>概览</w:t>
      </w:r>
    </w:p>
    <w:p>
      <w:pPr>
        <w:spacing w:before="74" w:line="495" w:lineRule="exact"/>
        <w:ind w:left="99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1"/>
          <w:position w:val="9"/>
          <w:sz w:val="36"/>
          <w:szCs w:val="36"/>
        </w:rPr>
        <w:t>私募资本迈入新时代，大量价值创造机会涌现</w:t>
      </w:r>
      <w:r>
        <w:rPr>
          <w:rFonts w:ascii="SimHei" w:eastAsia="SimHei" w:hAnsi="SimHei" w:cs="SimHei"/>
          <w:spacing w:val="-2"/>
          <w:position w:val="9"/>
          <w:sz w:val="36"/>
          <w:szCs w:val="36"/>
        </w:rPr>
        <w:t>，并</w:t>
      </w:r>
    </w:p>
    <w:p>
      <w:pPr>
        <w:spacing w:line="218" w:lineRule="auto"/>
        <w:ind w:left="94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1"/>
          <w:sz w:val="36"/>
          <w:szCs w:val="36"/>
        </w:rPr>
        <w:t>购交易有望进入蓬勃发展期</w:t>
      </w:r>
    </w:p>
    <w:p>
      <w:pPr>
        <w:spacing w:line="218" w:lineRule="auto"/>
        <w:rPr>
          <w:rFonts w:ascii="SimHei" w:eastAsia="SimHei" w:hAnsi="SimHei" w:cs="SimHei"/>
          <w:sz w:val="36"/>
          <w:szCs w:val="36"/>
        </w:rPr>
        <w:sectPr>
          <w:pgSz w:w="19200" w:h="10800"/>
          <w:pgMar w:top="0" w:right="0" w:bottom="0" w:left="798" w:header="0" w:footer="0" w:gutter="0"/>
          <w:pgNumType w:start="3"/>
          <w:cols w:space="708"/>
        </w:sectPr>
      </w:pPr>
    </w:p>
    <w:p>
      <w:pPr>
        <w:spacing w:line="2398" w:lineRule="exact"/>
      </w:pPr>
      <w:r>
        <w:rPr>
          <w:position w:val="-47"/>
        </w:rPr>
        <w:pict>
          <v:group id="_x0000_i1025" style="width:960pt;height:120pt;mso-position-horizontal-relative:char;mso-position-vertical-relative:line" coordorigin="0,0" coordsize="19200,2400" filled="f" stroked="f">
            <v:rect id="_x0000_s1026" style="width:19200;height:2185;position:absolute" filled="t" fillcolor="#e0301e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3201;height:2440;left:-15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446" w:lineRule="exact"/>
                      <w:ind w:right="20"/>
                      <w:jc w:val="right"/>
                    </w:pPr>
                    <w:r>
                      <w:rPr>
                        <w:position w:val="-9"/>
                      </w:rPr>
                      <w:drawing>
                        <wp:inline distT="0" distB="0" distL="0" distR="0">
                          <wp:extent cx="143256" cy="283464"/>
                          <wp:effectExtent l="0" t="0" r="0" b="0"/>
                          <wp:docPr id="8" name="IM 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 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256" cy="2834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197" w:line="217" w:lineRule="auto"/>
                      <w:ind w:left="236"/>
                      <w:outlineLvl w:val="0"/>
                      <w:rPr>
                        <w:rFonts w:ascii="SimSun" w:eastAsia="SimSun" w:hAnsi="SimSun" w:cs="SimSun"/>
                        <w:sz w:val="63"/>
                        <w:szCs w:val="63"/>
                      </w:rPr>
                    </w:pPr>
                    <w:r>
                      <w:rPr>
                        <w:rFonts w:ascii="Georgia" w:eastAsia="Georgia" w:hAnsi="Georgia" w:cs="Georgia"/>
                        <w:color w:val="FFFFFF"/>
                        <w:position w:val="-33"/>
                        <w:sz w:val="63"/>
                        <w:szCs w:val="63"/>
                      </w:rPr>
                      <w:drawing>
                        <wp:inline distT="0" distB="0" distL="0" distR="0">
                          <wp:extent cx="137160" cy="137160"/>
                          <wp:effectExtent l="0" t="0" r="0" b="0"/>
                          <wp:docPr id="10" name="IM 1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 1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160" cy="1371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Georgia" w:eastAsia="Georgia" w:hAnsi="Georgia" w:cs="Georgia"/>
                        <w:color w:val="FFFFFF"/>
                        <w:spacing w:val="148"/>
                        <w:sz w:val="63"/>
                        <w:szCs w:val="63"/>
                      </w:rPr>
                      <w:t xml:space="preserve"> </w:t>
                    </w:r>
                    <w:r>
                      <w:rPr>
                        <w:rFonts w:ascii="Georgia" w:eastAsia="Georgia" w:hAnsi="Georgia" w:cs="Georgia"/>
                        <w:color w:val="FFFFFF"/>
                        <w:spacing w:val="6"/>
                        <w:sz w:val="63"/>
                        <w:szCs w:val="63"/>
                      </w:rPr>
                      <w:t>2024</w:t>
                    </w:r>
                    <w:r>
                      <w:rPr>
                        <w:rFonts w:ascii="SimSun" w:eastAsia="SimSun" w:hAnsi="SimSun" w:cs="SimSun"/>
                        <w:color w:val="FFFFFF"/>
                        <w:spacing w:val="6"/>
                        <w:sz w:val="63"/>
                        <w:szCs w:val="63"/>
                      </w:rPr>
                      <w:t>全球并购趋势展望 - 私募资本</w:t>
                    </w:r>
                  </w:p>
                  <w:p>
                    <w:pPr>
                      <w:spacing w:before="4" w:line="648" w:lineRule="exact"/>
                      <w:ind w:left="236"/>
                    </w:pPr>
                    <w:r>
                      <w:rPr>
                        <w:position w:val="-13"/>
                      </w:rPr>
                      <w:drawing>
                        <wp:inline distT="0" distB="0" distL="0" distR="0">
                          <wp:extent cx="548640" cy="411480"/>
                          <wp:effectExtent l="0" t="0" r="0" b="0"/>
                          <wp:docPr id="12" name="IM 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IM 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8640" cy="411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215" w:lineRule="exact"/>
                      <w:ind w:left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137161" cy="137159"/>
                          <wp:effectExtent l="0" t="0" r="0" b="0"/>
                          <wp:docPr id="14" name="IM 1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 1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161" cy="1371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style="width:1080;height:1085;left:17884;position:absolute;top:254" coordorigin="0,0" coordsize="1080,1085" path="m122,215l,338l,355l139,215l122,215xem,252l,268l52,215l36,215l,252xem215,215l210,215l,423l,432l6,432l215,225l215,215xem79,215l,295l,312l95,215l79,215xem182,215l165,215l,381l,398l182,215xem89,432l215,309l215,292l71,432l89,432xem9,215l,215l,225l9,215xem215,391l215,379l158,432l171,432l215,391xem215,336l115,432l132,432l215,352l215,336xem215,249l28,432l45,432l215,266l215,249xem770,868l647,991l647,1008l787,868l770,868xem647,905l647,921l700,868l684,868l647,905xem864,868l857,868l647,1076l647,1084l654,1084l864,877l864,868xem727,868l647,948l647,964l744,868l727,868xem830,868l813,868l647,1034l647,1051l830,868xem849,1084l864,1084l864,1070l849,1084xem741,1084l864,962l864,945l724,1084l741,1084xem657,868l647,868l647,878l657,868xem864,1044l864,1032l811,1084l823,1084l864,1044xem864,988l767,1084l784,1084l864,1005l864,988xem864,902l681,1084l698,1084l864,919l864,902xem864,215l864,l1080,l1080,215l864,215l864,215xem211,432l211,215l864,215l864,432l211,432l211,432xem864,868l647,868l647,215l864,215l864,868l864,868xe" filled="t" fillcolor="white" stroked="f"/>
            <v:group id="_x0000_s1029" style="width:447;height:226;left:18753;position:absolute;top:1766" coordorigin="0,0" coordsize="447,226" filled="f" stroked="f">
              <v:shape id="_x0000_s1030" style="width:226;height:226;left:220;position:absolute" coordorigin="0,0" coordsize="226,226" path="m98,l225,126l225,144l81,l98,xem225,39l225,57l167,l185,l225,39xem,l6,l225,216l225,225l219,225l,9l,xem141,l225,83l225,100l124,l141,xem33,l50,l225,170l225,187l33,xem130,225l,98l,81l148,225l130,225xem215,l225,l225,14l215,xem,180l,167l57,225l44,225l,180xem,124l105,225l87,225l,142l,124xem,38l191,225l174,225l,55l,38xe" filled="t" fillcolor="#464646" stroked="f"/>
              <v:shape id="_x0000_s1031" style="width:226;height:226;position:absolute" coordorigin="0,0" coordsize="226,226" path="m225,225l225,l,l,225l225,225l225,225xe" filled="t" fillcolor="#eb8c00" stroked="f"/>
            </v:group>
            <w10:wrap type="none"/>
          </v:group>
        </w:pict>
      </w:r>
    </w:p>
    <w:p>
      <w:pPr>
        <w:spacing w:before="199"/>
      </w:pPr>
    </w:p>
    <w:tbl>
      <w:tblPr>
        <w:tblStyle w:val="TableNormal0"/>
        <w:tblW w:w="17808" w:type="dxa"/>
        <w:tblInd w:w="698" w:type="dxa"/>
        <w:tblBorders>
          <w:top w:val="single" w:sz="6" w:space="0" w:color="F2F2F2"/>
          <w:left w:val="single" w:sz="6" w:space="0" w:color="F2F2F2"/>
          <w:bottom w:val="single" w:sz="6" w:space="0" w:color="F2F2F2"/>
          <w:right w:val="single" w:sz="6" w:space="0" w:color="F2F2F2"/>
        </w:tblBorders>
        <w:shd w:val="clear" w:color="auto" w:fill="F2F2F2"/>
        <w:tblLayout w:type="fixed"/>
      </w:tblPr>
      <w:tblGrid>
        <w:gridCol w:w="17808"/>
      </w:tblGrid>
      <w:tr>
        <w:tblPrEx>
          <w:tblW w:w="17808" w:type="dxa"/>
          <w:tblInd w:w="698" w:type="dxa"/>
          <w:tblBorders>
            <w:top w:val="single" w:sz="6" w:space="0" w:color="F2F2F2"/>
            <w:left w:val="single" w:sz="6" w:space="0" w:color="F2F2F2"/>
            <w:bottom w:val="single" w:sz="6" w:space="0" w:color="F2F2F2"/>
            <w:right w:val="single" w:sz="6" w:space="0" w:color="F2F2F2"/>
          </w:tblBorders>
          <w:shd w:val="clear" w:color="auto" w:fill="F2F2F2"/>
          <w:tblLayout w:type="fixed"/>
        </w:tblPrEx>
        <w:trPr>
          <w:trHeight w:val="4477"/>
        </w:trPr>
        <w:tc>
          <w:tcPr>
            <w:tcW w:w="17808" w:type="dxa"/>
            <w:shd w:val="clear" w:color="auto" w:fill="F2F2F2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88" w:line="241" w:lineRule="auto"/>
              <w:ind w:left="578" w:right="531" w:firstLine="3"/>
            </w:pPr>
            <w:r>
              <w:rPr>
                <w:spacing w:val="6"/>
              </w:rPr>
              <w:t>随着投资环境趋于稳定，投资者对</w:t>
            </w:r>
            <w:r>
              <w:rPr>
                <w:rFonts w:ascii="Arial" w:eastAsia="Arial" w:hAnsi="Arial" w:cs="Arial"/>
                <w:spacing w:val="6"/>
              </w:rPr>
              <w:t>2024</w:t>
            </w:r>
            <w:r>
              <w:rPr>
                <w:spacing w:val="6"/>
              </w:rPr>
              <w:t>年并购交易的稳步回升变得更加乐观，</w:t>
            </w:r>
            <w:r>
              <w:rPr>
                <w:spacing w:val="113"/>
              </w:rPr>
              <w:t xml:space="preserve"> </w:t>
            </w:r>
            <w:r>
              <w:rPr>
                <w:spacing w:val="6"/>
              </w:rPr>
              <w:t>我们预计</w:t>
            </w:r>
            <w:r>
              <w:rPr>
                <w:rFonts w:ascii="Arial" w:eastAsia="Arial" w:hAnsi="Arial" w:cs="Arial"/>
                <w:spacing w:val="6"/>
              </w:rPr>
              <w:t>2024</w:t>
            </w:r>
            <w:r>
              <w:rPr>
                <w:spacing w:val="6"/>
              </w:rPr>
              <w:t>年全球私募市场的前景整体偏积极。受宏观</w:t>
            </w:r>
            <w:r>
              <w:t xml:space="preserve"> </w:t>
            </w:r>
            <w:r>
              <w:rPr>
                <w:spacing w:val="4"/>
              </w:rPr>
              <w:t>经济、地缘政治和其他因素的共同影响，近几年的交易活动并不稳定。</w:t>
            </w:r>
            <w:r>
              <w:rPr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4"/>
              </w:rPr>
              <w:t>2021</w:t>
            </w:r>
            <w:r>
              <w:rPr>
                <w:spacing w:val="4"/>
              </w:rPr>
              <w:t>年，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并购交易量和交易额双双创下新高，随后在</w:t>
            </w:r>
            <w:r>
              <w:rPr>
                <w:rFonts w:ascii="Arial" w:eastAsia="Arial" w:hAnsi="Arial" w:cs="Arial"/>
                <w:spacing w:val="4"/>
              </w:rPr>
              <w:t>2022</w:t>
            </w:r>
            <w:r>
              <w:rPr>
                <w:spacing w:val="4"/>
              </w:rPr>
              <w:t>年和</w:t>
            </w:r>
          </w:p>
          <w:p>
            <w:pPr>
              <w:pStyle w:val="TableText"/>
              <w:spacing w:before="69" w:line="248" w:lineRule="auto"/>
              <w:ind w:left="575" w:right="382" w:hanging="3"/>
            </w:pPr>
            <w:r>
              <w:rPr>
                <w:rFonts w:ascii="Arial" w:eastAsia="Arial" w:hAnsi="Arial" w:cs="Arial"/>
                <w:spacing w:val="1"/>
              </w:rPr>
              <w:t>2023</w:t>
            </w:r>
            <w:r>
              <w:rPr>
                <w:spacing w:val="1"/>
              </w:rPr>
              <w:t>年间又急剧下降至十年来的最低水平。</w:t>
            </w:r>
            <w:r>
              <w:rPr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2023</w:t>
            </w:r>
            <w:r>
              <w:rPr>
                <w:spacing w:val="1"/>
              </w:rPr>
              <w:t>年，通货膨胀导致企业经营利润下滑，</w:t>
            </w:r>
            <w:r>
              <w:rPr>
                <w:spacing w:val="55"/>
              </w:rPr>
              <w:t xml:space="preserve"> </w:t>
            </w:r>
            <w:r>
              <w:rPr>
                <w:spacing w:val="1"/>
              </w:rPr>
              <w:t>同时，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利率上升，令投资人很难获取满意的回报，</w:t>
            </w:r>
            <w:r>
              <w:t xml:space="preserve"> </w:t>
            </w:r>
            <w:r>
              <w:rPr>
                <w:spacing w:val="4"/>
              </w:rPr>
              <w:t>私募股权（</w:t>
            </w:r>
            <w:r>
              <w:rPr>
                <w:rFonts w:ascii="Arial" w:eastAsia="Arial" w:hAnsi="Arial" w:cs="Arial"/>
              </w:rPr>
              <w:t>PE</w:t>
            </w:r>
            <w:r>
              <w:rPr>
                <w:spacing w:val="4"/>
              </w:rPr>
              <w:t>）投资也随之急剧放缓。此外，</w:t>
            </w:r>
            <w:r>
              <w:rPr>
                <w:spacing w:val="81"/>
              </w:rPr>
              <w:t xml:space="preserve"> </w:t>
            </w:r>
            <w:r>
              <w:rPr>
                <w:spacing w:val="4"/>
              </w:rPr>
              <w:t>未来资本成本的不确定性也令交易定价变得</w:t>
            </w:r>
            <w:r>
              <w:rPr>
                <w:spacing w:val="3"/>
              </w:rPr>
              <w:t>困难。</w:t>
            </w:r>
            <w:r>
              <w:rPr>
                <w:rFonts w:ascii="Arial" w:eastAsia="Arial" w:hAnsi="Arial" w:cs="Arial"/>
              </w:rPr>
              <w:t>PE</w:t>
            </w:r>
            <w:r>
              <w:rPr>
                <w:spacing w:val="3"/>
              </w:rPr>
              <w:t>投资人发现，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由于传统贷款机构自身</w:t>
            </w:r>
            <w:r>
              <w:t xml:space="preserve">  </w:t>
            </w:r>
            <w:r>
              <w:rPr>
                <w:spacing w:val="8"/>
              </w:rPr>
              <w:t>正在应对一系列的挑战，新的杠杆收购融资面临着更</w:t>
            </w:r>
            <w:r>
              <w:rPr>
                <w:spacing w:val="7"/>
              </w:rPr>
              <w:t>多挑战。</w:t>
            </w:r>
          </w:p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87" w:line="253" w:lineRule="auto"/>
              <w:ind w:left="575" w:right="550" w:hanging="3"/>
              <w:jc w:val="both"/>
            </w:pPr>
            <w:r>
              <w:rPr>
                <w:rFonts w:ascii="Arial" w:eastAsia="Arial" w:hAnsi="Arial" w:cs="Arial"/>
                <w:spacing w:val="7"/>
              </w:rPr>
              <w:t>2024</w:t>
            </w:r>
            <w:r>
              <w:rPr>
                <w:spacing w:val="7"/>
              </w:rPr>
              <w:t>年初，伴随着通胀趋缓、利率预期下调以及股市近期的上扬，</w:t>
            </w:r>
            <w:r>
              <w:rPr>
                <w:spacing w:val="7"/>
              </w:rPr>
              <w:t xml:space="preserve"> </w:t>
            </w:r>
            <w:r>
              <w:rPr>
                <w:spacing w:val="7"/>
              </w:rPr>
              <w:t>我们相信，并购活动复苏</w:t>
            </w:r>
            <w:r>
              <w:rPr>
                <w:spacing w:val="6"/>
              </w:rPr>
              <w:t>的钟声已经敲响。这对于手持创纪录可投资</w:t>
            </w:r>
            <w:r>
              <w:t xml:space="preserve">  </w:t>
            </w:r>
            <w:r>
              <w:rPr>
                <w:spacing w:val="10"/>
              </w:rPr>
              <w:t>金的私募资本而言是个好消息，但同时，普通合伙人（</w:t>
            </w:r>
            <w:r>
              <w:rPr>
                <w:rFonts w:ascii="Arial" w:eastAsia="Arial" w:hAnsi="Arial" w:cs="Arial"/>
              </w:rPr>
              <w:t>GP</w:t>
            </w:r>
            <w:r>
              <w:rPr>
                <w:spacing w:val="10"/>
              </w:rPr>
              <w:t>）在投资和分配方面也面临着来自于有</w:t>
            </w:r>
            <w:r>
              <w:rPr>
                <w:spacing w:val="9"/>
              </w:rPr>
              <w:t>限合伙人（</w:t>
            </w:r>
            <w:r>
              <w:rPr>
                <w:rFonts w:ascii="Arial" w:eastAsia="Arial" w:hAnsi="Arial" w:cs="Arial"/>
              </w:rPr>
              <w:t>LP</w:t>
            </w:r>
            <w:r>
              <w:rPr>
                <w:spacing w:val="9"/>
              </w:rPr>
              <w:t>）越来越大的压力。私募</w:t>
            </w:r>
            <w:r>
              <w:t xml:space="preserve"> </w:t>
            </w:r>
            <w:r>
              <w:rPr>
                <w:spacing w:val="9"/>
              </w:rPr>
              <w:t>资本的资产管理规模（</w:t>
            </w:r>
            <w:r>
              <w:rPr>
                <w:rFonts w:ascii="Arial" w:eastAsia="Arial" w:hAnsi="Arial" w:cs="Arial"/>
              </w:rPr>
              <w:t>AUM</w:t>
            </w:r>
            <w:r>
              <w:rPr>
                <w:spacing w:val="9"/>
              </w:rPr>
              <w:t>）已达到</w:t>
            </w:r>
            <w:r>
              <w:rPr>
                <w:rFonts w:ascii="Arial" w:eastAsia="Arial" w:hAnsi="Arial" w:cs="Arial"/>
                <w:spacing w:val="9"/>
              </w:rPr>
              <w:t>12</w:t>
            </w:r>
            <w:r>
              <w:rPr>
                <w:spacing w:val="9"/>
              </w:rPr>
              <w:t>万亿美元，较</w:t>
            </w:r>
            <w:r>
              <w:rPr>
                <w:rFonts w:ascii="Arial" w:eastAsia="Arial" w:hAnsi="Arial" w:cs="Arial"/>
                <w:spacing w:val="9"/>
              </w:rPr>
              <w:t>2019</w:t>
            </w:r>
            <w:r>
              <w:rPr>
                <w:spacing w:val="9"/>
              </w:rPr>
              <w:t>年几乎翻番。这说明了私募资本的未兑现盈利已大量累积，也表明了许多投资</w:t>
            </w:r>
            <w:r>
              <w:rPr>
                <w:spacing w:val="10"/>
              </w:rPr>
              <w:t xml:space="preserve"> </w:t>
            </w:r>
            <w:r>
              <w:rPr>
                <w:spacing w:val="8"/>
              </w:rPr>
              <w:t>亟需退出变现。我们预计，未来</w:t>
            </w:r>
            <w:r>
              <w:rPr>
                <w:rFonts w:ascii="Arial" w:eastAsia="Arial" w:hAnsi="Arial" w:cs="Arial"/>
                <w:spacing w:val="8"/>
              </w:rPr>
              <w:t>12</w:t>
            </w:r>
            <w:r>
              <w:rPr>
                <w:spacing w:val="8"/>
              </w:rPr>
              <w:t>个月内市场上将出现不少待售资产。</w:t>
            </w:r>
          </w:p>
        </w:tc>
      </w:tr>
    </w:tbl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  <w:sectPr>
          <w:headerReference w:type="default" r:id="rId11"/>
          <w:pgSz w:w="19200" w:h="10800"/>
          <w:pgMar w:top="1" w:right="0" w:bottom="0" w:left="0" w:header="0" w:footer="0" w:gutter="0"/>
          <w:pgNumType w:start="4"/>
          <w:cols w:space="708"/>
        </w:sectPr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before="49" w:line="225" w:lineRule="auto"/>
        <w:ind w:left="705"/>
        <w:rPr>
          <w:sz w:val="15"/>
          <w:szCs w:val="15"/>
        </w:rPr>
      </w:pPr>
      <w:r>
        <w:rPr>
          <w:rFonts w:ascii="SimHei" w:eastAsia="SimHei" w:hAnsi="SimHei" w:cs="SimHei"/>
          <w:spacing w:val="3"/>
          <w:sz w:val="15"/>
          <w:szCs w:val="15"/>
        </w:rPr>
        <w:t>普华永道</w:t>
      </w:r>
      <w:r>
        <w:rPr>
          <w:rFonts w:ascii="SimHei" w:eastAsia="SimHei" w:hAnsi="SimHei" w:cs="SimHei"/>
          <w:spacing w:val="31"/>
          <w:sz w:val="15"/>
          <w:szCs w:val="15"/>
        </w:rPr>
        <w:t xml:space="preserve"> </w:t>
      </w:r>
      <w:r>
        <w:rPr>
          <w:rFonts w:ascii="SimHei" w:eastAsia="SimHei" w:hAnsi="SimHei" w:cs="SimHei"/>
          <w:spacing w:val="3"/>
          <w:sz w:val="15"/>
          <w:szCs w:val="15"/>
        </w:rPr>
        <w:t>|</w:t>
      </w:r>
      <w:r>
        <w:rPr>
          <w:rFonts w:ascii="SimHei" w:eastAsia="SimHei" w:hAnsi="SimHei" w:cs="SimHei"/>
          <w:spacing w:val="3"/>
          <w:sz w:val="15"/>
          <w:szCs w:val="15"/>
        </w:rPr>
        <w:t xml:space="preserve"> </w:t>
      </w:r>
      <w:r>
        <w:rPr>
          <w:spacing w:val="3"/>
          <w:sz w:val="15"/>
          <w:szCs w:val="15"/>
        </w:rPr>
        <w:t>2024</w:t>
      </w:r>
      <w:r>
        <w:rPr>
          <w:rFonts w:ascii="SimHei" w:eastAsia="SimHei" w:hAnsi="SimHei" w:cs="SimHei"/>
          <w:spacing w:val="3"/>
          <w:sz w:val="15"/>
          <w:szCs w:val="15"/>
        </w:rPr>
        <w:t>年全球并购趋势展望：</w:t>
      </w:r>
      <w:r>
        <w:rPr>
          <w:rFonts w:ascii="SimHei" w:eastAsia="SimHei" w:hAnsi="SimHei" w:cs="SimHei"/>
          <w:spacing w:val="45"/>
          <w:w w:val="101"/>
          <w:sz w:val="15"/>
          <w:szCs w:val="15"/>
        </w:rPr>
        <w:t xml:space="preserve"> </w:t>
      </w:r>
      <w:r>
        <w:rPr>
          <w:rFonts w:ascii="SimHei" w:eastAsia="SimHei" w:hAnsi="SimHei" w:cs="SimHei"/>
          <w:spacing w:val="3"/>
          <w:sz w:val="15"/>
          <w:szCs w:val="15"/>
        </w:rPr>
        <w:t>私募资本</w:t>
      </w:r>
      <w:r>
        <w:rPr>
          <w:rFonts w:ascii="SimHei" w:eastAsia="SimHei" w:hAnsi="SimHei" w:cs="SimHei"/>
          <w:spacing w:val="1"/>
          <w:sz w:val="15"/>
          <w:szCs w:val="15"/>
        </w:rPr>
        <w:t xml:space="preserve">                                                           </w:t>
      </w:r>
      <w:r>
        <w:rPr>
          <w:rFonts w:ascii="SimHei" w:eastAsia="SimHei" w:hAnsi="SimHei" w:cs="SimHei"/>
          <w:sz w:val="15"/>
          <w:szCs w:val="15"/>
        </w:rPr>
        <w:t xml:space="preserve">                                                                                                                                  </w:t>
      </w:r>
      <w:r>
        <w:rPr>
          <w:spacing w:val="3"/>
          <w:position w:val="-5"/>
          <w:sz w:val="15"/>
          <w:szCs w:val="15"/>
        </w:rPr>
        <w:t>3</w:t>
      </w:r>
    </w:p>
    <w:p>
      <w:pPr>
        <w:spacing w:line="225" w:lineRule="auto"/>
        <w:rPr>
          <w:sz w:val="15"/>
          <w:szCs w:val="15"/>
        </w:rPr>
        <w:sectPr>
          <w:headerReference w:type="default" r:id="rId12"/>
          <w:type w:val="nextPage"/>
          <w:pgSz w:w="19200" w:h="10800"/>
          <w:pgMar w:top="1" w:right="0" w:bottom="0" w:left="0" w:header="0" w:footer="0" w:gutter="0"/>
          <w:pgNumType w:start="5"/>
          <w:cols w:space="708"/>
          <w:titlePg w:val="0"/>
        </w:sectPr>
      </w:pPr>
    </w:p>
    <w:p>
      <w:pPr>
        <w:spacing w:line="2398" w:lineRule="exact"/>
      </w:pPr>
      <w:r>
        <w:pict>
          <v:shape id="_x0000_s1032" type="#_x0000_t202" style="width:464.05pt;height:195.25pt;margin-top:166.5pt;margin-left:461.94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1"/>
                    <w:tblW w:w="9225" w:type="dxa"/>
                    <w:tblInd w:w="27" w:type="dxa"/>
                    <w:tblBorders>
                      <w:top w:val="single" w:sz="6" w:space="0" w:color="F2F2F2"/>
                      <w:left w:val="single" w:sz="6" w:space="0" w:color="F2F2F2"/>
                      <w:bottom w:val="single" w:sz="6" w:space="0" w:color="F2F2F2"/>
                      <w:right w:val="single" w:sz="6" w:space="0" w:color="F2F2F2"/>
                    </w:tblBorders>
                    <w:shd w:val="clear" w:color="auto" w:fill="F2F2F2"/>
                    <w:tblLayout w:type="fixed"/>
                  </w:tblPr>
                  <w:tblGrid>
                    <w:gridCol w:w="9225"/>
                  </w:tblGrid>
                  <w:tr>
                    <w:tblPrEx>
                      <w:tblW w:w="9225" w:type="dxa"/>
                      <w:tblInd w:w="27" w:type="dxa"/>
                      <w:tblBorders>
                        <w:top w:val="single" w:sz="6" w:space="0" w:color="F2F2F2"/>
                        <w:left w:val="single" w:sz="6" w:space="0" w:color="F2F2F2"/>
                        <w:bottom w:val="single" w:sz="6" w:space="0" w:color="F2F2F2"/>
                        <w:right w:val="single" w:sz="6" w:space="0" w:color="F2F2F2"/>
                      </w:tblBorders>
                      <w:shd w:val="clear" w:color="auto" w:fill="F2F2F2"/>
                      <w:tblLayout w:type="fixed"/>
                    </w:tblPrEx>
                    <w:trPr>
                      <w:trHeight w:val="3834"/>
                    </w:trPr>
                    <w:tc>
                      <w:tcPr>
                        <w:tcW w:w="9225" w:type="dxa"/>
                        <w:shd w:val="clear" w:color="auto" w:fill="F2F2F2"/>
                        <w:vAlign w:val="top"/>
                      </w:tcPr>
                      <w:p>
                        <w:pPr>
                          <w:spacing w:line="30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308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TableText"/>
                          <w:spacing w:before="87" w:line="255" w:lineRule="auto"/>
                          <w:ind w:left="385" w:right="315" w:firstLine="2"/>
                        </w:pPr>
                        <w:r>
                          <w:rPr>
                            <w:spacing w:val="9"/>
                          </w:rPr>
                          <w:t>过去十年间，私募资本的发展异常迅猛。在相对较短的时间</w:t>
                        </w:r>
                        <w:r>
                          <w:rPr>
                            <w:spacing w:val="8"/>
                          </w:rPr>
                          <w:t>内，它已</w:t>
                        </w:r>
                        <w:r>
                          <w:t xml:space="preserve">  </w:t>
                        </w:r>
                        <w:r>
                          <w:rPr>
                            <w:spacing w:val="9"/>
                          </w:rPr>
                          <w:t>成为并购交易增长的重要驱动力，连续几轮的募资为未来数年的交易</w:t>
                        </w:r>
                        <w:r>
                          <w:rPr>
                            <w:spacing w:val="8"/>
                          </w:rPr>
                          <w:t xml:space="preserve">  </w:t>
                        </w:r>
                        <w:r>
                          <w:rPr>
                            <w:spacing w:val="9"/>
                          </w:rPr>
                          <w:t>提供了充足的资金。过去十年中，全球私募</w:t>
                        </w:r>
                        <w:r>
                          <w:rPr>
                            <w:spacing w:val="8"/>
                          </w:rPr>
                          <w:t>可投资金以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</w:rPr>
                          <w:t>11%</w:t>
                        </w:r>
                        <w:r>
                          <w:rPr>
                            <w:spacing w:val="8"/>
                          </w:rPr>
                          <w:t>的年复合</w:t>
                        </w:r>
                        <w:r>
                          <w:t xml:space="preserve">  </w:t>
                        </w:r>
                        <w:r>
                          <w:rPr>
                            <w:spacing w:val="9"/>
                          </w:rPr>
                          <w:t>增长率（</w:t>
                        </w:r>
                        <w:r>
                          <w:rPr>
                            <w:rFonts w:ascii="Arial" w:eastAsia="Arial" w:hAnsi="Arial" w:cs="Arial"/>
                          </w:rPr>
                          <w:t>CAGR</w:t>
                        </w:r>
                        <w:r>
                          <w:rPr>
                            <w:spacing w:val="9"/>
                          </w:rPr>
                          <w:t>）持续增长，至</w:t>
                        </w:r>
                        <w:r>
                          <w:rPr>
                            <w:rFonts w:ascii="Arial" w:eastAsia="Arial" w:hAnsi="Arial" w:cs="Arial"/>
                            <w:spacing w:val="9"/>
                          </w:rPr>
                          <w:t>2023</w:t>
                        </w:r>
                        <w:r>
                          <w:rPr>
                            <w:spacing w:val="9"/>
                          </w:rPr>
                          <w:t>年，规模已达到创</w:t>
                        </w:r>
                        <w:r>
                          <w:rPr>
                            <w:spacing w:val="8"/>
                          </w:rPr>
                          <w:t>纪录的</w:t>
                        </w:r>
                        <w:r>
                          <w:rPr>
                            <w:rFonts w:ascii="Arial" w:eastAsia="Arial" w:hAnsi="Arial" w:cs="Arial"/>
                            <w:spacing w:val="8"/>
                          </w:rPr>
                          <w:t>3.9</w:t>
                        </w:r>
                        <w:r>
                          <w:rPr>
                            <w:spacing w:val="8"/>
                          </w:rPr>
                          <w:t>万亿</w:t>
                        </w:r>
                        <w:r>
                          <w:t xml:space="preserve"> </w:t>
                        </w:r>
                        <w:r>
                          <w:rPr>
                            <w:spacing w:val="4"/>
                          </w:rPr>
                          <w:t>美元，分布于不同的资产类别，如：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4"/>
                          </w:rPr>
                          <w:t>私募</w:t>
                        </w:r>
                        <w:r>
                          <w:rPr>
                            <w:spacing w:val="3"/>
                          </w:rPr>
                          <w:t>股权、风险投资、房地产、</w:t>
                        </w:r>
                      </w:p>
                      <w:p>
                        <w:pPr>
                          <w:pStyle w:val="TableText"/>
                          <w:spacing w:before="72" w:line="224" w:lineRule="auto"/>
                          <w:ind w:left="388"/>
                        </w:pPr>
                        <w:r>
                          <w:rPr>
                            <w:spacing w:val="8"/>
                          </w:rPr>
                          <w:t>基础设施、私募信贷和其他私募资产。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47"/>
        </w:rPr>
        <w:pict>
          <v:group id="_x0000_i1033" style="width:960pt;height:120pt;mso-position-horizontal-relative:char;mso-position-vertical-relative:line" coordorigin="0,0" coordsize="19200,2400" filled="f" stroked="f">
            <v:rect id="_x0000_s1034" style="width:19200;height:2185;position:absolute" filled="t" fillcolor="#e0301e" stroked="f"/>
            <v:shape id="_x0000_s1035" type="#_x0000_t202" style="width:13201;height:2440;left:-15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446" w:lineRule="exact"/>
                      <w:ind w:right="20"/>
                      <w:jc w:val="right"/>
                    </w:pPr>
                    <w:r>
                      <w:rPr>
                        <w:position w:val="-9"/>
                      </w:rPr>
                      <w:drawing>
                        <wp:inline distT="0" distB="0" distL="0" distR="0">
                          <wp:extent cx="143256" cy="283464"/>
                          <wp:effectExtent l="0" t="0" r="0" b="0"/>
                          <wp:docPr id="16" name="IM 1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IM 1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256" cy="2834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197" w:line="217" w:lineRule="auto"/>
                      <w:ind w:left="236"/>
                      <w:outlineLvl w:val="0"/>
                      <w:rPr>
                        <w:rFonts w:ascii="SimSun" w:eastAsia="SimSun" w:hAnsi="SimSun" w:cs="SimSun"/>
                        <w:sz w:val="63"/>
                        <w:szCs w:val="63"/>
                      </w:rPr>
                    </w:pPr>
                    <w:r>
                      <w:rPr>
                        <w:rFonts w:ascii="SimSun" w:eastAsia="SimSun" w:hAnsi="SimSun" w:cs="SimSun"/>
                        <w:color w:val="FFFFFF"/>
                        <w:position w:val="-33"/>
                        <w:sz w:val="63"/>
                        <w:szCs w:val="63"/>
                      </w:rPr>
                      <w:drawing>
                        <wp:inline distT="0" distB="0" distL="0" distR="0">
                          <wp:extent cx="137160" cy="137160"/>
                          <wp:effectExtent l="0" t="0" r="0" b="0"/>
                          <wp:docPr id="18" name="IM 1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M 1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160" cy="1371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SimSun" w:eastAsia="SimSun" w:hAnsi="SimSun" w:cs="SimSun"/>
                        <w:color w:val="FFFFFF"/>
                        <w:spacing w:val="-24"/>
                        <w:sz w:val="63"/>
                        <w:szCs w:val="63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FFFF"/>
                        <w:spacing w:val="4"/>
                        <w:sz w:val="63"/>
                        <w:szCs w:val="63"/>
                      </w:rPr>
                      <w:t>私募资本的腾飞</w:t>
                    </w:r>
                  </w:p>
                  <w:p>
                    <w:pPr>
                      <w:spacing w:before="4" w:line="648" w:lineRule="exact"/>
                      <w:ind w:left="236"/>
                    </w:pPr>
                    <w:r>
                      <w:rPr>
                        <w:position w:val="-13"/>
                      </w:rPr>
                      <w:drawing>
                        <wp:inline distT="0" distB="0" distL="0" distR="0">
                          <wp:extent cx="548640" cy="411480"/>
                          <wp:effectExtent l="0" t="0" r="0" b="0"/>
                          <wp:docPr id="20" name="IM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IM 2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8640" cy="4114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line="215" w:lineRule="exact"/>
                      <w:ind w:left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137161" cy="137159"/>
                          <wp:effectExtent l="0" t="0" r="0" b="0"/>
                          <wp:docPr id="22" name="IM 2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IM 2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161" cy="1371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36" style="width:1080;height:1085;left:17884;position:absolute;top:254" coordorigin="0,0" coordsize="1080,1085" path="m122,215l,338l,355l139,215l122,215xem,252l,268l52,215l36,215l,252xem215,215l210,215l,423l,432l6,432l215,225l215,215xem79,215l,295l,312l95,215l79,215xem182,215l165,215l,381l,398l182,215xem89,432l215,309l215,292l71,432l89,432xem9,215l,215l,225l9,215xem215,391l215,379l158,432l171,432l215,391xem215,336l115,432l132,432l215,352l215,336xem215,249l28,432l45,432l215,266l215,249xem770,868l647,991l647,1008l787,868l770,868xem647,905l647,921l700,868l684,868l647,905xem864,868l857,868l647,1076l647,1084l654,1084l864,877l864,868xem727,868l647,948l647,964l744,868l727,868xem830,868l813,868l647,1034l647,1051l830,868xem849,1084l864,1084l864,1070l849,1084xem741,1084l864,962l864,945l724,1084l741,1084xem657,868l647,868l647,878l657,868xem864,1044l864,1032l811,1084l823,1084l864,1044xem864,988l767,1084l784,1084l864,1005l864,988xem864,902l681,1084l698,1084l864,919l864,902xem864,215l864,l1080,l1080,215l864,215l864,215xem211,432l211,215l864,215l864,432l211,432l211,432xem864,868l647,868l647,215l864,215l864,868l864,868xe" filled="t" fillcolor="white" stroked="f"/>
            <v:group id="_x0000_s1037" style="width:447;height:226;left:18753;position:absolute;top:1766" coordorigin="0,0" coordsize="447,226" filled="f" stroked="f">
              <v:shape id="_x0000_s1038" style="width:226;height:226;left:220;position:absolute" coordorigin="0,0" coordsize="226,226" path="m98,l225,126l225,144l81,l98,xem225,39l225,57l167,l185,l225,39xem,l6,l225,216l225,225l219,225l,9l,xem141,l225,83l225,100l124,l141,xem33,l50,l225,170l225,187l33,xem130,225l,98l,81l148,225l130,225xem215,l225,l225,14l215,xem,180l,167l57,225l44,225l,180xem,124l105,225l87,225l,142l,124xem,38l191,225l174,225l,55l,38xe" filled="t" fillcolor="#464646" stroked="f"/>
              <v:shape id="_x0000_s1039" style="width:226;height:226;position:absolute" coordorigin="0,0" coordsize="226,226" path="m225,225l225,l,l,225l225,225l225,225xe" filled="t" fillcolor="#eb8c00" stroked="f"/>
            </v:group>
            <w10:wrap type="none"/>
          </v:group>
        </w:pict>
      </w:r>
    </w:p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4" w:lineRule="auto"/>
      </w:pPr>
    </w:p>
    <w:p>
      <w:pPr>
        <w:pStyle w:val="BodyText"/>
        <w:spacing w:line="3979" w:lineRule="exact"/>
        <w:ind w:firstLine="675"/>
      </w:pPr>
      <w:r>
        <w:rPr>
          <w:position w:val="-79"/>
        </w:rPr>
        <w:pict>
          <v:group id="_x0000_i1040" style="width:415.5pt;height:199pt;mso-position-horizontal-relative:char;mso-position-vertical-relative:line" coordorigin="0,0" coordsize="8310,398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width:8275;height:3980;left:34;position:absolute" filled="f" stroked="f">
              <v:imagedata r:id="rId13" o:title=""/>
            </v:shape>
            <v:shape id="_x0000_s1042" type="#_x0000_t202" style="width:8047;height:3808;left:-20;position:absolute;top:89" filled="f" stroked="f">
              <o:lock v:ext="edit" aspectratio="f"/>
              <v:textbox inset="0,0,0,0">
                <w:txbxContent>
                  <w:p>
                    <w:pPr>
                      <w:spacing w:line="20" w:lineRule="exact"/>
                    </w:pPr>
                  </w:p>
                  <w:tbl>
                    <w:tblPr>
                      <w:tblStyle w:val="TableNormal1"/>
                      <w:tblW w:w="7967" w:type="dxa"/>
                      <w:tblInd w:w="40" w:type="dxa"/>
                      <w:tblBorders>
                        <w:top w:val="single" w:sz="16" w:space="0" w:color="FFFFFF"/>
                        <w:left w:val="single" w:sz="16" w:space="0" w:color="FFFFFF"/>
                        <w:bottom w:val="single" w:sz="16" w:space="0" w:color="FFFFFF"/>
                        <w:right w:val="single" w:sz="16" w:space="0" w:color="FFFFFF"/>
                      </w:tblBorders>
                      <w:shd w:val="clear" w:color="auto" w:fill="FFFFFF"/>
                      <w:tblLayout w:type="fixed"/>
                    </w:tblPr>
                    <w:tblGrid>
                      <w:gridCol w:w="7967"/>
                    </w:tblGrid>
                    <w:tr>
                      <w:tblPrEx>
                        <w:tblW w:w="7967" w:type="dxa"/>
                        <w:tblInd w:w="40" w:type="dxa"/>
                        <w:tblBorders>
                          <w:top w:val="single" w:sz="16" w:space="0" w:color="FFFFFF"/>
                          <w:left w:val="single" w:sz="16" w:space="0" w:color="FFFFFF"/>
                          <w:bottom w:val="single" w:sz="16" w:space="0" w:color="FFFFFF"/>
                          <w:right w:val="single" w:sz="16" w:space="0" w:color="FFFFFF"/>
                        </w:tblBorders>
                        <w:shd w:val="clear" w:color="auto" w:fill="FFFFFF"/>
                        <w:tblLayout w:type="fixed"/>
                      </w:tblPrEx>
                      <w:trPr>
                        <w:trHeight w:val="555"/>
                      </w:trPr>
                      <w:tc>
                        <w:tcPr>
                          <w:tcW w:w="7967" w:type="dxa"/>
                          <w:shd w:val="clear" w:color="auto" w:fill="FFFFFF"/>
                          <w:vAlign w:val="top"/>
                        </w:tcPr>
                        <w:p>
                          <w:pPr>
                            <w:spacing w:before="146" w:line="216" w:lineRule="auto"/>
                            <w:ind w:left="720"/>
                            <w:rPr>
                              <w:rFonts w:ascii="SimHei" w:eastAsia="SimHei" w:hAnsi="SimHei" w:cs="SimHei"/>
                              <w:sz w:val="27"/>
                              <w:szCs w:val="2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7"/>
                              <w:sz w:val="27"/>
                              <w:szCs w:val="27"/>
                            </w:rPr>
                            <w:t>2014 - 2023</w:t>
                          </w:r>
                          <w:r>
                            <w:rPr>
                              <w:rFonts w:ascii="SimHei" w:eastAsia="SimHei" w:hAnsi="SimHei" w:cs="SimHei"/>
                              <w:spacing w:val="7"/>
                              <w:sz w:val="27"/>
                              <w:szCs w:val="27"/>
                            </w:rPr>
                            <w:t>年全球私募资本可</w:t>
                          </w:r>
                          <w:r>
                            <w:rPr>
                              <w:rFonts w:ascii="SimHei" w:eastAsia="SimHei" w:hAnsi="SimHei" w:cs="SimHei"/>
                              <w:spacing w:val="6"/>
                              <w:sz w:val="27"/>
                              <w:szCs w:val="27"/>
                            </w:rPr>
                            <w:t>投资金，按基金策略分</w:t>
                          </w:r>
                        </w:p>
                      </w:tc>
                    </w:tr>
                  </w:tbl>
                  <w:p>
                    <w:pPr>
                      <w:spacing w:before="212"/>
                    </w:pPr>
                  </w:p>
                  <w:tbl>
                    <w:tblPr>
                      <w:tblStyle w:val="TableNormal1"/>
                      <w:tblW w:w="403" w:type="dxa"/>
                      <w:tblInd w:w="88" w:type="dxa"/>
                      <w:tblBorders>
                        <w:top w:val="single" w:sz="16" w:space="0" w:color="FFFFFF"/>
                        <w:left w:val="single" w:sz="16" w:space="0" w:color="FFFFFF"/>
                        <w:bottom w:val="single" w:sz="16" w:space="0" w:color="FFFFFF"/>
                        <w:right w:val="single" w:sz="16" w:space="0" w:color="FFFFFF"/>
                      </w:tblBorders>
                      <w:shd w:val="clear" w:color="auto" w:fill="FFFFFF"/>
                      <w:tblLayout w:type="fixed"/>
                    </w:tblPr>
                    <w:tblGrid>
                      <w:gridCol w:w="403"/>
                    </w:tblGrid>
                    <w:tr>
                      <w:tblPrEx>
                        <w:tblW w:w="403" w:type="dxa"/>
                        <w:tblInd w:w="88" w:type="dxa"/>
                        <w:tblBorders>
                          <w:top w:val="single" w:sz="16" w:space="0" w:color="FFFFFF"/>
                          <w:left w:val="single" w:sz="16" w:space="0" w:color="FFFFFF"/>
                          <w:bottom w:val="single" w:sz="16" w:space="0" w:color="FFFFFF"/>
                          <w:right w:val="single" w:sz="16" w:space="0" w:color="FFFFFF"/>
                        </w:tblBorders>
                        <w:shd w:val="clear" w:color="auto" w:fill="FFFFFF"/>
                        <w:tblLayout w:type="fixed"/>
                      </w:tblPrEx>
                      <w:trPr>
                        <w:trHeight w:val="1904"/>
                      </w:trPr>
                      <w:tc>
                        <w:tcPr>
                          <w:tcW w:w="403" w:type="dxa"/>
                          <w:shd w:val="clear" w:color="auto" w:fill="FFFFFF"/>
                          <w:textDirection w:val="tbRlV"/>
                          <w:vAlign w:val="top"/>
                        </w:tcPr>
                        <w:p>
                          <w:pPr>
                            <w:spacing w:before="92" w:line="211" w:lineRule="auto"/>
                            <w:ind w:left="52"/>
                            <w:rPr>
                              <w:rFonts w:ascii="SimHei" w:eastAsia="SimHei" w:hAnsi="SimHei" w:cs="SimHe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imHei" w:eastAsia="SimHei" w:hAnsi="SimHei" w:cs="SimHei"/>
                              <w:sz w:val="18"/>
                              <w:szCs w:val="18"/>
                            </w:rPr>
                            <w:t>可投资金（10亿美元）</w:t>
                          </w:r>
                        </w:p>
                      </w:tc>
                    </w:tr>
                  </w:tbl>
                  <w:p>
                    <w:pPr>
                      <w:spacing w:line="34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tabs>
                        <w:tab w:val="left" w:pos="6895"/>
                      </w:tabs>
                      <w:spacing w:before="42" w:line="198" w:lineRule="auto"/>
                      <w:ind w:left="6725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z w:val="13"/>
                        <w:szCs w:val="13"/>
                        <w:shd w:val="clear" w:color="auto" w:fill="FFFFFE"/>
                      </w:rPr>
                      <w:tab/>
                    </w:r>
                    <w:r>
                      <w:rPr>
                        <w:rFonts w:ascii="SimHei" w:eastAsia="SimHei" w:hAnsi="SimHei" w:cs="SimHei"/>
                        <w:spacing w:val="6"/>
                        <w:sz w:val="13"/>
                        <w:szCs w:val="13"/>
                        <w:shd w:val="clear" w:color="auto" w:fill="FFFFFE"/>
                      </w:rPr>
                      <w:t>风险</w:t>
                    </w:r>
                    <w:r>
                      <w:rPr>
                        <w:rFonts w:ascii="SimHei" w:eastAsia="SimHei" w:hAnsi="SimHei" w:cs="SimHei"/>
                        <w:sz w:val="13"/>
                        <w:szCs w:val="13"/>
                        <w:shd w:val="clear" w:color="auto" w:fill="FFFFFE"/>
                      </w:rPr>
                      <w:t xml:space="preserve">    </w:t>
                    </w:r>
                  </w:p>
                  <w:p>
                    <w:pPr>
                      <w:spacing w:before="28" w:line="232" w:lineRule="auto"/>
                      <w:ind w:left="6895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7"/>
                        <w:sz w:val="13"/>
                        <w:szCs w:val="13"/>
                      </w:rPr>
                      <w:t>投资</w:t>
                    </w:r>
                  </w:p>
                </w:txbxContent>
              </v:textbox>
            </v:shape>
            <v:rect id="_x0000_s1043" style="width:1138;height:193;left:452;position:absolute;top:3603" filled="t" fillcolor="white" stroked="f"/>
            <v:rect id="_x0000_s1044" style="width:1260;height:131;left:5246;position:absolute;top:3647" filled="t" fillcolor="white" stroked="f"/>
            <v:rect id="_x0000_s1045" style="width:899;height:156;left:4220;position:absolute;top:3623" filled="t" fillcolor="white" stroked="f"/>
            <v:rect id="_x0000_s1046" style="width:879;height:156;left:1867;position:absolute;top:3637" filled="t" fillcolor="white" stroked="f"/>
            <v:rect id="_x0000_s1047" style="width:879;height:151;left:3077;position:absolute;top:3613" filled="t" fillcolor="white" stroked="f"/>
            <v:shape id="_x0000_s1048" type="#_x0000_t202" style="width:873;height:180;left:5445;position:absolute;top:3635" filled="f" stroked="f">
              <o:lock v:ext="edit" aspectratio="f"/>
              <v:textbox inset="0,0,0,0">
                <w:txbxContent>
                  <w:p>
                    <w:pPr>
                      <w:spacing w:before="20" w:line="231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3"/>
                        <w:szCs w:val="13"/>
                      </w:rPr>
                      <w:t>其他私募股权</w:t>
                    </w:r>
                  </w:p>
                </w:txbxContent>
              </v:textbox>
            </v:shape>
            <v:rect id="_x0000_s1049" style="width:668;height:151;left:7628;position:absolute;top:3627" filled="t" fillcolor="white" stroked="f"/>
            <v:shape id="_x0000_s1050" type="#_x0000_t202" style="width:595;height:180;left:3223;position:absolute;top:3611" filled="f" stroked="f">
              <o:lock v:ext="edit" aspectratio="f"/>
              <v:textbox inset="0,0,0,0">
                <w:txbxContent>
                  <w:p>
                    <w:pPr>
                      <w:spacing w:before="20" w:line="231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3"/>
                        <w:szCs w:val="13"/>
                      </w:rPr>
                      <w:t>基础设施</w:t>
                    </w:r>
                  </w:p>
                </w:txbxContent>
              </v:textbox>
            </v:shape>
            <v:shape id="_x0000_s1051" type="#_x0000_t202" style="width:595;height:180;left:2012;position:absolute;top:3637" filled="f" stroked="f">
              <o:lock v:ext="edit" aspectratio="f"/>
              <v:textbox inset="0,0,0,0">
                <w:txbxContent>
                  <w:p>
                    <w:pPr>
                      <w:spacing w:before="19" w:line="232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3"/>
                        <w:szCs w:val="13"/>
                      </w:rPr>
                      <w:t>私募信贷</w:t>
                    </w:r>
                  </w:p>
                </w:txbxContent>
              </v:textbox>
            </v:shape>
            <v:shape id="_x0000_s1052" type="#_x0000_t202" style="width:579;height:180;left:744;position:absolute;top:3624" filled="f" stroked="f">
              <o:lock v:ext="edit" aspectratio="f"/>
              <v:textbox inset="0,0,0,0">
                <w:txbxContent>
                  <w:p>
                    <w:pPr>
                      <w:spacing w:before="20" w:line="231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4"/>
                        <w:sz w:val="13"/>
                        <w:szCs w:val="13"/>
                      </w:rPr>
                      <w:t>自然资源</w:t>
                    </w:r>
                  </w:p>
                </w:txbxContent>
              </v:textbox>
            </v:shape>
            <v:shape id="_x0000_s1053" type="#_x0000_t202" style="width:457;height:180;left:4431;position:absolute;top:3624" filled="f" stroked="f">
              <o:lock v:ext="edit" aspectratio="f"/>
              <v:textbox inset="0,0,0,0">
                <w:txbxContent>
                  <w:p>
                    <w:pPr>
                      <w:spacing w:before="20" w:line="230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8"/>
                        <w:sz w:val="13"/>
                        <w:szCs w:val="13"/>
                      </w:rPr>
                      <w:t>房地产</w:t>
                    </w:r>
                  </w:p>
                </w:txbxContent>
              </v:textbox>
            </v:shape>
            <v:shape id="_x0000_s1054" type="#_x0000_t202" style="width:312;height:180;left:7762;position:absolute;top:3626" filled="f" stroked="f">
              <o:lock v:ext="edit" aspectratio="f"/>
              <v:textbox inset="0,0,0,0">
                <w:txbxContent>
                  <w:p>
                    <w:pPr>
                      <w:spacing w:before="19" w:line="233" w:lineRule="auto"/>
                      <w:ind w:left="20"/>
                      <w:rPr>
                        <w:rFonts w:ascii="SimHei" w:eastAsia="SimHei" w:hAnsi="SimHei" w:cs="SimHei"/>
                        <w:sz w:val="13"/>
                        <w:szCs w:val="13"/>
                      </w:rPr>
                    </w:pPr>
                    <w:r>
                      <w:rPr>
                        <w:rFonts w:ascii="SimHei" w:eastAsia="SimHei" w:hAnsi="SimHei" w:cs="SimHei"/>
                        <w:spacing w:val="5"/>
                        <w:sz w:val="13"/>
                        <w:szCs w:val="13"/>
                      </w:rPr>
                      <w:t>并购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32" w:line="219" w:lineRule="auto"/>
        <w:ind w:left="70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3"/>
          <w:sz w:val="22"/>
          <w:szCs w:val="22"/>
        </w:rPr>
        <w:t>备注：其他私募股权投资包括成长型基金、平衡型基金、</w:t>
      </w:r>
      <w:r>
        <w:rPr>
          <w:rFonts w:ascii="SimHei" w:eastAsia="SimHei" w:hAnsi="SimHei" w:cs="SimHei"/>
          <w:spacing w:val="-3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3"/>
          <w:sz w:val="22"/>
          <w:szCs w:val="22"/>
        </w:rPr>
        <w:t>母基金、</w:t>
      </w:r>
      <w:r>
        <w:rPr>
          <w:spacing w:val="-3"/>
          <w:sz w:val="22"/>
          <w:szCs w:val="22"/>
        </w:rPr>
        <w:t>S</w:t>
      </w:r>
      <w:r>
        <w:rPr>
          <w:rFonts w:ascii="SimHei" w:eastAsia="SimHei" w:hAnsi="SimHei" w:cs="SimHei"/>
          <w:spacing w:val="-3"/>
          <w:sz w:val="22"/>
          <w:szCs w:val="22"/>
        </w:rPr>
        <w:t>基金及其他。</w:t>
      </w:r>
    </w:p>
    <w:p>
      <w:pPr>
        <w:pStyle w:val="BodyText"/>
        <w:spacing w:before="181" w:line="215" w:lineRule="auto"/>
        <w:ind w:left="710"/>
        <w:rPr>
          <w:sz w:val="22"/>
          <w:szCs w:val="22"/>
        </w:rPr>
      </w:pPr>
      <w:r>
        <w:rPr>
          <w:rFonts w:ascii="SimHei" w:eastAsia="SimHei" w:hAnsi="SimHei" w:cs="SimHei"/>
          <w:spacing w:val="-16"/>
          <w:sz w:val="22"/>
          <w:szCs w:val="22"/>
        </w:rPr>
        <w:t>资料来源：</w:t>
      </w:r>
      <w:r>
        <w:rPr>
          <w:rFonts w:ascii="SimHei" w:eastAsia="SimHei" w:hAnsi="SimHei" w:cs="SimHei"/>
          <w:spacing w:val="26"/>
          <w:sz w:val="22"/>
          <w:szCs w:val="22"/>
        </w:rPr>
        <w:t xml:space="preserve">  </w:t>
      </w:r>
      <w:r>
        <w:rPr>
          <w:spacing w:val="-16"/>
          <w:sz w:val="22"/>
          <w:szCs w:val="22"/>
        </w:rPr>
        <w:t>Preqin</w:t>
      </w: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  <w:sectPr>
          <w:headerReference w:type="default" r:id="rId14"/>
          <w:pgSz w:w="19200" w:h="10800"/>
          <w:pgMar w:top="1" w:right="0" w:bottom="0" w:left="0" w:header="0" w:footer="0" w:gutter="0"/>
          <w:pgNumType w:start="6"/>
          <w:cols w:space="708"/>
        </w:sectPr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line="242" w:lineRule="auto"/>
      </w:pPr>
    </w:p>
    <w:p>
      <w:pPr>
        <w:pStyle w:val="BodyText"/>
        <w:spacing w:before="49" w:line="225" w:lineRule="auto"/>
        <w:ind w:left="705"/>
        <w:rPr>
          <w:sz w:val="15"/>
          <w:szCs w:val="15"/>
        </w:rPr>
      </w:pPr>
      <w:r>
        <w:rPr>
          <w:rFonts w:ascii="SimHei" w:eastAsia="SimHei" w:hAnsi="SimHei" w:cs="SimHei"/>
          <w:spacing w:val="3"/>
          <w:sz w:val="15"/>
          <w:szCs w:val="15"/>
        </w:rPr>
        <w:t>普华永道</w:t>
      </w:r>
      <w:r>
        <w:rPr>
          <w:rFonts w:ascii="SimHei" w:eastAsia="SimHei" w:hAnsi="SimHei" w:cs="SimHei"/>
          <w:spacing w:val="34"/>
          <w:sz w:val="15"/>
          <w:szCs w:val="15"/>
        </w:rPr>
        <w:t xml:space="preserve"> </w:t>
      </w:r>
      <w:r>
        <w:rPr>
          <w:rFonts w:ascii="SimHei" w:eastAsia="SimHei" w:hAnsi="SimHei" w:cs="SimHei"/>
          <w:spacing w:val="3"/>
          <w:sz w:val="15"/>
          <w:szCs w:val="15"/>
        </w:rPr>
        <w:t>|</w:t>
      </w:r>
      <w:r>
        <w:rPr>
          <w:rFonts w:ascii="SimHei" w:eastAsia="SimHei" w:hAnsi="SimHei" w:cs="SimHei"/>
          <w:spacing w:val="3"/>
          <w:sz w:val="15"/>
          <w:szCs w:val="15"/>
        </w:rPr>
        <w:t xml:space="preserve"> </w:t>
      </w:r>
      <w:r>
        <w:rPr>
          <w:spacing w:val="3"/>
          <w:sz w:val="15"/>
          <w:szCs w:val="15"/>
        </w:rPr>
        <w:t>2024</w:t>
      </w:r>
      <w:r>
        <w:rPr>
          <w:rFonts w:ascii="SimHei" w:eastAsia="SimHei" w:hAnsi="SimHei" w:cs="SimHei"/>
          <w:spacing w:val="3"/>
          <w:sz w:val="15"/>
          <w:szCs w:val="15"/>
        </w:rPr>
        <w:t>年全球并购趋势展望：</w:t>
      </w:r>
      <w:r>
        <w:rPr>
          <w:rFonts w:ascii="SimHei" w:eastAsia="SimHei" w:hAnsi="SimHei" w:cs="SimHei"/>
          <w:spacing w:val="45"/>
          <w:sz w:val="15"/>
          <w:szCs w:val="15"/>
        </w:rPr>
        <w:t xml:space="preserve"> </w:t>
      </w:r>
      <w:r>
        <w:rPr>
          <w:rFonts w:ascii="SimHei" w:eastAsia="SimHei" w:hAnsi="SimHei" w:cs="SimHei"/>
          <w:spacing w:val="3"/>
          <w:sz w:val="15"/>
          <w:szCs w:val="15"/>
        </w:rPr>
        <w:t>私募资本</w:t>
      </w:r>
      <w:r>
        <w:rPr>
          <w:rFonts w:ascii="SimHei" w:eastAsia="SimHei" w:hAnsi="SimHei" w:cs="SimHei"/>
          <w:spacing w:val="1"/>
          <w:sz w:val="15"/>
          <w:szCs w:val="15"/>
        </w:rPr>
        <w:t xml:space="preserve">                                                      </w:t>
      </w:r>
      <w:r>
        <w:rPr>
          <w:rFonts w:ascii="SimHei" w:eastAsia="SimHei" w:hAnsi="SimHei" w:cs="SimHei"/>
          <w:sz w:val="15"/>
          <w:szCs w:val="15"/>
        </w:rPr>
        <w:t xml:space="preserve">                                                                                                                                       </w:t>
      </w:r>
      <w:r>
        <w:rPr>
          <w:spacing w:val="3"/>
          <w:position w:val="-5"/>
          <w:sz w:val="15"/>
          <w:szCs w:val="15"/>
        </w:rPr>
        <w:t>4</w:t>
      </w:r>
    </w:p>
    <w:p>
      <w:pPr>
        <w:spacing w:line="225" w:lineRule="auto"/>
        <w:rPr>
          <w:sz w:val="15"/>
          <w:szCs w:val="15"/>
        </w:rPr>
      </w:pPr>
      <w:r>
        <w:rPr>
          <w:sz w:val="15"/>
          <w:szCs w:val="15"/>
        </w:rPr>
        <w:br/>
      </w:r>
      <w:r>
        <w:rPr>
          <w:sz w:val="15"/>
          <w:szCs w:val="15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https://d.book118.com/796225220104010054</w:t>
        </w:r>
      </w:hyperlink>
    </w:p>
    <w:p>
      <w:pPr>
        <w:spacing w:line="225" w:lineRule="auto"/>
        <w:rPr>
          <w:sz w:val="15"/>
          <w:szCs w:val="15"/>
        </w:rPr>
      </w:pPr>
    </w:p>
    <w:sectPr>
      <w:headerReference w:type="default" r:id="rId16"/>
      <w:type w:val="nextPage"/>
      <w:pgSz w:w="19200" w:h="10800"/>
      <w:pgMar w:top="1" w:right="0" w:bottom="0" w:left="0" w:header="0" w:footer="0" w:gutter="0"/>
      <w:pgNumType w:start="7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Hei" w:eastAsia="SimHei" w:hAnsi="SimHei" w:cs="SimHei"/>
      <w:sz w:val="27"/>
      <w:szCs w:val="27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image" Target="media/image8.jpeg" /><Relationship Id="rId14" Type="http://schemas.openxmlformats.org/officeDocument/2006/relationships/header" Target="header3.xml" /><Relationship Id="rId15" Type="http://schemas.openxmlformats.org/officeDocument/2006/relationships/hyperlink" Target="https://d.book118.com/796225220104010054" TargetMode="External" /><Relationship Id="rId16" Type="http://schemas.openxmlformats.org/officeDocument/2006/relationships/header" Target="header4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普华永道2024年全球并购趋势展望_私募资本</dc:title>
  <dc:subject>普华永道2024年全球并购趋势展望_私募资本</dc:subject>
  <dc:creator>普华永道</dc:creator>
  <cp:keywords>2024年，全球并购，趋势，展望， 私募资本，私募基金，中國，</cp:keywords>
  <cp:revision>0</cp:revision>
  <dcterms:created xsi:type="dcterms:W3CDTF">2024-03-04T20:14:32Z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2024-03-04T20:28:48Z</vt:filetime>
  </property>
  <property fmtid="{D5CDD505-2E9C-101B-9397-08002B2CF9AE}" pid="3" name="CRO">
    <vt:lpwstr>wqlLaW5nc29mdCBQREYgdG8gV1BTIDkw</vt:lpwstr>
  </property>
</Properties>
</file>