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napToGrid w:val="0"/>
        <w:spacing w:line="540" w:lineRule="exact"/>
        <w:jc w:val="center"/>
        <w:outlineLvl w:val="0"/>
        <w:rPr>
          <w:rFonts w:eastAsia="黑体" w:hint="eastAsia"/>
          <w:b/>
          <w:sz w:val="32"/>
        </w:rPr>
      </w:pPr>
      <w:bookmarkStart w:id="0" w:name="_GoBack"/>
      <w:bookmarkEnd w:id="0"/>
      <w:r>
        <w:rPr>
          <w:rFonts w:eastAsia="黑体" w:hint="eastAsia"/>
          <w:b/>
          <w:sz w:val="32"/>
        </w:rPr>
        <w:t>目  录</w:t>
      </w:r>
    </w:p>
    <w:p>
      <w:pPr>
        <w:pStyle w:val="TOC1"/>
        <w:tabs>
          <w:tab w:val="right" w:leader="dot" w:pos="8296"/>
        </w:tabs>
        <w:spacing w:line="360" w:lineRule="auto"/>
        <w:rPr>
          <w:sz w:val="24"/>
        </w:rPr>
      </w:pPr>
      <w:r>
        <w:rPr>
          <w:rFonts w:eastAsia="黑体"/>
          <w:sz w:val="24"/>
        </w:rPr>
        <w:fldChar w:fldCharType="begin"/>
      </w:r>
      <w:r>
        <w:rPr>
          <w:rFonts w:eastAsia="黑体"/>
          <w:sz w:val="24"/>
        </w:rPr>
        <w:instrText xml:space="preserve"> TOC \o "1-3" </w:instrText>
      </w:r>
      <w:r>
        <w:rPr>
          <w:rFonts w:eastAsia="黑体"/>
          <w:sz w:val="24"/>
        </w:rPr>
        <w:fldChar w:fldCharType="separate"/>
      </w:r>
      <w:r>
        <w:rPr>
          <w:rFonts w:hint="eastAsia"/>
          <w:sz w:val="24"/>
        </w:rPr>
        <w:t>第一章</w:t>
      </w:r>
      <w:r>
        <w:rPr>
          <w:sz w:val="24"/>
        </w:rPr>
        <w:t xml:space="preserve">  </w:t>
      </w:r>
      <w:r>
        <w:rPr>
          <w:rFonts w:hint="eastAsia"/>
          <w:sz w:val="24"/>
        </w:rPr>
        <w:t>总</w:t>
      </w:r>
      <w:r>
        <w:rPr>
          <w:sz w:val="24"/>
        </w:rPr>
        <w:t xml:space="preserve">  </w:t>
      </w:r>
      <w:r>
        <w:rPr>
          <w:rFonts w:hint="eastAsia"/>
          <w:sz w:val="24"/>
        </w:rPr>
        <w:t>论</w:t>
      </w:r>
      <w:r>
        <w:rPr>
          <w:sz w:val="24"/>
        </w:rPr>
        <w:tab/>
      </w:r>
      <w:r>
        <w:rPr>
          <w:sz w:val="24"/>
        </w:rPr>
        <w:fldChar w:fldCharType="begin"/>
      </w:r>
      <w:r>
        <w:rPr>
          <w:sz w:val="24"/>
        </w:rPr>
        <w:instrText xml:space="preserve"> PAGEREF _Toc41648492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1.1</w:t>
      </w:r>
      <w:r>
        <w:rPr>
          <w:rFonts w:hint="eastAsia"/>
          <w:sz w:val="24"/>
          <w:lang w:eastAsia="zh-CN"/>
        </w:rPr>
        <w:t>相关项目</w:t>
      </w:r>
      <w:r>
        <w:rPr>
          <w:rFonts w:hint="eastAsia"/>
          <w:sz w:val="24"/>
        </w:rPr>
        <w:t>由来</w:t>
      </w:r>
      <w:r>
        <w:rPr>
          <w:sz w:val="24"/>
        </w:rPr>
        <w:tab/>
      </w:r>
      <w:r>
        <w:rPr>
          <w:sz w:val="24"/>
        </w:rPr>
        <w:fldChar w:fldCharType="begin"/>
      </w:r>
      <w:r>
        <w:rPr>
          <w:sz w:val="24"/>
        </w:rPr>
        <w:instrText xml:space="preserve"> PAGEREF _Toc41648493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1.2</w:t>
      </w:r>
      <w:r>
        <w:rPr>
          <w:rFonts w:hint="eastAsia"/>
          <w:sz w:val="24"/>
        </w:rPr>
        <w:t>编制依据</w:t>
      </w:r>
      <w:r>
        <w:rPr>
          <w:sz w:val="24"/>
        </w:rPr>
        <w:tab/>
      </w:r>
      <w:r>
        <w:rPr>
          <w:sz w:val="24"/>
        </w:rPr>
        <w:fldChar w:fldCharType="begin"/>
      </w:r>
      <w:r>
        <w:rPr>
          <w:sz w:val="24"/>
        </w:rPr>
        <w:instrText xml:space="preserve"> PAGEREF _Toc41648494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1.2.1</w:t>
      </w:r>
      <w:r>
        <w:rPr>
          <w:rFonts w:hint="eastAsia"/>
          <w:sz w:val="24"/>
        </w:rPr>
        <w:t>环保法规、文件</w:t>
      </w:r>
      <w:r>
        <w:rPr>
          <w:sz w:val="24"/>
        </w:rPr>
        <w:tab/>
      </w:r>
      <w:r>
        <w:rPr>
          <w:sz w:val="24"/>
        </w:rPr>
        <w:fldChar w:fldCharType="begin"/>
      </w:r>
      <w:r>
        <w:rPr>
          <w:sz w:val="24"/>
        </w:rPr>
        <w:instrText xml:space="preserve"> PAGEREF _Toc41648495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1.2.2</w:t>
      </w:r>
      <w:r>
        <w:rPr>
          <w:rFonts w:hint="eastAsia"/>
          <w:sz w:val="24"/>
          <w:lang w:eastAsia="zh-CN"/>
        </w:rPr>
        <w:t>相关项目</w:t>
      </w:r>
      <w:r>
        <w:rPr>
          <w:rFonts w:hint="eastAsia"/>
          <w:sz w:val="24"/>
        </w:rPr>
        <w:t>依据</w:t>
      </w:r>
      <w:r>
        <w:rPr>
          <w:sz w:val="24"/>
        </w:rPr>
        <w:tab/>
      </w:r>
      <w:r>
        <w:rPr>
          <w:sz w:val="24"/>
        </w:rPr>
        <w:fldChar w:fldCharType="begin"/>
      </w:r>
      <w:r>
        <w:rPr>
          <w:sz w:val="24"/>
        </w:rPr>
        <w:instrText xml:space="preserve"> PAGEREF _Toc41648496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1.3</w:t>
      </w:r>
      <w:r>
        <w:rPr>
          <w:rFonts w:hint="eastAsia"/>
          <w:sz w:val="24"/>
        </w:rPr>
        <w:t>评价目的</w:t>
      </w:r>
      <w:r>
        <w:rPr>
          <w:sz w:val="24"/>
        </w:rPr>
        <w:tab/>
      </w:r>
      <w:r>
        <w:rPr>
          <w:sz w:val="24"/>
        </w:rPr>
        <w:fldChar w:fldCharType="begin"/>
      </w:r>
      <w:r>
        <w:rPr>
          <w:sz w:val="24"/>
        </w:rPr>
        <w:instrText xml:space="preserve"> PAGEREF _Toc41648497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1.4</w:t>
      </w:r>
      <w:r>
        <w:rPr>
          <w:rFonts w:hint="eastAsia"/>
          <w:sz w:val="24"/>
        </w:rPr>
        <w:t>评价范围</w:t>
      </w:r>
      <w:r>
        <w:rPr>
          <w:sz w:val="24"/>
        </w:rPr>
        <w:tab/>
      </w:r>
      <w:r>
        <w:rPr>
          <w:sz w:val="24"/>
        </w:rPr>
        <w:fldChar w:fldCharType="begin"/>
      </w:r>
      <w:r>
        <w:rPr>
          <w:sz w:val="24"/>
        </w:rPr>
        <w:instrText xml:space="preserve"> PAGEREF _Toc41648498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1.5</w:t>
      </w:r>
      <w:r>
        <w:rPr>
          <w:rFonts w:hint="eastAsia"/>
          <w:sz w:val="24"/>
        </w:rPr>
        <w:t>采用标准</w:t>
      </w:r>
      <w:r>
        <w:rPr>
          <w:sz w:val="24"/>
        </w:rPr>
        <w:tab/>
      </w:r>
      <w:r>
        <w:rPr>
          <w:sz w:val="24"/>
        </w:rPr>
        <w:fldChar w:fldCharType="begin"/>
      </w:r>
      <w:r>
        <w:rPr>
          <w:sz w:val="24"/>
        </w:rPr>
        <w:instrText xml:space="preserve"> PAGEREF _Toc41648499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1.5.1</w:t>
      </w:r>
      <w:r>
        <w:rPr>
          <w:rFonts w:hint="eastAsia"/>
          <w:sz w:val="24"/>
        </w:rPr>
        <w:t>环境质量标准</w:t>
      </w:r>
      <w:r>
        <w:rPr>
          <w:sz w:val="24"/>
        </w:rPr>
        <w:tab/>
      </w:r>
      <w:r>
        <w:rPr>
          <w:sz w:val="24"/>
        </w:rPr>
        <w:fldChar w:fldCharType="begin"/>
      </w:r>
      <w:r>
        <w:rPr>
          <w:sz w:val="24"/>
        </w:rPr>
        <w:instrText xml:space="preserve"> PAGEREF _Toc41648500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1.5.2</w:t>
      </w:r>
      <w:r>
        <w:rPr>
          <w:rFonts w:hint="eastAsia"/>
          <w:sz w:val="24"/>
        </w:rPr>
        <w:t>污染物排放标准</w:t>
      </w:r>
      <w:r>
        <w:rPr>
          <w:sz w:val="24"/>
        </w:rPr>
        <w:tab/>
      </w:r>
      <w:r>
        <w:rPr>
          <w:sz w:val="24"/>
        </w:rPr>
        <w:fldChar w:fldCharType="begin"/>
      </w:r>
      <w:r>
        <w:rPr>
          <w:sz w:val="24"/>
        </w:rPr>
        <w:instrText xml:space="preserve"> PAGEREF _Toc41648501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1.6</w:t>
      </w:r>
      <w:r>
        <w:rPr>
          <w:rFonts w:hint="eastAsia"/>
          <w:sz w:val="24"/>
        </w:rPr>
        <w:t>评价重点</w:t>
      </w:r>
      <w:r>
        <w:rPr>
          <w:sz w:val="24"/>
        </w:rPr>
        <w:tab/>
      </w:r>
      <w:r>
        <w:rPr>
          <w:sz w:val="24"/>
        </w:rPr>
        <w:fldChar w:fldCharType="begin"/>
      </w:r>
      <w:r>
        <w:rPr>
          <w:sz w:val="24"/>
        </w:rPr>
        <w:instrText xml:space="preserve"> PAGEREF _Toc41648502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1.7</w:t>
      </w:r>
      <w:r>
        <w:rPr>
          <w:rFonts w:hint="eastAsia"/>
          <w:sz w:val="24"/>
        </w:rPr>
        <w:t>保护目标</w:t>
      </w:r>
      <w:r>
        <w:rPr>
          <w:sz w:val="24"/>
        </w:rPr>
        <w:tab/>
      </w:r>
      <w:r>
        <w:rPr>
          <w:sz w:val="24"/>
        </w:rPr>
        <w:fldChar w:fldCharType="begin"/>
      </w:r>
      <w:r>
        <w:rPr>
          <w:sz w:val="24"/>
        </w:rPr>
        <w:instrText xml:space="preserve"> PAGEREF _Toc41648503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第二章</w:t>
      </w:r>
      <w:r>
        <w:rPr>
          <w:sz w:val="24"/>
        </w:rPr>
        <w:t xml:space="preserve">  </w:t>
      </w:r>
      <w:r>
        <w:rPr>
          <w:rFonts w:hint="eastAsia"/>
          <w:sz w:val="24"/>
        </w:rPr>
        <w:t>建设</w:t>
      </w:r>
      <w:r>
        <w:rPr>
          <w:rFonts w:hint="eastAsia"/>
          <w:sz w:val="24"/>
          <w:lang w:eastAsia="zh-CN"/>
        </w:rPr>
        <w:t>相关项目</w:t>
      </w:r>
      <w:r>
        <w:rPr>
          <w:rFonts w:hint="eastAsia"/>
          <w:sz w:val="24"/>
        </w:rPr>
        <w:t>及周围环境概况</w:t>
      </w:r>
      <w:r>
        <w:rPr>
          <w:sz w:val="24"/>
        </w:rPr>
        <w:tab/>
      </w:r>
      <w:r>
        <w:rPr>
          <w:sz w:val="24"/>
        </w:rPr>
        <w:fldChar w:fldCharType="begin"/>
      </w:r>
      <w:r>
        <w:rPr>
          <w:sz w:val="24"/>
        </w:rPr>
        <w:instrText xml:space="preserve"> PAGEREF _Toc41648504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2.1</w:t>
      </w:r>
      <w:r>
        <w:rPr>
          <w:rFonts w:hint="eastAsia"/>
          <w:sz w:val="24"/>
        </w:rPr>
        <w:t>工程概况</w:t>
      </w:r>
      <w:r>
        <w:rPr>
          <w:sz w:val="24"/>
        </w:rPr>
        <w:tab/>
      </w:r>
      <w:r>
        <w:rPr>
          <w:sz w:val="24"/>
        </w:rPr>
        <w:fldChar w:fldCharType="begin"/>
      </w:r>
      <w:r>
        <w:rPr>
          <w:sz w:val="24"/>
        </w:rPr>
        <w:instrText xml:space="preserve"> PAGEREF _Toc41648505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2.1.1</w:t>
      </w:r>
      <w:r>
        <w:rPr>
          <w:rFonts w:hint="eastAsia"/>
          <w:sz w:val="24"/>
          <w:lang w:eastAsia="zh-CN"/>
        </w:rPr>
        <w:t>相关项目</w:t>
      </w:r>
      <w:r>
        <w:rPr>
          <w:rFonts w:hint="eastAsia"/>
          <w:sz w:val="24"/>
        </w:rPr>
        <w:t>名称</w:t>
      </w:r>
      <w:r>
        <w:rPr>
          <w:sz w:val="24"/>
        </w:rPr>
        <w:tab/>
      </w:r>
      <w:r>
        <w:rPr>
          <w:sz w:val="24"/>
        </w:rPr>
        <w:fldChar w:fldCharType="begin"/>
      </w:r>
      <w:r>
        <w:rPr>
          <w:sz w:val="24"/>
        </w:rPr>
        <w:instrText xml:space="preserve"> PAGEREF _Toc41648506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2.1.2</w:t>
      </w:r>
      <w:r>
        <w:rPr>
          <w:rFonts w:hint="eastAsia"/>
          <w:sz w:val="24"/>
        </w:rPr>
        <w:t>建设地址</w:t>
      </w:r>
      <w:r>
        <w:rPr>
          <w:sz w:val="24"/>
        </w:rPr>
        <w:tab/>
      </w:r>
      <w:r>
        <w:rPr>
          <w:sz w:val="24"/>
        </w:rPr>
        <w:fldChar w:fldCharType="begin"/>
      </w:r>
      <w:r>
        <w:rPr>
          <w:sz w:val="24"/>
        </w:rPr>
        <w:instrText xml:space="preserve"> PAGEREF _Toc41648507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2.1.3</w:t>
      </w:r>
      <w:r>
        <w:rPr>
          <w:rFonts w:hint="eastAsia"/>
          <w:sz w:val="24"/>
        </w:rPr>
        <w:t>整治规模及</w:t>
      </w:r>
      <w:r>
        <w:rPr>
          <w:rFonts w:hint="eastAsia"/>
          <w:sz w:val="24"/>
          <w:lang w:eastAsia="zh-CN"/>
        </w:rPr>
        <w:t>合适的内容</w:t>
      </w:r>
      <w:r>
        <w:rPr>
          <w:sz w:val="24"/>
        </w:rPr>
        <w:tab/>
      </w:r>
      <w:r>
        <w:rPr>
          <w:sz w:val="24"/>
        </w:rPr>
        <w:fldChar w:fldCharType="begin"/>
      </w:r>
      <w:r>
        <w:rPr>
          <w:sz w:val="24"/>
        </w:rPr>
        <w:instrText xml:space="preserve"> PAGEREF _Toc41648508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2.1.4</w:t>
      </w:r>
      <w:r>
        <w:rPr>
          <w:rFonts w:hint="eastAsia"/>
          <w:sz w:val="24"/>
        </w:rPr>
        <w:t>能源及燃料</w:t>
      </w:r>
      <w:r>
        <w:rPr>
          <w:sz w:val="24"/>
        </w:rPr>
        <w:tab/>
      </w:r>
      <w:r>
        <w:rPr>
          <w:sz w:val="24"/>
        </w:rPr>
        <w:fldChar w:fldCharType="begin"/>
      </w:r>
      <w:r>
        <w:rPr>
          <w:sz w:val="24"/>
        </w:rPr>
        <w:instrText xml:space="preserve"> PAGEREF _Toc41648509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2.2</w:t>
      </w:r>
      <w:r>
        <w:rPr>
          <w:rFonts w:hint="eastAsia"/>
          <w:sz w:val="24"/>
        </w:rPr>
        <w:t>建设</w:t>
      </w:r>
      <w:r>
        <w:rPr>
          <w:rFonts w:hint="eastAsia"/>
          <w:sz w:val="24"/>
          <w:lang w:eastAsia="zh-CN"/>
        </w:rPr>
        <w:t>相关项目</w:t>
      </w:r>
      <w:r>
        <w:rPr>
          <w:rFonts w:hint="eastAsia"/>
          <w:sz w:val="24"/>
        </w:rPr>
        <w:t>周围环境概况</w:t>
      </w:r>
      <w:r>
        <w:rPr>
          <w:sz w:val="24"/>
        </w:rPr>
        <w:tab/>
      </w:r>
      <w:r>
        <w:rPr>
          <w:sz w:val="24"/>
        </w:rPr>
        <w:fldChar w:fldCharType="begin"/>
      </w:r>
      <w:r>
        <w:rPr>
          <w:sz w:val="24"/>
        </w:rPr>
        <w:instrText xml:space="preserve"> PAGEREF _Toc41648510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2.2.1</w:t>
      </w:r>
      <w:r>
        <w:rPr>
          <w:rFonts w:hint="eastAsia"/>
          <w:sz w:val="24"/>
        </w:rPr>
        <w:t>地理环境概况</w:t>
      </w:r>
      <w:r>
        <w:rPr>
          <w:sz w:val="24"/>
        </w:rPr>
        <w:tab/>
      </w:r>
      <w:r>
        <w:rPr>
          <w:sz w:val="24"/>
        </w:rPr>
        <w:fldChar w:fldCharType="begin"/>
      </w:r>
      <w:r>
        <w:rPr>
          <w:sz w:val="24"/>
        </w:rPr>
        <w:instrText xml:space="preserve"> PAGEREF _Toc41648511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2.2.2</w:t>
      </w:r>
      <w:r>
        <w:rPr>
          <w:rFonts w:hint="eastAsia"/>
          <w:sz w:val="24"/>
        </w:rPr>
        <w:t>气象环境</w:t>
      </w:r>
      <w:r>
        <w:rPr>
          <w:sz w:val="24"/>
        </w:rPr>
        <w:tab/>
      </w:r>
      <w:r>
        <w:rPr>
          <w:sz w:val="24"/>
        </w:rPr>
        <w:fldChar w:fldCharType="begin"/>
      </w:r>
      <w:r>
        <w:rPr>
          <w:sz w:val="24"/>
        </w:rPr>
        <w:instrText xml:space="preserve"> PAGEREF _Toc41648512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2.2.3</w:t>
      </w:r>
      <w:r>
        <w:rPr>
          <w:rFonts w:hint="eastAsia"/>
          <w:sz w:val="24"/>
        </w:rPr>
        <w:t>地质地貌</w:t>
      </w:r>
      <w:r>
        <w:rPr>
          <w:sz w:val="24"/>
        </w:rPr>
        <w:tab/>
      </w:r>
      <w:r>
        <w:rPr>
          <w:sz w:val="24"/>
        </w:rPr>
        <w:fldChar w:fldCharType="begin"/>
      </w:r>
      <w:r>
        <w:rPr>
          <w:sz w:val="24"/>
        </w:rPr>
        <w:instrText xml:space="preserve"> PAGEREF _Toc41648513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第三章</w:t>
      </w:r>
      <w:r>
        <w:rPr>
          <w:sz w:val="24"/>
        </w:rPr>
        <w:t xml:space="preserve">  </w:t>
      </w:r>
      <w:r>
        <w:rPr>
          <w:rFonts w:hint="eastAsia"/>
          <w:sz w:val="24"/>
        </w:rPr>
        <w:t>环境质量及现状污染源调查</w:t>
      </w:r>
      <w:r>
        <w:rPr>
          <w:sz w:val="24"/>
        </w:rPr>
        <w:tab/>
      </w:r>
      <w:r>
        <w:rPr>
          <w:sz w:val="24"/>
        </w:rPr>
        <w:fldChar w:fldCharType="begin"/>
      </w:r>
      <w:r>
        <w:rPr>
          <w:sz w:val="24"/>
        </w:rPr>
        <w:instrText xml:space="preserve"> PAGEREF _Toc41648514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3.1</w:t>
      </w:r>
      <w:r>
        <w:rPr>
          <w:rFonts w:hint="eastAsia"/>
          <w:sz w:val="24"/>
        </w:rPr>
        <w:t>环境空气质量现状及废气排放</w:t>
      </w:r>
      <w:r>
        <w:rPr>
          <w:sz w:val="24"/>
        </w:rPr>
        <w:tab/>
      </w:r>
      <w:r>
        <w:rPr>
          <w:sz w:val="24"/>
        </w:rPr>
        <w:fldChar w:fldCharType="begin"/>
      </w:r>
      <w:r>
        <w:rPr>
          <w:sz w:val="24"/>
        </w:rPr>
        <w:instrText xml:space="preserve"> PAGEREF _Toc41648515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3.1.1</w:t>
      </w:r>
      <w:r>
        <w:rPr>
          <w:rFonts w:hint="eastAsia"/>
          <w:sz w:val="24"/>
        </w:rPr>
        <w:t>环境空气质量现状</w:t>
      </w:r>
      <w:r>
        <w:rPr>
          <w:sz w:val="24"/>
        </w:rPr>
        <w:tab/>
      </w:r>
      <w:r>
        <w:rPr>
          <w:sz w:val="24"/>
        </w:rPr>
        <w:fldChar w:fldCharType="begin"/>
      </w:r>
      <w:r>
        <w:rPr>
          <w:sz w:val="24"/>
        </w:rPr>
        <w:instrText xml:space="preserve"> PAGEREF _Toc41648516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3.1.2</w:t>
      </w:r>
      <w:r>
        <w:rPr>
          <w:rFonts w:hint="eastAsia"/>
          <w:sz w:val="24"/>
        </w:rPr>
        <w:t>废气</w:t>
      </w:r>
      <w:r>
        <w:rPr>
          <w:sz w:val="24"/>
        </w:rPr>
        <w:tab/>
      </w:r>
      <w:r>
        <w:rPr>
          <w:sz w:val="24"/>
        </w:rPr>
        <w:fldChar w:fldCharType="begin"/>
      </w:r>
      <w:r>
        <w:rPr>
          <w:sz w:val="24"/>
        </w:rPr>
        <w:instrText xml:space="preserve"> PAGEREF _Toc41648517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3.2</w:t>
      </w:r>
      <w:r>
        <w:rPr>
          <w:rFonts w:hint="eastAsia"/>
          <w:sz w:val="24"/>
        </w:rPr>
        <w:t>废水</w:t>
      </w:r>
      <w:r>
        <w:rPr>
          <w:sz w:val="24"/>
        </w:rPr>
        <w:tab/>
      </w:r>
      <w:r>
        <w:rPr>
          <w:sz w:val="24"/>
        </w:rPr>
        <w:fldChar w:fldCharType="begin"/>
      </w:r>
      <w:r>
        <w:rPr>
          <w:sz w:val="24"/>
        </w:rPr>
        <w:instrText xml:space="preserve"> PAGEREF _Toc41648518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sectPr>
          <w:pgSz w:w="11906" w:h="16838"/>
          <w:pgMar w:top="1440" w:right="1800" w:bottom="1440" w:left="1800" w:header="851" w:footer="992" w:gutter="0"/>
          <w:cols w:num="1" w:space="425"/>
          <w:docGrid w:type="lines" w:linePitch="312" w:charSpace="0"/>
        </w:sectPr>
      </w:pPr>
      <w:r>
        <w:rPr>
          <w:sz w:val="24"/>
        </w:rPr>
        <w:t>3.2.1</w:t>
      </w:r>
      <w:r>
        <w:rPr>
          <w:rFonts w:hint="eastAsia"/>
          <w:sz w:val="24"/>
        </w:rPr>
        <w:t>梅家坞老村目前污水排放量</w:t>
      </w:r>
      <w:r>
        <w:rPr>
          <w:sz w:val="24"/>
        </w:rPr>
        <w:tab/>
      </w:r>
      <w:r>
        <w:rPr>
          <w:sz w:val="24"/>
        </w:rPr>
        <w:fldChar w:fldCharType="begin"/>
      </w:r>
      <w:r>
        <w:rPr>
          <w:sz w:val="24"/>
        </w:rPr>
        <w:instrText xml:space="preserve"> PAGEREF _Toc41648519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3.2.2</w:t>
      </w:r>
      <w:r>
        <w:rPr>
          <w:rFonts w:hint="eastAsia"/>
          <w:sz w:val="24"/>
        </w:rPr>
        <w:t>污水处理情况</w:t>
      </w:r>
      <w:r>
        <w:rPr>
          <w:sz w:val="24"/>
        </w:rPr>
        <w:tab/>
      </w:r>
      <w:r>
        <w:rPr>
          <w:sz w:val="24"/>
        </w:rPr>
        <w:fldChar w:fldCharType="begin"/>
      </w:r>
      <w:r>
        <w:rPr>
          <w:sz w:val="24"/>
        </w:rPr>
        <w:instrText xml:space="preserve"> PAGEREF _Toc41648520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3.3</w:t>
      </w:r>
      <w:r>
        <w:rPr>
          <w:rFonts w:hint="eastAsia"/>
          <w:sz w:val="24"/>
        </w:rPr>
        <w:t>固体废弃物</w:t>
      </w:r>
      <w:r>
        <w:rPr>
          <w:sz w:val="24"/>
        </w:rPr>
        <w:tab/>
      </w:r>
      <w:r>
        <w:rPr>
          <w:sz w:val="24"/>
        </w:rPr>
        <w:fldChar w:fldCharType="begin"/>
      </w:r>
      <w:r>
        <w:rPr>
          <w:sz w:val="24"/>
        </w:rPr>
        <w:instrText xml:space="preserve"> PAGEREF _Toc41648521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3.4</w:t>
      </w:r>
      <w:r>
        <w:rPr>
          <w:rFonts w:hint="eastAsia"/>
          <w:sz w:val="24"/>
        </w:rPr>
        <w:t>区域环境噪声监测及评价</w:t>
      </w:r>
      <w:r>
        <w:rPr>
          <w:sz w:val="24"/>
        </w:rPr>
        <w:tab/>
      </w:r>
      <w:r>
        <w:rPr>
          <w:sz w:val="24"/>
        </w:rPr>
        <w:fldChar w:fldCharType="begin"/>
      </w:r>
      <w:r>
        <w:rPr>
          <w:sz w:val="24"/>
        </w:rPr>
        <w:instrText xml:space="preserve"> PAGEREF _Toc41648522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3.4.1</w:t>
      </w:r>
      <w:r>
        <w:rPr>
          <w:rFonts w:hint="eastAsia"/>
          <w:sz w:val="24"/>
        </w:rPr>
        <w:t>区域环境噪声现状监测</w:t>
      </w:r>
      <w:r>
        <w:rPr>
          <w:sz w:val="24"/>
        </w:rPr>
        <w:tab/>
      </w:r>
      <w:r>
        <w:rPr>
          <w:sz w:val="24"/>
        </w:rPr>
        <w:fldChar w:fldCharType="begin"/>
      </w:r>
      <w:r>
        <w:rPr>
          <w:sz w:val="24"/>
        </w:rPr>
        <w:instrText xml:space="preserve"> PAGEREF _Toc41648523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3.4.2</w:t>
      </w:r>
      <w:r>
        <w:rPr>
          <w:rFonts w:hint="eastAsia"/>
          <w:sz w:val="24"/>
        </w:rPr>
        <w:t>现状评价</w:t>
      </w:r>
      <w:r>
        <w:rPr>
          <w:sz w:val="24"/>
        </w:rPr>
        <w:tab/>
      </w:r>
      <w:r>
        <w:rPr>
          <w:sz w:val="24"/>
        </w:rPr>
        <w:fldChar w:fldCharType="begin"/>
      </w:r>
      <w:r>
        <w:rPr>
          <w:sz w:val="24"/>
        </w:rPr>
        <w:instrText xml:space="preserve"> PAGEREF _Toc41648524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第四章</w:t>
      </w:r>
      <w:r>
        <w:rPr>
          <w:sz w:val="24"/>
        </w:rPr>
        <w:t xml:space="preserve">  </w:t>
      </w:r>
      <w:r>
        <w:rPr>
          <w:rFonts w:hint="eastAsia"/>
          <w:sz w:val="24"/>
        </w:rPr>
        <w:t>梅家坞老村整治工程环境影响分析</w:t>
      </w:r>
      <w:r>
        <w:rPr>
          <w:sz w:val="24"/>
        </w:rPr>
        <w:tab/>
      </w:r>
      <w:r>
        <w:rPr>
          <w:sz w:val="24"/>
        </w:rPr>
        <w:fldChar w:fldCharType="begin"/>
      </w:r>
      <w:r>
        <w:rPr>
          <w:sz w:val="24"/>
        </w:rPr>
        <w:instrText xml:space="preserve"> PAGEREF _Toc41648525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4.1</w:t>
      </w:r>
      <w:r>
        <w:rPr>
          <w:rFonts w:hint="eastAsia"/>
          <w:sz w:val="24"/>
        </w:rPr>
        <w:t>废水</w:t>
      </w:r>
      <w:r>
        <w:rPr>
          <w:sz w:val="24"/>
        </w:rPr>
        <w:tab/>
      </w:r>
      <w:r>
        <w:rPr>
          <w:sz w:val="24"/>
        </w:rPr>
        <w:fldChar w:fldCharType="begin"/>
      </w:r>
      <w:r>
        <w:rPr>
          <w:sz w:val="24"/>
        </w:rPr>
        <w:instrText xml:space="preserve"> PAGEREF _Toc41648526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4.1.1</w:t>
      </w:r>
      <w:r>
        <w:rPr>
          <w:rFonts w:hint="eastAsia"/>
          <w:sz w:val="24"/>
        </w:rPr>
        <w:t>用水量及废水排放量预测</w:t>
      </w:r>
      <w:r>
        <w:rPr>
          <w:sz w:val="24"/>
        </w:rPr>
        <w:tab/>
      </w:r>
      <w:r>
        <w:rPr>
          <w:sz w:val="24"/>
        </w:rPr>
        <w:fldChar w:fldCharType="begin"/>
      </w:r>
      <w:r>
        <w:rPr>
          <w:sz w:val="24"/>
        </w:rPr>
        <w:instrText xml:space="preserve"> PAGEREF _Toc41648527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4.1.2</w:t>
      </w:r>
      <w:r>
        <w:rPr>
          <w:rFonts w:hint="eastAsia"/>
          <w:sz w:val="24"/>
        </w:rPr>
        <w:t>废水对策措施</w:t>
      </w:r>
      <w:r>
        <w:rPr>
          <w:sz w:val="24"/>
        </w:rPr>
        <w:tab/>
      </w:r>
      <w:r>
        <w:rPr>
          <w:sz w:val="24"/>
        </w:rPr>
        <w:fldChar w:fldCharType="begin"/>
      </w:r>
      <w:r>
        <w:rPr>
          <w:sz w:val="24"/>
        </w:rPr>
        <w:instrText xml:space="preserve"> PAGEREF _Toc41648528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4.2</w:t>
      </w:r>
      <w:r>
        <w:rPr>
          <w:rFonts w:hint="eastAsia"/>
          <w:sz w:val="24"/>
        </w:rPr>
        <w:t>固体废弃物</w:t>
      </w:r>
      <w:r>
        <w:rPr>
          <w:sz w:val="24"/>
        </w:rPr>
        <w:tab/>
      </w:r>
      <w:r>
        <w:rPr>
          <w:sz w:val="24"/>
        </w:rPr>
        <w:fldChar w:fldCharType="begin"/>
      </w:r>
      <w:r>
        <w:rPr>
          <w:sz w:val="24"/>
        </w:rPr>
        <w:instrText xml:space="preserve"> PAGEREF _Toc41648529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4.2.1</w:t>
      </w:r>
      <w:r>
        <w:rPr>
          <w:rFonts w:hint="eastAsia"/>
          <w:sz w:val="24"/>
        </w:rPr>
        <w:t>固体废弃物排放量</w:t>
      </w:r>
      <w:r>
        <w:rPr>
          <w:sz w:val="24"/>
        </w:rPr>
        <w:tab/>
      </w:r>
      <w:r>
        <w:rPr>
          <w:sz w:val="24"/>
        </w:rPr>
        <w:fldChar w:fldCharType="begin"/>
      </w:r>
      <w:r>
        <w:rPr>
          <w:sz w:val="24"/>
        </w:rPr>
        <w:instrText xml:space="preserve"> PAGEREF _Toc41648530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4.2.2</w:t>
      </w:r>
      <w:r>
        <w:rPr>
          <w:rFonts w:hint="eastAsia"/>
          <w:sz w:val="24"/>
        </w:rPr>
        <w:t>固体废弃物防治措施</w:t>
      </w:r>
      <w:r>
        <w:rPr>
          <w:sz w:val="24"/>
        </w:rPr>
        <w:tab/>
      </w:r>
      <w:r>
        <w:rPr>
          <w:sz w:val="24"/>
        </w:rPr>
        <w:fldChar w:fldCharType="begin"/>
      </w:r>
      <w:r>
        <w:rPr>
          <w:sz w:val="24"/>
        </w:rPr>
        <w:instrText xml:space="preserve"> PAGEREF _Toc41648531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4.3</w:t>
      </w:r>
      <w:r>
        <w:rPr>
          <w:rFonts w:hint="eastAsia"/>
          <w:sz w:val="24"/>
        </w:rPr>
        <w:t>废气</w:t>
      </w:r>
      <w:r>
        <w:rPr>
          <w:sz w:val="24"/>
        </w:rPr>
        <w:tab/>
      </w:r>
      <w:r>
        <w:rPr>
          <w:sz w:val="24"/>
        </w:rPr>
        <w:fldChar w:fldCharType="begin"/>
      </w:r>
      <w:r>
        <w:rPr>
          <w:sz w:val="24"/>
        </w:rPr>
        <w:instrText xml:space="preserve"> PAGEREF _Toc41648532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4.3.1</w:t>
      </w:r>
      <w:r>
        <w:rPr>
          <w:rFonts w:hint="eastAsia"/>
          <w:sz w:val="24"/>
        </w:rPr>
        <w:t>汽车废气</w:t>
      </w:r>
      <w:r>
        <w:rPr>
          <w:sz w:val="24"/>
        </w:rPr>
        <w:tab/>
      </w:r>
      <w:r>
        <w:rPr>
          <w:sz w:val="24"/>
        </w:rPr>
        <w:fldChar w:fldCharType="begin"/>
      </w:r>
      <w:r>
        <w:rPr>
          <w:sz w:val="24"/>
        </w:rPr>
        <w:instrText xml:space="preserve"> PAGEREF _Toc41648533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4.3.2</w:t>
      </w:r>
      <w:r>
        <w:rPr>
          <w:rFonts w:hint="eastAsia"/>
          <w:sz w:val="24"/>
        </w:rPr>
        <w:t>厨房油烟废气</w:t>
      </w:r>
      <w:r>
        <w:rPr>
          <w:sz w:val="24"/>
        </w:rPr>
        <w:tab/>
      </w:r>
      <w:r>
        <w:rPr>
          <w:sz w:val="24"/>
        </w:rPr>
        <w:fldChar w:fldCharType="begin"/>
      </w:r>
      <w:r>
        <w:rPr>
          <w:sz w:val="24"/>
        </w:rPr>
        <w:instrText xml:space="preserve"> PAGEREF _Toc41648534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4.3.3</w:t>
      </w:r>
      <w:r>
        <w:rPr>
          <w:rFonts w:hint="eastAsia"/>
          <w:sz w:val="24"/>
        </w:rPr>
        <w:t>废气防治措施</w:t>
      </w:r>
      <w:r>
        <w:rPr>
          <w:sz w:val="24"/>
        </w:rPr>
        <w:tab/>
      </w:r>
      <w:r>
        <w:rPr>
          <w:sz w:val="24"/>
        </w:rPr>
        <w:fldChar w:fldCharType="begin"/>
      </w:r>
      <w:r>
        <w:rPr>
          <w:sz w:val="24"/>
        </w:rPr>
        <w:instrText xml:space="preserve"> PAGEREF _Toc41648535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4.4</w:t>
      </w:r>
      <w:r>
        <w:rPr>
          <w:rFonts w:hint="eastAsia"/>
          <w:sz w:val="24"/>
        </w:rPr>
        <w:t>噪声</w:t>
      </w:r>
      <w:r>
        <w:rPr>
          <w:sz w:val="24"/>
        </w:rPr>
        <w:tab/>
      </w:r>
      <w:r>
        <w:rPr>
          <w:sz w:val="24"/>
        </w:rPr>
        <w:fldChar w:fldCharType="begin"/>
      </w:r>
      <w:r>
        <w:rPr>
          <w:sz w:val="24"/>
        </w:rPr>
        <w:instrText xml:space="preserve"> PAGEREF _Toc41648536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第五章</w:t>
      </w:r>
      <w:r>
        <w:rPr>
          <w:sz w:val="24"/>
        </w:rPr>
        <w:t xml:space="preserve">  </w:t>
      </w:r>
      <w:r>
        <w:rPr>
          <w:rFonts w:hint="eastAsia"/>
          <w:sz w:val="24"/>
        </w:rPr>
        <w:t>建设期环境影响分析</w:t>
      </w:r>
      <w:r>
        <w:rPr>
          <w:sz w:val="24"/>
        </w:rPr>
        <w:tab/>
      </w:r>
      <w:r>
        <w:rPr>
          <w:sz w:val="24"/>
        </w:rPr>
        <w:fldChar w:fldCharType="begin"/>
      </w:r>
      <w:r>
        <w:rPr>
          <w:sz w:val="24"/>
        </w:rPr>
        <w:instrText xml:space="preserve"> PAGEREF _Toc41648537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5.1</w:t>
      </w:r>
      <w:r>
        <w:rPr>
          <w:rFonts w:hint="eastAsia"/>
          <w:sz w:val="24"/>
        </w:rPr>
        <w:t>建设期噪声影响分析</w:t>
      </w:r>
      <w:r>
        <w:rPr>
          <w:sz w:val="24"/>
        </w:rPr>
        <w:tab/>
      </w:r>
      <w:r>
        <w:rPr>
          <w:sz w:val="24"/>
        </w:rPr>
        <w:fldChar w:fldCharType="begin"/>
      </w:r>
      <w:r>
        <w:rPr>
          <w:sz w:val="24"/>
        </w:rPr>
        <w:instrText xml:space="preserve"> PAGEREF _Toc41648538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5.1.1</w:t>
      </w:r>
      <w:r>
        <w:rPr>
          <w:rFonts w:hint="eastAsia"/>
          <w:sz w:val="24"/>
        </w:rPr>
        <w:t>建设期噪声评价标准</w:t>
      </w:r>
      <w:r>
        <w:rPr>
          <w:sz w:val="24"/>
        </w:rPr>
        <w:tab/>
      </w:r>
      <w:r>
        <w:rPr>
          <w:sz w:val="24"/>
        </w:rPr>
        <w:fldChar w:fldCharType="begin"/>
      </w:r>
      <w:r>
        <w:rPr>
          <w:sz w:val="24"/>
        </w:rPr>
        <w:instrText xml:space="preserve"> PAGEREF _Toc41648539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5.1.2</w:t>
      </w:r>
      <w:r>
        <w:rPr>
          <w:rFonts w:hint="eastAsia"/>
          <w:sz w:val="24"/>
          <w:lang w:eastAsia="zh-CN"/>
        </w:rPr>
        <w:t>相关项目</w:t>
      </w:r>
      <w:r>
        <w:rPr>
          <w:rFonts w:hint="eastAsia"/>
          <w:sz w:val="24"/>
        </w:rPr>
        <w:t>建设期的噪声源</w:t>
      </w:r>
      <w:r>
        <w:rPr>
          <w:sz w:val="24"/>
        </w:rPr>
        <w:tab/>
      </w:r>
      <w:r>
        <w:rPr>
          <w:sz w:val="24"/>
        </w:rPr>
        <w:fldChar w:fldCharType="begin"/>
      </w:r>
      <w:r>
        <w:rPr>
          <w:sz w:val="24"/>
        </w:rPr>
        <w:instrText xml:space="preserve"> PAGEREF _Toc41648540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5.1.3</w:t>
      </w:r>
      <w:r>
        <w:rPr>
          <w:rFonts w:hint="eastAsia"/>
          <w:sz w:val="24"/>
        </w:rPr>
        <w:t>建设期噪声影响分析</w:t>
      </w:r>
      <w:r>
        <w:rPr>
          <w:sz w:val="24"/>
        </w:rPr>
        <w:tab/>
      </w:r>
      <w:r>
        <w:rPr>
          <w:sz w:val="24"/>
        </w:rPr>
        <w:fldChar w:fldCharType="begin"/>
      </w:r>
      <w:r>
        <w:rPr>
          <w:sz w:val="24"/>
        </w:rPr>
        <w:instrText xml:space="preserve"> PAGEREF _Toc41648541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5.1.4</w:t>
      </w:r>
      <w:r>
        <w:rPr>
          <w:rFonts w:hint="eastAsia"/>
          <w:sz w:val="24"/>
        </w:rPr>
        <w:t>施工期噪声防治措施</w:t>
      </w:r>
      <w:r>
        <w:rPr>
          <w:sz w:val="24"/>
        </w:rPr>
        <w:tab/>
      </w:r>
      <w:r>
        <w:rPr>
          <w:sz w:val="24"/>
        </w:rPr>
        <w:fldChar w:fldCharType="begin"/>
      </w:r>
      <w:r>
        <w:rPr>
          <w:sz w:val="24"/>
        </w:rPr>
        <w:instrText xml:space="preserve"> PAGEREF _Toc41648542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5.2</w:t>
      </w:r>
      <w:r>
        <w:rPr>
          <w:rFonts w:hint="eastAsia"/>
          <w:sz w:val="24"/>
        </w:rPr>
        <w:t>施工期大气环境影响分析</w:t>
      </w:r>
      <w:r>
        <w:rPr>
          <w:sz w:val="24"/>
        </w:rPr>
        <w:tab/>
      </w:r>
      <w:r>
        <w:rPr>
          <w:sz w:val="24"/>
        </w:rPr>
        <w:fldChar w:fldCharType="begin"/>
      </w:r>
      <w:r>
        <w:rPr>
          <w:sz w:val="24"/>
        </w:rPr>
        <w:instrText xml:space="preserve"> PAGEREF _Toc41648543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5.3</w:t>
      </w:r>
      <w:r>
        <w:rPr>
          <w:rFonts w:hint="eastAsia"/>
          <w:sz w:val="24"/>
        </w:rPr>
        <w:t>施工期生活污水影响分析</w:t>
      </w:r>
      <w:r>
        <w:rPr>
          <w:sz w:val="24"/>
        </w:rPr>
        <w:tab/>
      </w:r>
      <w:r>
        <w:rPr>
          <w:sz w:val="24"/>
        </w:rPr>
        <w:fldChar w:fldCharType="begin"/>
      </w:r>
      <w:r>
        <w:rPr>
          <w:sz w:val="24"/>
        </w:rPr>
        <w:instrText xml:space="preserve"> PAGEREF _Toc41648544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5.4</w:t>
      </w:r>
      <w:r>
        <w:rPr>
          <w:rFonts w:hint="eastAsia"/>
          <w:sz w:val="24"/>
        </w:rPr>
        <w:t>建设期固体废弃物影响分析</w:t>
      </w:r>
      <w:r>
        <w:rPr>
          <w:sz w:val="24"/>
        </w:rPr>
        <w:tab/>
      </w:r>
      <w:r>
        <w:rPr>
          <w:sz w:val="24"/>
        </w:rPr>
        <w:fldChar w:fldCharType="begin"/>
      </w:r>
      <w:r>
        <w:rPr>
          <w:sz w:val="24"/>
        </w:rPr>
        <w:instrText xml:space="preserve"> PAGEREF _Toc41648545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第六章</w:t>
      </w:r>
      <w:r>
        <w:rPr>
          <w:sz w:val="24"/>
        </w:rPr>
        <w:t xml:space="preserve">  </w:t>
      </w:r>
      <w:r>
        <w:rPr>
          <w:rFonts w:hint="eastAsia"/>
          <w:sz w:val="24"/>
        </w:rPr>
        <w:t>生态环境影响分析</w:t>
      </w:r>
      <w:r>
        <w:rPr>
          <w:sz w:val="24"/>
        </w:rPr>
        <w:tab/>
      </w:r>
      <w:r>
        <w:rPr>
          <w:sz w:val="24"/>
        </w:rPr>
        <w:fldChar w:fldCharType="begin"/>
      </w:r>
      <w:r>
        <w:rPr>
          <w:sz w:val="24"/>
        </w:rPr>
        <w:instrText xml:space="preserve"> PAGEREF _Toc41648546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6.1</w:t>
      </w:r>
      <w:r>
        <w:rPr>
          <w:rFonts w:hint="eastAsia"/>
          <w:sz w:val="24"/>
        </w:rPr>
        <w:t>生态环境现状调查</w:t>
      </w:r>
      <w:r>
        <w:rPr>
          <w:sz w:val="24"/>
        </w:rPr>
        <w:tab/>
      </w:r>
      <w:r>
        <w:rPr>
          <w:sz w:val="24"/>
        </w:rPr>
        <w:fldChar w:fldCharType="begin"/>
      </w:r>
      <w:r>
        <w:rPr>
          <w:sz w:val="24"/>
        </w:rPr>
        <w:instrText xml:space="preserve"> PAGEREF _Toc41648547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sectPr>
          <w:type w:val="nextPage"/>
          <w:pgSz w:w="11906" w:h="16838"/>
          <w:pgMar w:top="1440" w:right="1800" w:bottom="1440" w:left="1800" w:header="851" w:footer="992" w:gutter="0"/>
          <w:pgNumType w:start="2"/>
          <w:cols w:num="1" w:space="425"/>
          <w:titlePg w:val="0"/>
          <w:docGrid w:type="lines" w:linePitch="312" w:charSpace="0"/>
        </w:sectPr>
      </w:pPr>
      <w:r>
        <w:rPr>
          <w:sz w:val="24"/>
        </w:rPr>
        <w:t>6.2</w:t>
      </w:r>
      <w:r>
        <w:rPr>
          <w:rFonts w:hint="eastAsia"/>
          <w:sz w:val="24"/>
          <w:lang w:eastAsia="zh-CN"/>
        </w:rPr>
        <w:t>相关项目</w:t>
      </w:r>
      <w:r>
        <w:rPr>
          <w:rFonts w:hint="eastAsia"/>
          <w:sz w:val="24"/>
        </w:rPr>
        <w:t>建设对区域生态条件的影响</w:t>
      </w:r>
      <w:r>
        <w:rPr>
          <w:sz w:val="24"/>
        </w:rPr>
        <w:tab/>
      </w:r>
      <w:r>
        <w:rPr>
          <w:sz w:val="24"/>
        </w:rPr>
        <w:fldChar w:fldCharType="begin"/>
      </w:r>
      <w:r>
        <w:rPr>
          <w:sz w:val="24"/>
        </w:rPr>
        <w:instrText xml:space="preserve"> PAGEREF _Toc41648548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6.2.1</w:t>
      </w:r>
      <w:r>
        <w:rPr>
          <w:rFonts w:hint="eastAsia"/>
          <w:sz w:val="24"/>
          <w:lang w:eastAsia="zh-CN"/>
        </w:rPr>
        <w:t>相关项目</w:t>
      </w:r>
      <w:r>
        <w:rPr>
          <w:rFonts w:hint="eastAsia"/>
          <w:sz w:val="24"/>
        </w:rPr>
        <w:t>施工期对周围生态环境的影响</w:t>
      </w:r>
      <w:r>
        <w:rPr>
          <w:sz w:val="24"/>
        </w:rPr>
        <w:tab/>
      </w:r>
      <w:r>
        <w:rPr>
          <w:sz w:val="24"/>
        </w:rPr>
        <w:fldChar w:fldCharType="begin"/>
      </w:r>
      <w:r>
        <w:rPr>
          <w:sz w:val="24"/>
        </w:rPr>
        <w:instrText xml:space="preserve"> PAGEREF _Toc41648549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6.2.2</w:t>
      </w:r>
      <w:r>
        <w:rPr>
          <w:rFonts w:hint="eastAsia"/>
          <w:sz w:val="24"/>
        </w:rPr>
        <w:t>建成后</w:t>
      </w:r>
      <w:r>
        <w:rPr>
          <w:rFonts w:hint="eastAsia"/>
          <w:sz w:val="24"/>
          <w:lang w:eastAsia="zh-CN"/>
        </w:rPr>
        <w:t>相关项目</w:t>
      </w:r>
      <w:r>
        <w:rPr>
          <w:rFonts w:hint="eastAsia"/>
          <w:sz w:val="24"/>
        </w:rPr>
        <w:t>运行对周围生态环境的影响</w:t>
      </w:r>
      <w:r>
        <w:rPr>
          <w:sz w:val="24"/>
        </w:rPr>
        <w:tab/>
      </w:r>
      <w:r>
        <w:rPr>
          <w:sz w:val="24"/>
        </w:rPr>
        <w:fldChar w:fldCharType="begin"/>
      </w:r>
      <w:r>
        <w:rPr>
          <w:sz w:val="24"/>
        </w:rPr>
        <w:instrText xml:space="preserve"> PAGEREF _Toc41648550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6.3</w:t>
      </w:r>
      <w:r>
        <w:rPr>
          <w:rFonts w:hint="eastAsia"/>
          <w:sz w:val="24"/>
        </w:rPr>
        <w:t>生态保护措施</w:t>
      </w:r>
      <w:r>
        <w:rPr>
          <w:sz w:val="24"/>
        </w:rPr>
        <w:tab/>
      </w:r>
      <w:r>
        <w:rPr>
          <w:sz w:val="24"/>
        </w:rPr>
        <w:fldChar w:fldCharType="begin"/>
      </w:r>
      <w:r>
        <w:rPr>
          <w:sz w:val="24"/>
        </w:rPr>
        <w:instrText xml:space="preserve"> PAGEREF _Toc41648551 \h </w:instrText>
      </w:r>
      <w:r>
        <w:rPr>
          <w:sz w:val="24"/>
        </w:rPr>
        <w:fldChar w:fldCharType="separate"/>
      </w:r>
      <w:r>
        <w:rPr>
          <w:sz w:val="24"/>
        </w:rPr>
        <w:t>3</w:t>
      </w:r>
      <w:r>
        <w:rPr>
          <w:sz w:val="24"/>
        </w:rPr>
        <w:fldChar w:fldCharType="end"/>
      </w:r>
    </w:p>
    <w:p>
      <w:pPr>
        <w:pStyle w:val="TOC1"/>
        <w:tabs>
          <w:tab w:val="right" w:leader="dot" w:pos="8296"/>
        </w:tabs>
        <w:spacing w:line="360" w:lineRule="auto"/>
        <w:rPr>
          <w:sz w:val="24"/>
        </w:rPr>
      </w:pPr>
      <w:r>
        <w:rPr>
          <w:rFonts w:hint="eastAsia"/>
          <w:sz w:val="24"/>
        </w:rPr>
        <w:t>第七章</w:t>
      </w:r>
      <w:r>
        <w:rPr>
          <w:sz w:val="24"/>
        </w:rPr>
        <w:t xml:space="preserve">  </w:t>
      </w:r>
      <w:r>
        <w:rPr>
          <w:rFonts w:hint="eastAsia"/>
          <w:sz w:val="24"/>
        </w:rPr>
        <w:t>结论与对策措施</w:t>
      </w:r>
      <w:r>
        <w:rPr>
          <w:sz w:val="24"/>
        </w:rPr>
        <w:tab/>
      </w:r>
      <w:r>
        <w:rPr>
          <w:sz w:val="24"/>
        </w:rPr>
        <w:fldChar w:fldCharType="begin"/>
      </w:r>
      <w:r>
        <w:rPr>
          <w:sz w:val="24"/>
        </w:rPr>
        <w:instrText xml:space="preserve"> PAGEREF _Toc41648552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7.1</w:t>
      </w:r>
      <w:r>
        <w:rPr>
          <w:rFonts w:hint="eastAsia"/>
          <w:sz w:val="24"/>
        </w:rPr>
        <w:t>结论</w:t>
      </w:r>
      <w:r>
        <w:rPr>
          <w:sz w:val="24"/>
        </w:rPr>
        <w:tab/>
      </w:r>
      <w:r>
        <w:rPr>
          <w:sz w:val="24"/>
        </w:rPr>
        <w:fldChar w:fldCharType="begin"/>
      </w:r>
      <w:r>
        <w:rPr>
          <w:sz w:val="24"/>
        </w:rPr>
        <w:instrText xml:space="preserve"> PAGEREF _Toc41648553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7.1.1</w:t>
      </w:r>
      <w:r>
        <w:rPr>
          <w:rFonts w:hint="eastAsia"/>
          <w:sz w:val="24"/>
        </w:rPr>
        <w:t>废水</w:t>
      </w:r>
      <w:r>
        <w:rPr>
          <w:sz w:val="24"/>
        </w:rPr>
        <w:tab/>
      </w:r>
      <w:r>
        <w:rPr>
          <w:sz w:val="24"/>
        </w:rPr>
        <w:fldChar w:fldCharType="begin"/>
      </w:r>
      <w:r>
        <w:rPr>
          <w:sz w:val="24"/>
        </w:rPr>
        <w:instrText xml:space="preserve"> PAGEREF _Toc41648554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7.1.2</w:t>
      </w:r>
      <w:r>
        <w:rPr>
          <w:rFonts w:hint="eastAsia"/>
          <w:sz w:val="24"/>
        </w:rPr>
        <w:t>噪声</w:t>
      </w:r>
      <w:r>
        <w:rPr>
          <w:sz w:val="24"/>
        </w:rPr>
        <w:tab/>
      </w:r>
      <w:r>
        <w:rPr>
          <w:sz w:val="24"/>
        </w:rPr>
        <w:fldChar w:fldCharType="begin"/>
      </w:r>
      <w:r>
        <w:rPr>
          <w:sz w:val="24"/>
        </w:rPr>
        <w:instrText xml:space="preserve"> PAGEREF _Toc41648555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7.1.3</w:t>
      </w:r>
      <w:r>
        <w:rPr>
          <w:rFonts w:hint="eastAsia"/>
          <w:sz w:val="24"/>
        </w:rPr>
        <w:t>废气</w:t>
      </w:r>
      <w:r>
        <w:rPr>
          <w:sz w:val="24"/>
        </w:rPr>
        <w:tab/>
      </w:r>
      <w:r>
        <w:rPr>
          <w:sz w:val="24"/>
        </w:rPr>
        <w:fldChar w:fldCharType="begin"/>
      </w:r>
      <w:r>
        <w:rPr>
          <w:sz w:val="24"/>
        </w:rPr>
        <w:instrText xml:space="preserve"> PAGEREF _Toc41648556 \h </w:instrText>
      </w:r>
      <w:r>
        <w:rPr>
          <w:sz w:val="24"/>
        </w:rPr>
        <w:fldChar w:fldCharType="separate"/>
      </w:r>
      <w:r>
        <w:rPr>
          <w:sz w:val="24"/>
        </w:rPr>
        <w:t>3</w:t>
      </w:r>
      <w:r>
        <w:rPr>
          <w:sz w:val="24"/>
        </w:rPr>
        <w:fldChar w:fldCharType="end"/>
      </w:r>
    </w:p>
    <w:p>
      <w:pPr>
        <w:pStyle w:val="TOC3"/>
        <w:tabs>
          <w:tab w:val="right" w:leader="dot" w:pos="8296"/>
        </w:tabs>
        <w:spacing w:line="360" w:lineRule="auto"/>
        <w:rPr>
          <w:sz w:val="24"/>
        </w:rPr>
      </w:pPr>
      <w:r>
        <w:rPr>
          <w:sz w:val="24"/>
        </w:rPr>
        <w:t>7.1.4</w:t>
      </w:r>
      <w:r>
        <w:rPr>
          <w:rFonts w:hint="eastAsia"/>
          <w:sz w:val="24"/>
        </w:rPr>
        <w:t>固体废弃物</w:t>
      </w:r>
      <w:r>
        <w:rPr>
          <w:sz w:val="24"/>
        </w:rPr>
        <w:tab/>
      </w:r>
      <w:r>
        <w:rPr>
          <w:sz w:val="24"/>
        </w:rPr>
        <w:fldChar w:fldCharType="begin"/>
      </w:r>
      <w:r>
        <w:rPr>
          <w:sz w:val="24"/>
        </w:rPr>
        <w:instrText xml:space="preserve"> PAGEREF _Toc41648557 \h </w:instrText>
      </w:r>
      <w:r>
        <w:rPr>
          <w:sz w:val="24"/>
        </w:rPr>
        <w:fldChar w:fldCharType="separate"/>
      </w:r>
      <w:r>
        <w:rPr>
          <w:sz w:val="24"/>
        </w:rPr>
        <w:t>3</w:t>
      </w:r>
      <w:r>
        <w:rPr>
          <w:sz w:val="24"/>
        </w:rPr>
        <w:fldChar w:fldCharType="end"/>
      </w:r>
    </w:p>
    <w:p>
      <w:pPr>
        <w:pStyle w:val="TOC2"/>
        <w:tabs>
          <w:tab w:val="right" w:leader="dot" w:pos="8296"/>
        </w:tabs>
        <w:spacing w:line="360" w:lineRule="auto"/>
        <w:rPr>
          <w:sz w:val="24"/>
        </w:rPr>
      </w:pPr>
      <w:r>
        <w:rPr>
          <w:sz w:val="24"/>
        </w:rPr>
        <w:t>7.2</w:t>
      </w:r>
      <w:r>
        <w:rPr>
          <w:rFonts w:hint="eastAsia"/>
          <w:sz w:val="24"/>
        </w:rPr>
        <w:t>对策措施</w:t>
      </w:r>
      <w:r>
        <w:rPr>
          <w:sz w:val="24"/>
        </w:rPr>
        <w:tab/>
      </w:r>
      <w:r>
        <w:rPr>
          <w:sz w:val="24"/>
        </w:rPr>
        <w:fldChar w:fldCharType="begin"/>
      </w:r>
      <w:r>
        <w:rPr>
          <w:sz w:val="24"/>
        </w:rPr>
        <w:instrText xml:space="preserve"> PAGEREF _Toc41648558 \h </w:instrText>
      </w:r>
      <w:r>
        <w:rPr>
          <w:sz w:val="24"/>
        </w:rPr>
        <w:fldChar w:fldCharType="separate"/>
      </w:r>
      <w:r>
        <w:rPr>
          <w:sz w:val="24"/>
        </w:rPr>
        <w:t>3</w:t>
      </w:r>
      <w:r>
        <w:rPr>
          <w:sz w:val="24"/>
        </w:rPr>
        <w:fldChar w:fldCharType="end"/>
      </w:r>
    </w:p>
    <w:p>
      <w:pPr>
        <w:pStyle w:val="TOC2"/>
        <w:tabs>
          <w:tab w:val="right" w:leader="dot" w:pos="8296"/>
        </w:tabs>
        <w:spacing w:line="360" w:lineRule="auto"/>
        <w:rPr>
          <w:rFonts w:eastAsia="黑体"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eastAsia="黑体"/>
          <w:sz w:val="24"/>
        </w:rPr>
        <w:fldChar w:fldCharType="end"/>
      </w:r>
    </w:p>
    <w:p>
      <w:pPr>
        <w:pStyle w:val="Heading1"/>
        <w:rPr>
          <w:rFonts w:hint="eastAsia"/>
        </w:rPr>
      </w:pPr>
      <w:bookmarkStart w:id="1" w:name="_Toc41648492"/>
      <w:r>
        <w:rPr>
          <w:rFonts w:hint="eastAsia"/>
        </w:rPr>
        <w:t>第一章  总  论</w:t>
      </w:r>
      <w:bookmarkEnd w:id="1"/>
    </w:p>
    <w:p>
      <w:pPr>
        <w:pStyle w:val="Heading2"/>
        <w:rPr>
          <w:rFonts w:hint="eastAsia"/>
        </w:rPr>
      </w:pPr>
      <w:bookmarkStart w:id="2" w:name="_Toc41648493"/>
      <w:r>
        <w:t>1.1</w:t>
      </w:r>
      <w:r>
        <w:rPr>
          <w:rFonts w:hint="eastAsia"/>
          <w:lang w:eastAsia="zh-CN"/>
        </w:rPr>
        <w:t>相关项目</w:t>
      </w:r>
      <w:r>
        <w:rPr>
          <w:rFonts w:hint="eastAsia"/>
        </w:rPr>
        <w:t>由来</w:t>
      </w:r>
      <w:bookmarkEnd w:id="2"/>
    </w:p>
    <w:p>
      <w:pPr>
        <w:pStyle w:val="Normal0"/>
        <w:snapToGrid w:val="0"/>
        <w:spacing w:line="540" w:lineRule="exact"/>
        <w:ind w:firstLine="570"/>
        <w:rPr>
          <w:rFonts w:hint="eastAsia"/>
          <w:sz w:val="28"/>
        </w:rPr>
      </w:pPr>
      <w:r>
        <w:rPr>
          <w:rFonts w:hint="eastAsia"/>
          <w:sz w:val="28"/>
        </w:rPr>
        <w:t>杭州市梅家坞老村位于西湖西部，属西湖风景区名胜区地域，是梅家坞茶文化休闲旅游区的中心村落。村子四周青山环抱，茶树千亩，多条溪流纵横村内，自然山水风光得天独厚，老村基本上保持了茶乡山村的原有风貌。随着梅灵隧道的开通和梅灵路的改造，梅家坞区位条件大为改善，成为杭州市民节假休闲活动的地区之一，游客成倍增长，促进了当地的经济发展。但老村市政基础设施落后，环境污染严重；建筑密度极高，布局混乱，建筑质量参差不齐；沿路经营户建筑布局缺乏统一规划和</w:t>
      </w:r>
      <w:r>
        <w:rPr>
          <w:rFonts w:hint="eastAsia"/>
          <w:sz w:val="28"/>
          <w:lang w:eastAsia="zh-CN"/>
        </w:rPr>
        <w:t>管理管控</w:t>
      </w:r>
      <w:r>
        <w:rPr>
          <w:rFonts w:hint="eastAsia"/>
          <w:sz w:val="28"/>
        </w:rPr>
        <w:t>；交通矛盾日益突出；休闲空间及村内绿地严重不足等问题严重阻碍了梅家坞茶文化休闲旅游业的发展。因此，为了加快实施旅游西进战略，改善梅家坞的生态环境，促进经济建设和环境保护的可持续发展，梅家坞老村整治是非常必要的。根据《梅家坞老村整治详细规划》，本整治工程主要涉及完善给排水系统、完善道路功能系统及停车场、整修历史文物建筑、拆违及修补现有建筑、迁建部分农居点及完善公建配套设施等，该</w:t>
      </w:r>
      <w:r>
        <w:rPr>
          <w:rFonts w:hint="eastAsia"/>
          <w:sz w:val="28"/>
          <w:lang w:eastAsia="zh-CN"/>
        </w:rPr>
        <w:t>相关项目</w:t>
      </w:r>
      <w:r>
        <w:rPr>
          <w:rFonts w:hint="eastAsia"/>
          <w:sz w:val="28"/>
        </w:rPr>
        <w:t>总投资约为1000万元。</w:t>
      </w:r>
    </w:p>
    <w:p>
      <w:pPr>
        <w:pStyle w:val="Normal0"/>
        <w:snapToGrid w:val="0"/>
        <w:spacing w:line="540" w:lineRule="exact"/>
        <w:rPr>
          <w:rFonts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sz w:val="28"/>
        </w:rPr>
        <w:t xml:space="preserve">    </w:t>
      </w:r>
      <w:r>
        <w:rPr>
          <w:rFonts w:hint="eastAsia"/>
          <w:sz w:val="28"/>
        </w:rPr>
        <w:t>根据中华人民共和国国务院令第253号《建设</w:t>
      </w:r>
      <w:r>
        <w:rPr>
          <w:rFonts w:hint="eastAsia"/>
          <w:sz w:val="28"/>
          <w:lang w:eastAsia="zh-CN"/>
        </w:rPr>
        <w:t>相关项目</w:t>
      </w:r>
      <w:r>
        <w:rPr>
          <w:rFonts w:hint="eastAsia"/>
          <w:sz w:val="28"/>
        </w:rPr>
        <w:t>环境保护</w:t>
      </w:r>
      <w:r>
        <w:rPr>
          <w:rFonts w:hint="eastAsia"/>
          <w:sz w:val="28"/>
          <w:lang w:eastAsia="zh-CN"/>
        </w:rPr>
        <w:t>管理管控</w:t>
      </w:r>
      <w:r>
        <w:rPr>
          <w:rFonts w:hint="eastAsia"/>
          <w:sz w:val="28"/>
        </w:rPr>
        <w:t>条例》有关规定，建设</w:t>
      </w:r>
      <w:r>
        <w:rPr>
          <w:rFonts w:hint="eastAsia"/>
          <w:sz w:val="28"/>
          <w:lang w:eastAsia="zh-CN"/>
        </w:rPr>
        <w:t>相关项目</w:t>
      </w:r>
      <w:r>
        <w:rPr>
          <w:rFonts w:hint="eastAsia"/>
          <w:sz w:val="28"/>
        </w:rPr>
        <w:t>须履行环境影响评价制度。为此，杭州市梅家坞村委托浙江环龙环境保护公司承担该建设</w:t>
      </w:r>
      <w:r>
        <w:rPr>
          <w:rFonts w:hint="eastAsia"/>
          <w:sz w:val="28"/>
          <w:lang w:eastAsia="zh-CN"/>
        </w:rPr>
        <w:t>相关项目</w:t>
      </w:r>
      <w:r>
        <w:rPr>
          <w:rFonts w:hint="eastAsia"/>
          <w:sz w:val="28"/>
        </w:rPr>
        <w:t>的环境影响评价工作。浙江环龙环境保护公司接受任务后，在收集和分析资料的基础上，按照环评导则要求编制了本环境影响报告表。</w:t>
      </w:r>
    </w:p>
    <w:p>
      <w:pPr>
        <w:pStyle w:val="Heading2"/>
        <w:rPr>
          <w:rFonts w:hint="eastAsia"/>
        </w:rPr>
      </w:pPr>
      <w:bookmarkStart w:id="3" w:name="_Toc41648494"/>
      <w:bookmarkStart w:id="4" w:name="_Toc30146545"/>
      <w:r>
        <w:t>1.2</w:t>
      </w:r>
      <w:r>
        <w:rPr>
          <w:rFonts w:hint="eastAsia"/>
        </w:rPr>
        <w:t>编制依据</w:t>
      </w:r>
      <w:bookmarkEnd w:id="3"/>
      <w:bookmarkEnd w:id="4"/>
    </w:p>
    <w:p>
      <w:pPr>
        <w:pStyle w:val="Heading3"/>
        <w:rPr>
          <w:rFonts w:hint="eastAsia"/>
        </w:rPr>
      </w:pPr>
      <w:bookmarkStart w:id="5" w:name="_Toc41648495"/>
      <w:bookmarkStart w:id="6" w:name="_Toc30146546"/>
      <w:r>
        <w:rPr>
          <w:rFonts w:hint="eastAsia"/>
        </w:rPr>
        <w:t>1.2.1环保法规、文件</w:t>
      </w:r>
      <w:bookmarkEnd w:id="5"/>
      <w:bookmarkEnd w:id="6"/>
    </w:p>
    <w:p>
      <w:pPr>
        <w:pStyle w:val="Normal0"/>
        <w:snapToGrid w:val="0"/>
        <w:spacing w:line="560" w:lineRule="exact"/>
        <w:rPr>
          <w:rFonts w:hint="eastAsia"/>
          <w:sz w:val="28"/>
        </w:rPr>
      </w:pPr>
      <w:r>
        <w:rPr>
          <w:rFonts w:hint="eastAsia"/>
          <w:sz w:val="28"/>
        </w:rPr>
        <w:t>1、国务院令第253号，《建设</w:t>
      </w:r>
      <w:r>
        <w:rPr>
          <w:rFonts w:hint="eastAsia"/>
          <w:sz w:val="28"/>
          <w:lang w:eastAsia="zh-CN"/>
        </w:rPr>
        <w:t>相关项目</w:t>
      </w:r>
      <w:r>
        <w:rPr>
          <w:rFonts w:hint="eastAsia"/>
          <w:sz w:val="28"/>
        </w:rPr>
        <w:t>环境保护</w:t>
      </w:r>
      <w:r>
        <w:rPr>
          <w:rFonts w:hint="eastAsia"/>
          <w:sz w:val="28"/>
          <w:lang w:eastAsia="zh-CN"/>
        </w:rPr>
        <w:t>管理管控</w:t>
      </w:r>
      <w:r>
        <w:rPr>
          <w:rFonts w:hint="eastAsia"/>
          <w:sz w:val="28"/>
        </w:rPr>
        <w:t>条例》（</w:t>
      </w:r>
      <w:r>
        <w:rPr>
          <w:sz w:val="28"/>
        </w:rPr>
        <w:t>1998.11.29</w:t>
      </w:r>
      <w:r>
        <w:rPr>
          <w:rFonts w:hint="eastAsia"/>
          <w:sz w:val="28"/>
        </w:rPr>
        <w:t>）</w:t>
      </w:r>
    </w:p>
    <w:p>
      <w:pPr>
        <w:pStyle w:val="Normal0"/>
        <w:snapToGrid w:val="0"/>
        <w:spacing w:line="560" w:lineRule="exact"/>
        <w:rPr>
          <w:rFonts w:hint="eastAsia"/>
          <w:sz w:val="28"/>
        </w:rPr>
      </w:pPr>
      <w:r>
        <w:rPr>
          <w:rFonts w:hint="eastAsia"/>
          <w:sz w:val="28"/>
        </w:rPr>
        <w:t>2、《中华人民共和国环境保护法》（1989.12.26）</w:t>
      </w:r>
    </w:p>
    <w:p>
      <w:pPr>
        <w:pStyle w:val="Normal0"/>
        <w:snapToGrid w:val="0"/>
        <w:spacing w:line="560" w:lineRule="exact"/>
        <w:rPr>
          <w:rFonts w:hint="eastAsia"/>
          <w:sz w:val="28"/>
        </w:rPr>
      </w:pPr>
      <w:r>
        <w:rPr>
          <w:rFonts w:hint="eastAsia"/>
          <w:sz w:val="28"/>
        </w:rPr>
        <w:t>3、《中华人民共和国水污染防治法（修正）》（1996.5.15）</w:t>
      </w:r>
    </w:p>
    <w:p>
      <w:pPr>
        <w:pStyle w:val="Normal0"/>
        <w:snapToGrid w:val="0"/>
        <w:spacing w:line="560" w:lineRule="exact"/>
        <w:rPr>
          <w:rFonts w:hint="eastAsia"/>
          <w:sz w:val="28"/>
        </w:rPr>
      </w:pPr>
      <w:r>
        <w:rPr>
          <w:rFonts w:hint="eastAsia"/>
          <w:sz w:val="28"/>
        </w:rPr>
        <w:t>4、《中华人民共和国大气污染防治法（修正）》（1995.8.29）</w:t>
      </w:r>
    </w:p>
    <w:p>
      <w:pPr>
        <w:pStyle w:val="Normal0"/>
        <w:snapToGrid w:val="0"/>
        <w:spacing w:line="560" w:lineRule="exact"/>
        <w:rPr>
          <w:rFonts w:hint="eastAsia"/>
          <w:sz w:val="28"/>
        </w:rPr>
      </w:pPr>
      <w:r>
        <w:rPr>
          <w:rFonts w:hint="eastAsia"/>
          <w:sz w:val="28"/>
        </w:rPr>
        <w:t>5、《中华人民共和国噪声污染防治法》（1996.10.29）</w:t>
      </w:r>
    </w:p>
    <w:p>
      <w:pPr>
        <w:pStyle w:val="Normal0"/>
        <w:snapToGrid w:val="0"/>
        <w:spacing w:line="560" w:lineRule="exact"/>
        <w:rPr>
          <w:rFonts w:hint="eastAsia"/>
          <w:sz w:val="28"/>
        </w:rPr>
      </w:pPr>
      <w:r>
        <w:rPr>
          <w:rFonts w:hint="eastAsia"/>
          <w:sz w:val="28"/>
        </w:rPr>
        <w:t>6、浙江省环境保护局，浙环开[1999]第165号《建设</w:t>
      </w:r>
      <w:r>
        <w:rPr>
          <w:rFonts w:hint="eastAsia"/>
          <w:sz w:val="28"/>
          <w:lang w:eastAsia="zh-CN"/>
        </w:rPr>
        <w:t>相关项目</w:t>
      </w:r>
      <w:r>
        <w:rPr>
          <w:rFonts w:hint="eastAsia"/>
          <w:sz w:val="28"/>
        </w:rPr>
        <w:t>环境保护</w:t>
      </w:r>
      <w:r>
        <w:rPr>
          <w:rFonts w:hint="eastAsia"/>
          <w:sz w:val="28"/>
          <w:lang w:eastAsia="zh-CN"/>
        </w:rPr>
        <w:t>管理管控</w:t>
      </w:r>
      <w:r>
        <w:rPr>
          <w:rFonts w:hint="eastAsia"/>
          <w:sz w:val="28"/>
        </w:rPr>
        <w:t>条例实施意见》</w:t>
      </w:r>
    </w:p>
    <w:p>
      <w:pPr>
        <w:pStyle w:val="Normal0"/>
        <w:snapToGrid w:val="0"/>
        <w:spacing w:line="560" w:lineRule="exact"/>
        <w:rPr>
          <w:rFonts w:hint="eastAsia"/>
          <w:sz w:val="28"/>
        </w:rPr>
      </w:pPr>
      <w:r>
        <w:rPr>
          <w:rFonts w:hint="eastAsia"/>
          <w:sz w:val="28"/>
        </w:rPr>
        <w:t>7、国家环保总局《环境影响评价技术导则》（HJ/T2.1~2.3-93、HJ/T2.4-1995）</w:t>
      </w:r>
    </w:p>
    <w:p>
      <w:pPr>
        <w:pStyle w:val="Heading3"/>
        <w:rPr>
          <w:rFonts w:hint="eastAsia"/>
        </w:rPr>
      </w:pPr>
      <w:bookmarkStart w:id="7" w:name="_Toc41648496"/>
      <w:bookmarkStart w:id="8" w:name="_Toc30146547"/>
      <w:r>
        <w:rPr>
          <w:rFonts w:hint="eastAsia"/>
        </w:rPr>
        <w:t>1.2.2</w:t>
      </w:r>
      <w:r>
        <w:rPr>
          <w:rFonts w:hint="eastAsia"/>
          <w:lang w:eastAsia="zh-CN"/>
        </w:rPr>
        <w:t>相关项目</w:t>
      </w:r>
      <w:r>
        <w:rPr>
          <w:rFonts w:hint="eastAsia"/>
        </w:rPr>
        <w:t>依据</w:t>
      </w:r>
      <w:bookmarkEnd w:id="7"/>
      <w:bookmarkEnd w:id="8"/>
    </w:p>
    <w:p>
      <w:pPr>
        <w:pStyle w:val="Normal0"/>
        <w:snapToGrid w:val="0"/>
        <w:spacing w:line="560" w:lineRule="exact"/>
        <w:rPr>
          <w:rFonts w:hint="eastAsia"/>
          <w:sz w:val="28"/>
        </w:rPr>
      </w:pPr>
      <w:r>
        <w:rPr>
          <w:rFonts w:hint="eastAsia"/>
          <w:sz w:val="28"/>
        </w:rPr>
        <w:t>1、杭州市发展</w:t>
      </w:r>
      <w:r>
        <w:rPr>
          <w:rFonts w:hint="eastAsia"/>
          <w:sz w:val="28"/>
          <w:lang w:eastAsia="zh-CN"/>
        </w:rPr>
        <w:t>相关计划</w:t>
      </w:r>
      <w:r>
        <w:rPr>
          <w:rFonts w:hint="eastAsia"/>
          <w:sz w:val="28"/>
        </w:rPr>
        <w:t>委员会，杭计投资[2002]593号文，“关于梅家坞茶文化休闲旅游</w:t>
      </w:r>
      <w:r>
        <w:rPr>
          <w:rFonts w:hint="eastAsia"/>
          <w:sz w:val="28"/>
          <w:lang w:eastAsia="zh-CN"/>
        </w:rPr>
        <w:t>相关项目</w:t>
      </w:r>
      <w:r>
        <w:rPr>
          <w:rFonts w:hint="eastAsia"/>
          <w:sz w:val="28"/>
        </w:rPr>
        <w:t>建设</w:t>
      </w:r>
      <w:r>
        <w:rPr>
          <w:rFonts w:hint="eastAsia"/>
          <w:sz w:val="28"/>
          <w:lang w:eastAsia="zh-CN"/>
        </w:rPr>
        <w:t>相关计划</w:t>
      </w:r>
      <w:r>
        <w:rPr>
          <w:rFonts w:hint="eastAsia"/>
          <w:sz w:val="28"/>
        </w:rPr>
        <w:t>的批复”，2002年7月16日；</w:t>
      </w:r>
    </w:p>
    <w:p>
      <w:pPr>
        <w:pStyle w:val="Normal0"/>
        <w:snapToGrid w:val="0"/>
        <w:spacing w:line="560" w:lineRule="exact"/>
        <w:rPr>
          <w:rFonts w:hint="eastAsia"/>
          <w:sz w:val="28"/>
        </w:rPr>
      </w:pPr>
      <w:r>
        <w:rPr>
          <w:rFonts w:hint="eastAsia"/>
          <w:sz w:val="28"/>
        </w:rPr>
        <w:t>2、杭州市发展</w:t>
      </w:r>
      <w:r>
        <w:rPr>
          <w:rFonts w:hint="eastAsia"/>
          <w:sz w:val="28"/>
          <w:lang w:eastAsia="zh-CN"/>
        </w:rPr>
        <w:t>相关计划</w:t>
      </w:r>
      <w:r>
        <w:rPr>
          <w:rFonts w:hint="eastAsia"/>
          <w:sz w:val="28"/>
        </w:rPr>
        <w:t>委员会，杭计社会[2002]1031号文，“关于同意变更梅家坞茶文化休闲旅游</w:t>
      </w:r>
      <w:r>
        <w:rPr>
          <w:rFonts w:hint="eastAsia"/>
          <w:sz w:val="28"/>
          <w:lang w:eastAsia="zh-CN"/>
        </w:rPr>
        <w:t>相关项目</w:t>
      </w:r>
      <w:r>
        <w:rPr>
          <w:rFonts w:hint="eastAsia"/>
          <w:sz w:val="28"/>
        </w:rPr>
        <w:t>建设主体的复函”，2002年12月11日</w:t>
      </w:r>
    </w:p>
    <w:p>
      <w:pPr>
        <w:pStyle w:val="Normal0"/>
        <w:snapToGrid w:val="0"/>
        <w:spacing w:line="560" w:lineRule="exact"/>
        <w:rPr>
          <w:rFonts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sz w:val="28"/>
        </w:rPr>
        <w:t>3、杭州市规划局，2003年1月16日，关于杭州市西湖街道梅家坞建设用地的批准红线及规划设计条件：预审号为20030174，选址受理号为1120030077。</w:t>
      </w:r>
    </w:p>
    <w:p>
      <w:pPr>
        <w:pStyle w:val="Normal0"/>
        <w:snapToGrid w:val="0"/>
        <w:spacing w:line="560" w:lineRule="exact"/>
        <w:rPr>
          <w:rFonts w:hint="eastAsia"/>
          <w:sz w:val="28"/>
        </w:rPr>
      </w:pPr>
      <w:r>
        <w:rPr>
          <w:rFonts w:hint="eastAsia"/>
          <w:sz w:val="28"/>
        </w:rPr>
        <w:t>4、《梅家坞老村整治详细规划》，浙江省城乡规划设计研究院，2002年12月。</w:t>
      </w:r>
    </w:p>
    <w:p>
      <w:pPr>
        <w:pStyle w:val="Normal0"/>
        <w:tabs>
          <w:tab w:val="left" w:pos="720"/>
          <w:tab w:val="left" w:pos="6663"/>
        </w:tabs>
        <w:spacing w:line="440" w:lineRule="exact"/>
        <w:rPr>
          <w:rFonts w:hint="eastAsia"/>
          <w:color w:val="000000"/>
          <w:sz w:val="28"/>
        </w:rPr>
      </w:pPr>
      <w:r>
        <w:rPr>
          <w:rFonts w:hint="eastAsia"/>
          <w:sz w:val="28"/>
        </w:rPr>
        <w:t>5、《梅家坞老村整治</w:t>
      </w:r>
      <w:r>
        <w:rPr>
          <w:rFonts w:hint="eastAsia"/>
          <w:sz w:val="28"/>
          <w:lang w:eastAsia="zh-CN"/>
        </w:rPr>
        <w:t>相关项目</w:t>
      </w:r>
      <w:r>
        <w:rPr>
          <w:rFonts w:hint="eastAsia"/>
          <w:sz w:val="28"/>
        </w:rPr>
        <w:t>工程环境影响报告表</w:t>
      </w:r>
      <w:r>
        <w:rPr>
          <w:rFonts w:hint="eastAsia"/>
          <w:color w:val="000000"/>
          <w:sz w:val="28"/>
        </w:rPr>
        <w:t>》委托书</w:t>
      </w:r>
      <w:r>
        <w:rPr>
          <w:rFonts w:hint="eastAsia"/>
          <w:sz w:val="28"/>
        </w:rPr>
        <w:t>。</w:t>
      </w:r>
    </w:p>
    <w:p>
      <w:pPr>
        <w:pStyle w:val="Heading2"/>
        <w:rPr>
          <w:rFonts w:hint="eastAsia"/>
        </w:rPr>
      </w:pPr>
      <w:bookmarkStart w:id="9" w:name="_Toc41648497"/>
      <w:bookmarkStart w:id="10" w:name="_Toc30146548"/>
      <w:r>
        <w:t>1.3</w:t>
      </w:r>
      <w:r>
        <w:rPr>
          <w:rFonts w:hint="eastAsia"/>
        </w:rPr>
        <w:t>评价目的</w:t>
      </w:r>
      <w:bookmarkEnd w:id="9"/>
      <w:bookmarkEnd w:id="10"/>
    </w:p>
    <w:p>
      <w:pPr>
        <w:pStyle w:val="Normal0"/>
        <w:snapToGrid w:val="0"/>
        <w:spacing w:line="560" w:lineRule="exact"/>
        <w:rPr>
          <w:rFonts w:hint="eastAsia"/>
          <w:sz w:val="28"/>
        </w:rPr>
      </w:pPr>
      <w:r>
        <w:rPr>
          <w:rFonts w:hint="eastAsia"/>
          <w:sz w:val="28"/>
        </w:rPr>
        <w:t>1、通过对建设</w:t>
      </w:r>
      <w:r>
        <w:rPr>
          <w:rFonts w:hint="eastAsia"/>
          <w:sz w:val="28"/>
          <w:lang w:eastAsia="zh-CN"/>
        </w:rPr>
        <w:t>相关项目</w:t>
      </w:r>
      <w:r>
        <w:rPr>
          <w:rFonts w:hint="eastAsia"/>
          <w:sz w:val="28"/>
        </w:rPr>
        <w:t>所在地周围环境的调查及现状监测，了解建设</w:t>
      </w:r>
      <w:r>
        <w:rPr>
          <w:rFonts w:hint="eastAsia"/>
          <w:sz w:val="28"/>
          <w:lang w:eastAsia="zh-CN"/>
        </w:rPr>
        <w:t>相关项目</w:t>
      </w:r>
      <w:r>
        <w:rPr>
          <w:rFonts w:hint="eastAsia"/>
          <w:sz w:val="28"/>
        </w:rPr>
        <w:t>周围的环境质量现状。</w:t>
      </w:r>
    </w:p>
    <w:p>
      <w:pPr>
        <w:pStyle w:val="Normal0"/>
        <w:snapToGrid w:val="0"/>
        <w:spacing w:line="560" w:lineRule="exact"/>
        <w:rPr>
          <w:rFonts w:hint="eastAsia"/>
          <w:sz w:val="28"/>
        </w:rPr>
      </w:pPr>
      <w:r>
        <w:rPr>
          <w:rFonts w:hint="eastAsia"/>
          <w:sz w:val="28"/>
        </w:rPr>
        <w:t>2、针对</w:t>
      </w:r>
      <w:r>
        <w:rPr>
          <w:rFonts w:hint="eastAsia"/>
          <w:sz w:val="28"/>
          <w:lang w:eastAsia="zh-CN"/>
        </w:rPr>
        <w:t>相关项目</w:t>
      </w:r>
      <w:r>
        <w:rPr>
          <w:rFonts w:hint="eastAsia"/>
          <w:sz w:val="28"/>
        </w:rPr>
        <w:t>的性质，通过对建设</w:t>
      </w:r>
      <w:r>
        <w:rPr>
          <w:rFonts w:hint="eastAsia"/>
          <w:sz w:val="28"/>
          <w:lang w:eastAsia="zh-CN"/>
        </w:rPr>
        <w:t>相关项目</w:t>
      </w:r>
      <w:r>
        <w:rPr>
          <w:rFonts w:hint="eastAsia"/>
          <w:sz w:val="28"/>
        </w:rPr>
        <w:t>的工程分析以及同类型</w:t>
      </w:r>
      <w:r>
        <w:rPr>
          <w:rFonts w:hint="eastAsia"/>
          <w:sz w:val="28"/>
          <w:lang w:eastAsia="zh-CN"/>
        </w:rPr>
        <w:t>相关项目</w:t>
      </w:r>
      <w:r>
        <w:rPr>
          <w:rFonts w:hint="eastAsia"/>
          <w:sz w:val="28"/>
        </w:rPr>
        <w:t>的类比调研，搞清</w:t>
      </w:r>
      <w:r>
        <w:rPr>
          <w:rFonts w:hint="eastAsia"/>
          <w:sz w:val="28"/>
          <w:lang w:eastAsia="zh-CN"/>
        </w:rPr>
        <w:t>相关项目</w:t>
      </w:r>
      <w:r>
        <w:rPr>
          <w:rFonts w:hint="eastAsia"/>
          <w:sz w:val="28"/>
        </w:rPr>
        <w:t>的污染因子，确定</w:t>
      </w:r>
      <w:r>
        <w:rPr>
          <w:rFonts w:hint="eastAsia"/>
          <w:sz w:val="28"/>
          <w:lang w:eastAsia="zh-CN"/>
        </w:rPr>
        <w:t>相关项目</w:t>
      </w:r>
      <w:r>
        <w:rPr>
          <w:rFonts w:hint="eastAsia"/>
          <w:sz w:val="28"/>
        </w:rPr>
        <w:t>的污染源强。</w:t>
      </w:r>
    </w:p>
    <w:p>
      <w:pPr>
        <w:pStyle w:val="Normal0"/>
        <w:snapToGrid w:val="0"/>
        <w:spacing w:line="560" w:lineRule="exact"/>
        <w:rPr>
          <w:rFonts w:hint="eastAsia"/>
          <w:sz w:val="28"/>
        </w:rPr>
      </w:pPr>
      <w:r>
        <w:rPr>
          <w:rFonts w:hint="eastAsia"/>
          <w:sz w:val="28"/>
        </w:rPr>
        <w:t>3、在上述基础上进行</w:t>
      </w:r>
      <w:r>
        <w:rPr>
          <w:rFonts w:hint="eastAsia"/>
          <w:sz w:val="28"/>
          <w:lang w:eastAsia="zh-CN"/>
        </w:rPr>
        <w:t>相关项目</w:t>
      </w:r>
      <w:r>
        <w:rPr>
          <w:rFonts w:hint="eastAsia"/>
          <w:sz w:val="28"/>
        </w:rPr>
        <w:t>的环境影响分析，并提出切实可行的避免污染、减少污染和环境保护的污染防治措施。</w:t>
      </w:r>
    </w:p>
    <w:p>
      <w:pPr>
        <w:pStyle w:val="Normal0"/>
        <w:snapToGrid w:val="0"/>
        <w:spacing w:line="560" w:lineRule="exact"/>
        <w:rPr>
          <w:rFonts w:hint="eastAsia"/>
          <w:sz w:val="28"/>
        </w:rPr>
      </w:pPr>
      <w:r>
        <w:rPr>
          <w:rFonts w:hint="eastAsia"/>
          <w:sz w:val="28"/>
        </w:rPr>
        <w:t>4、从环境保护的角度论证</w:t>
      </w:r>
      <w:r>
        <w:rPr>
          <w:rFonts w:hint="eastAsia"/>
          <w:sz w:val="28"/>
          <w:lang w:eastAsia="zh-CN"/>
        </w:rPr>
        <w:t>相关项目</w:t>
      </w:r>
      <w:r>
        <w:rPr>
          <w:rFonts w:hint="eastAsia"/>
          <w:sz w:val="28"/>
        </w:rPr>
        <w:t>建设的可行性，为环保</w:t>
      </w:r>
      <w:r>
        <w:rPr>
          <w:rFonts w:hint="eastAsia"/>
          <w:sz w:val="28"/>
          <w:lang w:eastAsia="zh-CN"/>
        </w:rPr>
        <w:t>管理管控</w:t>
      </w:r>
      <w:r>
        <w:rPr>
          <w:rFonts w:hint="eastAsia"/>
          <w:sz w:val="28"/>
        </w:rPr>
        <w:t>部门决策和建设单位建设提供依据。</w:t>
      </w:r>
    </w:p>
    <w:p>
      <w:pPr>
        <w:pStyle w:val="Heading2"/>
        <w:rPr>
          <w:rFonts w:hint="eastAsia"/>
        </w:rPr>
      </w:pPr>
      <w:bookmarkStart w:id="11" w:name="_Toc30146549"/>
      <w:bookmarkStart w:id="12" w:name="_Toc41648498"/>
      <w:r>
        <w:t>1.4</w:t>
      </w:r>
      <w:r>
        <w:rPr>
          <w:rFonts w:hint="eastAsia"/>
        </w:rPr>
        <w:t>评价范围</w:t>
      </w:r>
      <w:bookmarkEnd w:id="11"/>
      <w:bookmarkEnd w:id="12"/>
    </w:p>
    <w:p>
      <w:pPr>
        <w:pStyle w:val="Normal0"/>
        <w:snapToGrid w:val="0"/>
        <w:spacing w:line="560" w:lineRule="exact"/>
        <w:rPr>
          <w:rFonts w:hint="eastAsia"/>
          <w:sz w:val="28"/>
        </w:rPr>
      </w:pPr>
      <w:r>
        <w:rPr>
          <w:rFonts w:hint="eastAsia"/>
          <w:sz w:val="28"/>
        </w:rPr>
        <w:t>1、废气：汽车废气及厨房油烟废气评价范围为建设区域各污染源发生点至排放口范围内。</w:t>
      </w:r>
    </w:p>
    <w:p>
      <w:pPr>
        <w:pStyle w:val="Normal0"/>
        <w:snapToGrid w:val="0"/>
        <w:spacing w:line="560" w:lineRule="exact"/>
        <w:rPr>
          <w:rFonts w:hint="eastAsia"/>
          <w:sz w:val="28"/>
        </w:rPr>
      </w:pPr>
      <w:r>
        <w:rPr>
          <w:rFonts w:hint="eastAsia"/>
          <w:sz w:val="28"/>
        </w:rPr>
        <w:t>2、废水：根据建设</w:t>
      </w:r>
      <w:r>
        <w:rPr>
          <w:rFonts w:hint="eastAsia"/>
          <w:sz w:val="28"/>
          <w:lang w:eastAsia="zh-CN"/>
        </w:rPr>
        <w:t>相关项目</w:t>
      </w:r>
      <w:r>
        <w:rPr>
          <w:rFonts w:hint="eastAsia"/>
          <w:sz w:val="28"/>
        </w:rPr>
        <w:t>建设</w:t>
      </w:r>
      <w:r>
        <w:rPr>
          <w:rFonts w:hint="eastAsia"/>
          <w:sz w:val="28"/>
          <w:lang w:eastAsia="zh-CN"/>
        </w:rPr>
        <w:t>合适的内容</w:t>
      </w:r>
      <w:r>
        <w:rPr>
          <w:rFonts w:hint="eastAsia"/>
          <w:sz w:val="28"/>
        </w:rPr>
        <w:t>进行用水量及废水排放量预测分析，评价范围为拟建区域至排放口。</w:t>
      </w:r>
    </w:p>
    <w:p>
      <w:pPr>
        <w:pStyle w:val="Normal0"/>
        <w:snapToGrid w:val="0"/>
        <w:spacing w:line="560" w:lineRule="exact"/>
        <w:rPr>
          <w:rFonts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hint="eastAsia"/>
          <w:sz w:val="28"/>
        </w:rPr>
        <w:t>3、噪声：拟建区域至厂界外1米。</w:t>
      </w:r>
    </w:p>
    <w:p>
      <w:pPr>
        <w:pStyle w:val="Heading2"/>
        <w:rPr>
          <w:rFonts w:hint="eastAsia"/>
        </w:rPr>
      </w:pPr>
      <w:bookmarkStart w:id="13" w:name="_Toc30146550"/>
      <w:bookmarkStart w:id="14" w:name="_Toc41648499"/>
      <w:r>
        <w:t>1.5</w:t>
      </w:r>
      <w:r>
        <w:rPr>
          <w:rFonts w:hint="eastAsia"/>
        </w:rPr>
        <w:t>采用标准</w:t>
      </w:r>
      <w:bookmarkEnd w:id="13"/>
      <w:bookmarkEnd w:id="14"/>
    </w:p>
    <w:p>
      <w:pPr>
        <w:pStyle w:val="Heading3"/>
        <w:rPr>
          <w:rFonts w:hint="eastAsia"/>
        </w:rPr>
      </w:pPr>
      <w:bookmarkStart w:id="15" w:name="_Toc41648500"/>
      <w:bookmarkStart w:id="16" w:name="_Toc30146551"/>
      <w:r>
        <w:t>1.5.1</w:t>
      </w:r>
      <w:r>
        <w:rPr>
          <w:rFonts w:hint="eastAsia"/>
        </w:rPr>
        <w:t>环境质量标准</w:t>
      </w:r>
      <w:bookmarkEnd w:id="15"/>
      <w:bookmarkEnd w:id="16"/>
    </w:p>
    <w:p>
      <w:pPr>
        <w:pStyle w:val="Normal0"/>
        <w:snapToGrid w:val="0"/>
        <w:spacing w:line="560" w:lineRule="exact"/>
        <w:outlineLvl w:val="0"/>
        <w:rPr>
          <w:rFonts w:hint="eastAsia"/>
          <w:sz w:val="28"/>
        </w:rPr>
      </w:pPr>
      <w:r>
        <w:rPr>
          <w:rFonts w:hint="eastAsia"/>
          <w:sz w:val="28"/>
        </w:rPr>
        <w:t>1、环境空气</w:t>
      </w:r>
    </w:p>
    <w:p>
      <w:pPr>
        <w:pStyle w:val="Normal0"/>
        <w:snapToGrid w:val="0"/>
        <w:spacing w:line="560" w:lineRule="exact"/>
        <w:rPr>
          <w:rFonts w:hint="eastAsia"/>
          <w:sz w:val="28"/>
        </w:rPr>
      </w:pPr>
      <w:r>
        <w:rPr>
          <w:rFonts w:hint="eastAsia"/>
          <w:sz w:val="28"/>
        </w:rPr>
        <w:t xml:space="preserve">    根据杭州市环境空气质量功能区划，该地块位于一类区，环境空气质量执行GB3095-1996《</w:t>
      </w:r>
      <w:r>
        <w:rPr>
          <w:sz w:val="28"/>
        </w:rPr>
        <w:t>环境</w:t>
      </w:r>
      <w:r>
        <w:rPr>
          <w:rFonts w:hint="eastAsia"/>
          <w:sz w:val="28"/>
        </w:rPr>
        <w:t>空气质量标准》中的一级标准。本评价采用的环境空气质量标准见下表1-1。</w:t>
      </w:r>
    </w:p>
    <w:p>
      <w:pPr>
        <w:pStyle w:val="Normal0"/>
        <w:snapToGrid w:val="0"/>
        <w:spacing w:line="560" w:lineRule="exact"/>
        <w:jc w:val="center"/>
        <w:rPr>
          <w:rFonts w:hint="eastAsia"/>
          <w:sz w:val="28"/>
        </w:rPr>
      </w:pPr>
      <w:r>
        <w:rPr>
          <w:rFonts w:hint="eastAsia"/>
          <w:sz w:val="28"/>
        </w:rPr>
        <w:t>表1-1  有关大气污染物环境质量标准</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72"/>
        <w:gridCol w:w="2328"/>
        <w:gridCol w:w="22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rFonts w:hint="eastAsia"/>
                <w:sz w:val="24"/>
              </w:rPr>
            </w:pPr>
            <w:r>
              <w:rPr>
                <w:rFonts w:hint="eastAsia"/>
                <w:sz w:val="24"/>
              </w:rPr>
              <w:t>污染物名称</w:t>
            </w:r>
          </w:p>
        </w:tc>
        <w:tc>
          <w:tcPr>
            <w:tcW w:w="2328" w:type="dxa"/>
            <w:vAlign w:val="center"/>
          </w:tcPr>
          <w:p>
            <w:pPr>
              <w:pStyle w:val="Normal0"/>
              <w:snapToGrid w:val="0"/>
              <w:jc w:val="center"/>
              <w:rPr>
                <w:rFonts w:hint="eastAsia"/>
                <w:sz w:val="24"/>
              </w:rPr>
            </w:pPr>
            <w:r>
              <w:rPr>
                <w:rFonts w:hint="eastAsia"/>
                <w:sz w:val="24"/>
              </w:rPr>
              <w:t>日 平 均</w:t>
            </w:r>
          </w:p>
        </w:tc>
        <w:tc>
          <w:tcPr>
            <w:tcW w:w="2256" w:type="dxa"/>
            <w:vAlign w:val="center"/>
          </w:tcPr>
          <w:p>
            <w:pPr>
              <w:pStyle w:val="Normal0"/>
              <w:snapToGrid w:val="0"/>
              <w:jc w:val="center"/>
              <w:rPr>
                <w:rFonts w:hint="eastAsia"/>
                <w:sz w:val="24"/>
              </w:rPr>
            </w:pPr>
            <w:r>
              <w:rPr>
                <w:rFonts w:hint="eastAsia"/>
                <w:sz w:val="24"/>
              </w:rPr>
              <w:t>一小时平均</w:t>
            </w:r>
          </w:p>
        </w:tc>
      </w:tr>
      <w:tr>
        <w:tblPrEx>
          <w:tblW w:w="0" w:type="auto"/>
          <w:jc w:val="center"/>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sz w:val="24"/>
              </w:rPr>
            </w:pPr>
            <w:r>
              <w:rPr>
                <w:rFonts w:hint="eastAsia"/>
                <w:sz w:val="24"/>
              </w:rPr>
              <w:t>CO</w:t>
            </w:r>
            <w:r>
              <w:rPr>
                <w:sz w:val="24"/>
              </w:rPr>
              <w:t>(mg/m</w:t>
            </w:r>
            <w:r>
              <w:rPr>
                <w:sz w:val="24"/>
                <w:vertAlign w:val="superscript"/>
              </w:rPr>
              <w:t>3</w:t>
            </w:r>
            <w:r>
              <w:rPr>
                <w:sz w:val="24"/>
              </w:rPr>
              <w:t>)</w:t>
            </w:r>
          </w:p>
        </w:tc>
        <w:tc>
          <w:tcPr>
            <w:tcW w:w="2328" w:type="dxa"/>
            <w:vAlign w:val="center"/>
          </w:tcPr>
          <w:p>
            <w:pPr>
              <w:pStyle w:val="Normal0"/>
              <w:snapToGrid w:val="0"/>
              <w:jc w:val="center"/>
              <w:rPr>
                <w:sz w:val="24"/>
              </w:rPr>
            </w:pPr>
            <w:r>
              <w:rPr>
                <w:sz w:val="24"/>
              </w:rPr>
              <w:t>4.00</w:t>
            </w:r>
          </w:p>
        </w:tc>
        <w:tc>
          <w:tcPr>
            <w:tcW w:w="2256" w:type="dxa"/>
            <w:vAlign w:val="center"/>
          </w:tcPr>
          <w:p>
            <w:pPr>
              <w:pStyle w:val="Normal0"/>
              <w:snapToGrid w:val="0"/>
              <w:jc w:val="center"/>
              <w:rPr>
                <w:sz w:val="24"/>
              </w:rPr>
            </w:pPr>
            <w:r>
              <w:rPr>
                <w:sz w:val="24"/>
              </w:rPr>
              <w:t>10.00</w:t>
            </w:r>
          </w:p>
        </w:tc>
      </w:tr>
      <w:tr>
        <w:tblPrEx>
          <w:tblW w:w="0" w:type="auto"/>
          <w:jc w:val="center"/>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sz w:val="24"/>
              </w:rPr>
            </w:pPr>
            <w:r>
              <w:rPr>
                <w:sz w:val="24"/>
              </w:rPr>
              <w:t>NO</w:t>
            </w:r>
            <w:r>
              <w:rPr>
                <w:sz w:val="24"/>
                <w:vertAlign w:val="subscript"/>
              </w:rPr>
              <w:t>2</w:t>
            </w:r>
            <w:r>
              <w:rPr>
                <w:sz w:val="24"/>
              </w:rPr>
              <w:t>(mg/m</w:t>
            </w:r>
            <w:r>
              <w:rPr>
                <w:sz w:val="24"/>
                <w:vertAlign w:val="superscript"/>
              </w:rPr>
              <w:t>3</w:t>
            </w:r>
            <w:r>
              <w:rPr>
                <w:sz w:val="24"/>
              </w:rPr>
              <w:t>)</w:t>
            </w:r>
          </w:p>
        </w:tc>
        <w:tc>
          <w:tcPr>
            <w:tcW w:w="2328" w:type="dxa"/>
            <w:vAlign w:val="center"/>
          </w:tcPr>
          <w:p>
            <w:pPr>
              <w:pStyle w:val="Normal0"/>
              <w:snapToGrid w:val="0"/>
              <w:jc w:val="center"/>
              <w:rPr>
                <w:rFonts w:hint="eastAsia"/>
                <w:sz w:val="24"/>
              </w:rPr>
            </w:pPr>
            <w:r>
              <w:rPr>
                <w:rFonts w:hint="eastAsia"/>
                <w:sz w:val="24"/>
              </w:rPr>
              <w:t>0.08</w:t>
            </w:r>
          </w:p>
        </w:tc>
        <w:tc>
          <w:tcPr>
            <w:tcW w:w="2256" w:type="dxa"/>
            <w:vAlign w:val="center"/>
          </w:tcPr>
          <w:p>
            <w:pPr>
              <w:pStyle w:val="Normal0"/>
              <w:snapToGrid w:val="0"/>
              <w:jc w:val="center"/>
              <w:rPr>
                <w:rFonts w:hint="eastAsia"/>
                <w:sz w:val="24"/>
              </w:rPr>
            </w:pPr>
            <w:r>
              <w:rPr>
                <w:rFonts w:hint="eastAsia"/>
                <w:sz w:val="24"/>
              </w:rPr>
              <w:t>0.12</w:t>
            </w:r>
          </w:p>
        </w:tc>
      </w:tr>
      <w:tr>
        <w:tblPrEx>
          <w:tblW w:w="0" w:type="auto"/>
          <w:jc w:val="center"/>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sz w:val="24"/>
              </w:rPr>
            </w:pPr>
            <w:r>
              <w:rPr>
                <w:sz w:val="24"/>
              </w:rPr>
              <w:t>H</w:t>
            </w:r>
            <w:r>
              <w:rPr>
                <w:rFonts w:hint="eastAsia"/>
                <w:sz w:val="24"/>
              </w:rPr>
              <w:t>C</w:t>
            </w:r>
            <w:r>
              <w:rPr>
                <w:sz w:val="24"/>
              </w:rPr>
              <w:t>(mg/m</w:t>
            </w:r>
            <w:r>
              <w:rPr>
                <w:sz w:val="24"/>
                <w:vertAlign w:val="superscript"/>
              </w:rPr>
              <w:t>3</w:t>
            </w:r>
            <w:r>
              <w:rPr>
                <w:sz w:val="24"/>
              </w:rPr>
              <w:t>)</w:t>
            </w:r>
          </w:p>
        </w:tc>
        <w:tc>
          <w:tcPr>
            <w:tcW w:w="2328" w:type="dxa"/>
            <w:vAlign w:val="center"/>
          </w:tcPr>
          <w:p>
            <w:pPr>
              <w:pStyle w:val="Normal0"/>
              <w:snapToGrid w:val="0"/>
              <w:jc w:val="center"/>
              <w:rPr>
                <w:sz w:val="24"/>
              </w:rPr>
            </w:pPr>
            <w:r>
              <w:rPr>
                <w:sz w:val="24"/>
              </w:rPr>
              <w:t>0.125</w:t>
            </w:r>
          </w:p>
        </w:tc>
        <w:tc>
          <w:tcPr>
            <w:tcW w:w="2256" w:type="dxa"/>
            <w:vAlign w:val="center"/>
          </w:tcPr>
          <w:p>
            <w:pPr>
              <w:pStyle w:val="Normal0"/>
              <w:snapToGrid w:val="0"/>
              <w:jc w:val="center"/>
              <w:rPr>
                <w:rFonts w:hint="eastAsia"/>
                <w:sz w:val="24"/>
              </w:rPr>
            </w:pPr>
            <w:r>
              <w:rPr>
                <w:rFonts w:hint="eastAsia"/>
                <w:sz w:val="24"/>
              </w:rPr>
              <w:t>/</w:t>
            </w:r>
          </w:p>
        </w:tc>
      </w:tr>
      <w:tr>
        <w:tblPrEx>
          <w:tblW w:w="0" w:type="auto"/>
          <w:jc w:val="center"/>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sz w:val="24"/>
              </w:rPr>
            </w:pPr>
            <w:r>
              <w:rPr>
                <w:sz w:val="24"/>
              </w:rPr>
              <w:t>SO</w:t>
            </w:r>
            <w:r>
              <w:rPr>
                <w:rFonts w:hint="eastAsia"/>
                <w:sz w:val="24"/>
                <w:vertAlign w:val="subscript"/>
              </w:rPr>
              <w:t>2</w:t>
            </w:r>
            <w:r>
              <w:rPr>
                <w:sz w:val="24"/>
              </w:rPr>
              <w:t xml:space="preserve"> (mg/m</w:t>
            </w:r>
            <w:r>
              <w:rPr>
                <w:sz w:val="24"/>
                <w:vertAlign w:val="superscript"/>
              </w:rPr>
              <w:t>3</w:t>
            </w:r>
            <w:r>
              <w:rPr>
                <w:sz w:val="24"/>
              </w:rPr>
              <w:t>)</w:t>
            </w:r>
          </w:p>
        </w:tc>
        <w:tc>
          <w:tcPr>
            <w:tcW w:w="2328" w:type="dxa"/>
            <w:vAlign w:val="center"/>
          </w:tcPr>
          <w:p>
            <w:pPr>
              <w:pStyle w:val="Normal0"/>
              <w:snapToGrid w:val="0"/>
              <w:jc w:val="center"/>
              <w:rPr>
                <w:rFonts w:hint="eastAsia"/>
                <w:sz w:val="24"/>
              </w:rPr>
            </w:pPr>
            <w:r>
              <w:rPr>
                <w:rFonts w:hint="eastAsia"/>
                <w:sz w:val="24"/>
              </w:rPr>
              <w:t>0.15</w:t>
            </w:r>
          </w:p>
        </w:tc>
        <w:tc>
          <w:tcPr>
            <w:tcW w:w="2256" w:type="dxa"/>
            <w:vAlign w:val="center"/>
          </w:tcPr>
          <w:p>
            <w:pPr>
              <w:pStyle w:val="Normal0"/>
              <w:snapToGrid w:val="0"/>
              <w:jc w:val="center"/>
              <w:rPr>
                <w:rFonts w:hint="eastAsia"/>
                <w:sz w:val="24"/>
              </w:rPr>
            </w:pPr>
            <w:r>
              <w:rPr>
                <w:rFonts w:hint="eastAsia"/>
                <w:sz w:val="24"/>
              </w:rPr>
              <w:t>0.5</w:t>
            </w:r>
          </w:p>
        </w:tc>
      </w:tr>
      <w:tr>
        <w:tblPrEx>
          <w:tblW w:w="0" w:type="auto"/>
          <w:jc w:val="center"/>
          <w:tblLayout w:type="fixed"/>
          <w:tblCellMar>
            <w:top w:w="0" w:type="dxa"/>
            <w:left w:w="108" w:type="dxa"/>
            <w:bottom w:w="0" w:type="dxa"/>
            <w:right w:w="108" w:type="dxa"/>
          </w:tblCellMar>
        </w:tblPrEx>
        <w:trPr>
          <w:trHeight w:hRule="exact" w:val="500"/>
          <w:jc w:val="center"/>
        </w:trPr>
        <w:tc>
          <w:tcPr>
            <w:tcW w:w="2372" w:type="dxa"/>
            <w:vAlign w:val="center"/>
          </w:tcPr>
          <w:p>
            <w:pPr>
              <w:pStyle w:val="Normal0"/>
              <w:snapToGrid w:val="0"/>
              <w:jc w:val="center"/>
              <w:rPr>
                <w:rFonts w:hint="eastAsia"/>
                <w:sz w:val="24"/>
              </w:rPr>
            </w:pPr>
            <w:r>
              <w:rPr>
                <w:rFonts w:hint="eastAsia"/>
                <w:sz w:val="24"/>
              </w:rPr>
              <w:t>TSP</w:t>
            </w:r>
            <w:r>
              <w:rPr>
                <w:sz w:val="24"/>
              </w:rPr>
              <w:t>(mg/m</w:t>
            </w:r>
            <w:r>
              <w:rPr>
                <w:sz w:val="24"/>
                <w:vertAlign w:val="superscript"/>
              </w:rPr>
              <w:t>3</w:t>
            </w:r>
            <w:r>
              <w:rPr>
                <w:sz w:val="24"/>
              </w:rPr>
              <w:t>)</w:t>
            </w:r>
          </w:p>
        </w:tc>
        <w:tc>
          <w:tcPr>
            <w:tcW w:w="2328" w:type="dxa"/>
            <w:vAlign w:val="center"/>
          </w:tcPr>
          <w:p>
            <w:pPr>
              <w:pStyle w:val="Normal0"/>
              <w:snapToGrid w:val="0"/>
              <w:jc w:val="center"/>
              <w:rPr>
                <w:rFonts w:hint="eastAsia"/>
                <w:sz w:val="24"/>
              </w:rPr>
            </w:pPr>
            <w:r>
              <w:rPr>
                <w:rFonts w:hint="eastAsia"/>
                <w:sz w:val="24"/>
              </w:rPr>
              <w:t>0.12</w:t>
            </w:r>
          </w:p>
        </w:tc>
        <w:tc>
          <w:tcPr>
            <w:tcW w:w="2256" w:type="dxa"/>
            <w:vAlign w:val="center"/>
          </w:tcPr>
          <w:p>
            <w:pPr>
              <w:pStyle w:val="Normal0"/>
              <w:snapToGrid w:val="0"/>
              <w:jc w:val="center"/>
              <w:rPr>
                <w:rFonts w:hint="eastAsia"/>
                <w:sz w:val="24"/>
              </w:rPr>
            </w:pPr>
            <w:r>
              <w:rPr>
                <w:rFonts w:hint="eastAsia"/>
                <w:sz w:val="24"/>
              </w:rPr>
              <w:t>/</w:t>
            </w:r>
          </w:p>
        </w:tc>
      </w:tr>
    </w:tbl>
    <w:p>
      <w:pPr>
        <w:pStyle w:val="Normal0"/>
        <w:snapToGrid w:val="0"/>
        <w:spacing w:line="360" w:lineRule="auto"/>
        <w:rPr>
          <w:rFonts w:hint="eastAsia"/>
        </w:rPr>
      </w:pPr>
      <w:r>
        <w:rPr>
          <w:rFonts w:hint="eastAsia"/>
        </w:rPr>
        <w:t xml:space="preserve">      注：HC以正戊烷计，HC目前国内尚无标准，本次评价采用美国标准（非甲烷烃）。</w:t>
      </w:r>
    </w:p>
    <w:p>
      <w:pPr>
        <w:pStyle w:val="Normal0"/>
        <w:snapToGrid w:val="0"/>
        <w:spacing w:line="360" w:lineRule="auto"/>
        <w:outlineLvl w:val="0"/>
        <w:rPr>
          <w:rFonts w:hint="eastAsia"/>
          <w:sz w:val="28"/>
        </w:rPr>
      </w:pPr>
    </w:p>
    <w:p>
      <w:pPr>
        <w:pStyle w:val="Normal0"/>
        <w:snapToGrid w:val="0"/>
        <w:spacing w:line="480" w:lineRule="auto"/>
        <w:outlineLvl w:val="0"/>
        <w:rPr>
          <w:rFonts w:hint="eastAsia"/>
          <w:sz w:val="28"/>
        </w:rPr>
      </w:pPr>
      <w:r>
        <w:rPr>
          <w:rFonts w:hint="eastAsia"/>
          <w:sz w:val="28"/>
        </w:rPr>
        <w:t>2、声环境</w:t>
      </w:r>
    </w:p>
    <w:p>
      <w:pPr>
        <w:pStyle w:val="Normal0"/>
        <w:snapToGrid w:val="0"/>
        <w:spacing w:line="480" w:lineRule="auto"/>
        <w:ind w:firstLine="570"/>
        <w:rPr>
          <w:rFonts w:hint="eastAsia"/>
          <w:sz w:val="28"/>
        </w:rPr>
      </w:pPr>
      <w:r>
        <w:rPr>
          <w:rFonts w:hint="eastAsia"/>
          <w:sz w:val="28"/>
        </w:rPr>
        <w:t>根据杭州市噪声功能区划分，拟区域声环境为1类区。故环境噪声执行GB3096-93《城市区域环境噪声标准》中的1类和4类标准，即：</w:t>
      </w:r>
    </w:p>
    <w:p>
      <w:pPr>
        <w:pStyle w:val="Normal0"/>
        <w:snapToGrid w:val="0"/>
        <w:spacing w:line="480" w:lineRule="auto"/>
        <w:ind w:left="850"/>
        <w:outlineLvl w:val="0"/>
        <w:rPr>
          <w:rFonts w:hint="eastAsia"/>
          <w:sz w:val="28"/>
        </w:rPr>
      </w:pPr>
      <w:r>
        <w:rPr>
          <w:rFonts w:hint="eastAsia"/>
          <w:sz w:val="28"/>
        </w:rPr>
        <w:t>1类    白天    55</w:t>
      </w:r>
      <w:r>
        <w:rPr>
          <w:sz w:val="28"/>
        </w:rPr>
        <w:t>dB（A</w:t>
      </w:r>
      <w:r>
        <w:rPr>
          <w:rFonts w:hint="eastAsia"/>
          <w:sz w:val="28"/>
        </w:rPr>
        <w:t>）</w:t>
      </w:r>
      <w:r>
        <w:rPr>
          <w:sz w:val="28"/>
        </w:rPr>
        <w:t xml:space="preserve">     </w:t>
      </w:r>
      <w:r>
        <w:rPr>
          <w:rFonts w:hint="eastAsia"/>
          <w:sz w:val="28"/>
        </w:rPr>
        <w:t>夜间    45</w:t>
      </w:r>
      <w:r>
        <w:rPr>
          <w:sz w:val="28"/>
        </w:rPr>
        <w:t>d</w:t>
      </w:r>
      <w:r>
        <w:rPr>
          <w:rFonts w:hint="eastAsia"/>
          <w:sz w:val="28"/>
        </w:rPr>
        <w:t>B</w:t>
      </w:r>
      <w:r>
        <w:rPr>
          <w:sz w:val="28"/>
        </w:rPr>
        <w:t>（A</w:t>
      </w:r>
      <w:r>
        <w:rPr>
          <w:rFonts w:hint="eastAsia"/>
          <w:sz w:val="28"/>
        </w:rPr>
        <w:t>）</w:t>
      </w:r>
    </w:p>
    <w:p>
      <w:pPr>
        <w:pStyle w:val="Normal0"/>
        <w:snapToGrid w:val="0"/>
        <w:spacing w:line="480" w:lineRule="auto"/>
        <w:ind w:left="850"/>
        <w:outlineLvl w:val="0"/>
        <w:rPr>
          <w:rFonts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sz w:val="28"/>
        </w:rPr>
        <w:t>4类    白天    70</w:t>
      </w:r>
      <w:r>
        <w:rPr>
          <w:sz w:val="28"/>
        </w:rPr>
        <w:t>dB（A</w:t>
      </w:r>
      <w:r>
        <w:rPr>
          <w:rFonts w:hint="eastAsia"/>
          <w:sz w:val="28"/>
        </w:rPr>
        <w:t>）</w:t>
      </w:r>
      <w:r>
        <w:rPr>
          <w:sz w:val="28"/>
        </w:rPr>
        <w:t xml:space="preserve">     </w:t>
      </w:r>
      <w:r>
        <w:rPr>
          <w:rFonts w:hint="eastAsia"/>
          <w:sz w:val="28"/>
        </w:rPr>
        <w:t>夜间    55</w:t>
      </w:r>
      <w:r>
        <w:rPr>
          <w:sz w:val="28"/>
        </w:rPr>
        <w:t>d</w:t>
      </w:r>
      <w:r>
        <w:rPr>
          <w:rFonts w:hint="eastAsia"/>
          <w:sz w:val="28"/>
        </w:rPr>
        <w:t>B</w:t>
      </w:r>
      <w:r>
        <w:rPr>
          <w:sz w:val="28"/>
        </w:rPr>
        <w:t>（A</w:t>
      </w:r>
      <w:r>
        <w:rPr>
          <w:rFonts w:hint="eastAsia"/>
          <w:sz w:val="28"/>
        </w:rPr>
        <w:t>）</w:t>
      </w:r>
    </w:p>
    <w:p>
      <w:pPr>
        <w:pStyle w:val="Heading3"/>
        <w:spacing w:line="480" w:lineRule="auto"/>
        <w:rPr>
          <w:rFonts w:hint="eastAsia"/>
        </w:rPr>
      </w:pPr>
      <w:bookmarkStart w:id="17" w:name="_Toc41648501"/>
      <w:bookmarkStart w:id="18" w:name="_Toc30146552"/>
      <w:r>
        <w:t>1.5.2</w:t>
      </w:r>
      <w:r>
        <w:rPr>
          <w:rFonts w:hint="eastAsia"/>
        </w:rPr>
        <w:t>污染物排放标准</w:t>
      </w:r>
      <w:bookmarkEnd w:id="17"/>
      <w:bookmarkEnd w:id="18"/>
    </w:p>
    <w:p>
      <w:pPr>
        <w:pStyle w:val="Normal0"/>
        <w:snapToGrid w:val="0"/>
        <w:spacing w:line="480" w:lineRule="auto"/>
        <w:rPr>
          <w:rFonts w:hint="eastAsia"/>
          <w:sz w:val="28"/>
        </w:rPr>
      </w:pPr>
      <w:r>
        <w:rPr>
          <w:rFonts w:hint="eastAsia"/>
          <w:sz w:val="28"/>
        </w:rPr>
        <w:t>1、餐饮油烟废气排放执行</w:t>
      </w:r>
      <w:r>
        <w:rPr>
          <w:sz w:val="28"/>
        </w:rPr>
        <w:t>GB</w:t>
      </w:r>
      <w:r>
        <w:rPr>
          <w:rFonts w:hint="eastAsia"/>
          <w:sz w:val="28"/>
        </w:rPr>
        <w:t>18483</w:t>
      </w:r>
      <w:r>
        <w:rPr>
          <w:sz w:val="28"/>
        </w:rPr>
        <w:t>—200</w:t>
      </w:r>
      <w:r>
        <w:rPr>
          <w:rFonts w:hint="eastAsia"/>
          <w:sz w:val="28"/>
        </w:rPr>
        <w:t>1</w:t>
      </w:r>
      <w:r>
        <w:rPr>
          <w:sz w:val="28"/>
        </w:rPr>
        <w:t>《</w:t>
      </w:r>
      <w:r>
        <w:rPr>
          <w:rFonts w:hint="eastAsia"/>
          <w:sz w:val="28"/>
        </w:rPr>
        <w:t>饮食业油烟排放标准</w:t>
      </w:r>
      <w:r>
        <w:rPr>
          <w:sz w:val="28"/>
        </w:rPr>
        <w:t>》</w:t>
      </w:r>
      <w:r>
        <w:rPr>
          <w:rFonts w:hint="eastAsia"/>
          <w:sz w:val="28"/>
        </w:rPr>
        <w:t>，标准中规定“饮食业单位油烟的最高允许排放浓度和油烟净化设施最低去除效率”，详见下表1-2。</w:t>
      </w:r>
    </w:p>
    <w:p>
      <w:pPr>
        <w:pStyle w:val="Normal0"/>
        <w:snapToGrid w:val="0"/>
        <w:spacing w:line="480" w:lineRule="auto"/>
        <w:rPr>
          <w:rFonts w:hint="eastAsia"/>
          <w:sz w:val="24"/>
        </w:rPr>
      </w:pPr>
    </w:p>
    <w:p>
      <w:pPr>
        <w:pStyle w:val="Normal0"/>
        <w:snapToGrid w:val="0"/>
        <w:spacing w:line="480" w:lineRule="auto"/>
        <w:rPr>
          <w:rFonts w:hint="eastAsia"/>
          <w:sz w:val="24"/>
        </w:rPr>
      </w:pPr>
    </w:p>
    <w:p>
      <w:pPr>
        <w:pStyle w:val="Normal0"/>
        <w:snapToGrid w:val="0"/>
        <w:spacing w:line="480" w:lineRule="auto"/>
        <w:rPr>
          <w:rFonts w:hint="eastAsia"/>
          <w:sz w:val="24"/>
        </w:rPr>
      </w:pPr>
    </w:p>
    <w:p>
      <w:pPr>
        <w:pStyle w:val="Normal0"/>
        <w:snapToGrid w:val="0"/>
        <w:spacing w:line="480" w:lineRule="auto"/>
        <w:rPr>
          <w:rFonts w:hint="eastAsia"/>
          <w:sz w:val="24"/>
        </w:rPr>
      </w:pPr>
      <w:r>
        <w:rPr>
          <w:rFonts w:hint="eastAsia"/>
          <w:sz w:val="24"/>
        </w:rPr>
        <w:t>表1-2 饮食业单位的油烟最高允许排放浓度和油烟净化设施最低去除效率</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348"/>
        <w:gridCol w:w="1620"/>
        <w:gridCol w:w="1620"/>
        <w:gridCol w:w="16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3348" w:type="dxa"/>
          </w:tcPr>
          <w:p>
            <w:pPr>
              <w:pStyle w:val="Normal0"/>
              <w:snapToGrid w:val="0"/>
              <w:jc w:val="center"/>
              <w:rPr>
                <w:rFonts w:hint="eastAsia"/>
                <w:sz w:val="24"/>
              </w:rPr>
            </w:pPr>
            <w:r>
              <w:rPr>
                <w:rFonts w:hint="eastAsia"/>
                <w:sz w:val="24"/>
              </w:rPr>
              <w:t>规</w:t>
            </w:r>
            <w:r>
              <w:rPr>
                <w:sz w:val="24"/>
              </w:rPr>
              <w:t xml:space="preserve">    </w:t>
            </w:r>
            <w:r>
              <w:rPr>
                <w:rFonts w:hint="eastAsia"/>
                <w:sz w:val="24"/>
              </w:rPr>
              <w:t>模</w:t>
            </w:r>
          </w:p>
        </w:tc>
        <w:tc>
          <w:tcPr>
            <w:tcW w:w="1620" w:type="dxa"/>
          </w:tcPr>
          <w:p>
            <w:pPr>
              <w:pStyle w:val="Normal0"/>
              <w:snapToGrid w:val="0"/>
              <w:jc w:val="center"/>
              <w:rPr>
                <w:rFonts w:hint="eastAsia"/>
                <w:sz w:val="24"/>
              </w:rPr>
            </w:pPr>
            <w:r>
              <w:rPr>
                <w:rFonts w:hint="eastAsia"/>
                <w:sz w:val="24"/>
              </w:rPr>
              <w:t>小</w:t>
            </w:r>
            <w:r>
              <w:rPr>
                <w:sz w:val="24"/>
              </w:rPr>
              <w:t xml:space="preserve">  </w:t>
            </w:r>
            <w:r>
              <w:rPr>
                <w:rFonts w:hint="eastAsia"/>
                <w:sz w:val="24"/>
              </w:rPr>
              <w:t>型</w:t>
            </w:r>
          </w:p>
        </w:tc>
        <w:tc>
          <w:tcPr>
            <w:tcW w:w="1620" w:type="dxa"/>
          </w:tcPr>
          <w:p>
            <w:pPr>
              <w:pStyle w:val="Normal0"/>
              <w:snapToGrid w:val="0"/>
              <w:jc w:val="center"/>
              <w:rPr>
                <w:rFonts w:hint="eastAsia"/>
                <w:sz w:val="24"/>
              </w:rPr>
            </w:pPr>
            <w:r>
              <w:rPr>
                <w:rFonts w:hint="eastAsia"/>
                <w:sz w:val="24"/>
              </w:rPr>
              <w:t>中</w:t>
            </w:r>
            <w:r>
              <w:rPr>
                <w:sz w:val="24"/>
              </w:rPr>
              <w:t xml:space="preserve">  </w:t>
            </w:r>
            <w:r>
              <w:rPr>
                <w:rFonts w:hint="eastAsia"/>
                <w:sz w:val="24"/>
              </w:rPr>
              <w:t>型</w:t>
            </w:r>
          </w:p>
        </w:tc>
        <w:tc>
          <w:tcPr>
            <w:tcW w:w="1620" w:type="dxa"/>
          </w:tcPr>
          <w:p>
            <w:pPr>
              <w:pStyle w:val="Normal0"/>
              <w:snapToGrid w:val="0"/>
              <w:jc w:val="center"/>
              <w:rPr>
                <w:rFonts w:hint="eastAsia"/>
                <w:sz w:val="24"/>
              </w:rPr>
            </w:pPr>
            <w:r>
              <w:rPr>
                <w:rFonts w:hint="eastAsia"/>
                <w:sz w:val="24"/>
              </w:rPr>
              <w:t>大</w:t>
            </w:r>
            <w:r>
              <w:rPr>
                <w:sz w:val="24"/>
              </w:rPr>
              <w:t xml:space="preserve">  </w:t>
            </w:r>
            <w:r>
              <w:rPr>
                <w:rFonts w:hint="eastAsia"/>
                <w:sz w:val="24"/>
              </w:rPr>
              <w:t>型</w:t>
            </w:r>
          </w:p>
        </w:tc>
      </w:tr>
      <w:tr>
        <w:tblPrEx>
          <w:tblW w:w="0" w:type="auto"/>
          <w:tblInd w:w="0" w:type="dxa"/>
          <w:tblLayout w:type="fixed"/>
          <w:tblCellMar>
            <w:top w:w="0" w:type="dxa"/>
            <w:left w:w="108" w:type="dxa"/>
            <w:bottom w:w="0" w:type="dxa"/>
            <w:right w:w="108" w:type="dxa"/>
          </w:tblCellMar>
        </w:tblPrEx>
        <w:trPr>
          <w:cantSplit/>
        </w:trPr>
        <w:tc>
          <w:tcPr>
            <w:tcW w:w="3348" w:type="dxa"/>
          </w:tcPr>
          <w:p>
            <w:pPr>
              <w:pStyle w:val="Normal0"/>
              <w:snapToGrid w:val="0"/>
              <w:jc w:val="center"/>
              <w:rPr>
                <w:rFonts w:hint="eastAsia"/>
                <w:sz w:val="24"/>
              </w:rPr>
            </w:pPr>
            <w:r>
              <w:rPr>
                <w:rFonts w:hint="eastAsia"/>
                <w:sz w:val="24"/>
              </w:rPr>
              <w:t>基 准 灶 头 数</w:t>
            </w:r>
          </w:p>
        </w:tc>
        <w:tc>
          <w:tcPr>
            <w:tcW w:w="1620" w:type="dxa"/>
          </w:tcPr>
          <w:p>
            <w:pPr>
              <w:pStyle w:val="Normal0"/>
              <w:snapToGrid w:val="0"/>
              <w:jc w:val="center"/>
              <w:rPr>
                <w:sz w:val="24"/>
              </w:rPr>
            </w:pPr>
            <w:r>
              <w:rPr>
                <w:rFonts w:ascii="宋体" w:hint="eastAsia"/>
                <w:sz w:val="24"/>
              </w:rPr>
              <w:t>≥1，&lt; 3</w:t>
            </w:r>
          </w:p>
        </w:tc>
        <w:tc>
          <w:tcPr>
            <w:tcW w:w="1620" w:type="dxa"/>
          </w:tcPr>
          <w:p>
            <w:pPr>
              <w:pStyle w:val="Normal0"/>
              <w:snapToGrid w:val="0"/>
              <w:jc w:val="center"/>
              <w:rPr>
                <w:sz w:val="24"/>
              </w:rPr>
            </w:pPr>
            <w:r>
              <w:rPr>
                <w:rFonts w:ascii="宋体" w:hint="eastAsia"/>
                <w:sz w:val="24"/>
              </w:rPr>
              <w:t>≥3，&lt; 6</w:t>
            </w:r>
          </w:p>
        </w:tc>
        <w:tc>
          <w:tcPr>
            <w:tcW w:w="1620" w:type="dxa"/>
          </w:tcPr>
          <w:p>
            <w:pPr>
              <w:pStyle w:val="Normal0"/>
              <w:snapToGrid w:val="0"/>
              <w:jc w:val="center"/>
              <w:rPr>
                <w:sz w:val="24"/>
              </w:rPr>
            </w:pPr>
            <w:r>
              <w:rPr>
                <w:rFonts w:ascii="宋体" w:hint="eastAsia"/>
                <w:sz w:val="24"/>
              </w:rPr>
              <w:t>≥6</w:t>
            </w:r>
          </w:p>
        </w:tc>
      </w:tr>
      <w:tr>
        <w:tblPrEx>
          <w:tblW w:w="0" w:type="auto"/>
          <w:tblInd w:w="0" w:type="dxa"/>
          <w:tblLayout w:type="fixed"/>
          <w:tblCellMar>
            <w:top w:w="0" w:type="dxa"/>
            <w:left w:w="108" w:type="dxa"/>
            <w:bottom w:w="0" w:type="dxa"/>
            <w:right w:w="108" w:type="dxa"/>
          </w:tblCellMar>
        </w:tblPrEx>
        <w:trPr>
          <w:cantSplit/>
        </w:trPr>
        <w:tc>
          <w:tcPr>
            <w:tcW w:w="3348" w:type="dxa"/>
          </w:tcPr>
          <w:p>
            <w:pPr>
              <w:pStyle w:val="Normal0"/>
              <w:snapToGrid w:val="0"/>
              <w:jc w:val="center"/>
              <w:rPr>
                <w:rFonts w:hint="eastAsia"/>
                <w:sz w:val="24"/>
              </w:rPr>
            </w:pPr>
            <w:r>
              <w:rPr>
                <w:rFonts w:hint="eastAsia"/>
                <w:sz w:val="24"/>
              </w:rPr>
              <w:t>最高允许排放浓度（</w:t>
            </w:r>
            <w:r>
              <w:rPr>
                <w:sz w:val="24"/>
              </w:rPr>
              <w:t>mg/m</w:t>
            </w:r>
            <w:r>
              <w:rPr>
                <w:sz w:val="24"/>
                <w:vertAlign w:val="superscript"/>
              </w:rPr>
              <w:t>3</w:t>
            </w:r>
            <w:r>
              <w:rPr>
                <w:rFonts w:hint="eastAsia"/>
                <w:sz w:val="24"/>
              </w:rPr>
              <w:t>）</w:t>
            </w:r>
          </w:p>
        </w:tc>
        <w:tc>
          <w:tcPr>
            <w:tcW w:w="4860" w:type="dxa"/>
            <w:gridSpan w:val="3"/>
          </w:tcPr>
          <w:p>
            <w:pPr>
              <w:pStyle w:val="Normal0"/>
              <w:snapToGrid w:val="0"/>
              <w:jc w:val="center"/>
              <w:rPr>
                <w:sz w:val="24"/>
              </w:rPr>
            </w:pPr>
            <w:r>
              <w:rPr>
                <w:sz w:val="24"/>
              </w:rPr>
              <w:t>2.0</w:t>
            </w:r>
          </w:p>
        </w:tc>
      </w:tr>
      <w:tr>
        <w:tblPrEx>
          <w:tblW w:w="0" w:type="auto"/>
          <w:tblInd w:w="0" w:type="dxa"/>
          <w:tblLayout w:type="fixed"/>
          <w:tblCellMar>
            <w:top w:w="0" w:type="dxa"/>
            <w:left w:w="108" w:type="dxa"/>
            <w:bottom w:w="0" w:type="dxa"/>
            <w:right w:w="108" w:type="dxa"/>
          </w:tblCellMar>
        </w:tblPrEx>
        <w:tc>
          <w:tcPr>
            <w:tcW w:w="3348" w:type="dxa"/>
          </w:tcPr>
          <w:p>
            <w:pPr>
              <w:pStyle w:val="Normal0"/>
              <w:snapToGrid w:val="0"/>
              <w:jc w:val="center"/>
              <w:rPr>
                <w:rFonts w:hint="eastAsia"/>
                <w:sz w:val="24"/>
              </w:rPr>
            </w:pPr>
            <w:r>
              <w:rPr>
                <w:rFonts w:hint="eastAsia"/>
                <w:sz w:val="24"/>
              </w:rPr>
              <w:t>净化设施最低去除效率（%）</w:t>
            </w:r>
          </w:p>
        </w:tc>
        <w:tc>
          <w:tcPr>
            <w:tcW w:w="1620" w:type="dxa"/>
          </w:tcPr>
          <w:p>
            <w:pPr>
              <w:pStyle w:val="Normal0"/>
              <w:snapToGrid w:val="0"/>
              <w:jc w:val="center"/>
              <w:rPr>
                <w:sz w:val="24"/>
              </w:rPr>
            </w:pPr>
            <w:r>
              <w:rPr>
                <w:sz w:val="24"/>
              </w:rPr>
              <w:t>60</w:t>
            </w:r>
          </w:p>
        </w:tc>
        <w:tc>
          <w:tcPr>
            <w:tcW w:w="1620" w:type="dxa"/>
          </w:tcPr>
          <w:p>
            <w:pPr>
              <w:pStyle w:val="Normal0"/>
              <w:snapToGrid w:val="0"/>
              <w:jc w:val="center"/>
              <w:rPr>
                <w:sz w:val="24"/>
              </w:rPr>
            </w:pPr>
            <w:r>
              <w:rPr>
                <w:sz w:val="24"/>
              </w:rPr>
              <w:t>75</w:t>
            </w:r>
          </w:p>
        </w:tc>
        <w:tc>
          <w:tcPr>
            <w:tcW w:w="1620" w:type="dxa"/>
          </w:tcPr>
          <w:p>
            <w:pPr>
              <w:pStyle w:val="Normal0"/>
              <w:snapToGrid w:val="0"/>
              <w:jc w:val="center"/>
              <w:rPr>
                <w:sz w:val="24"/>
              </w:rPr>
            </w:pPr>
            <w:r>
              <w:rPr>
                <w:sz w:val="24"/>
              </w:rPr>
              <w:t>85</w:t>
            </w:r>
          </w:p>
        </w:tc>
      </w:tr>
    </w:tbl>
    <w:p>
      <w:pPr>
        <w:pStyle w:val="Normal0"/>
        <w:snapToGrid w:val="0"/>
        <w:spacing w:line="360" w:lineRule="auto"/>
        <w:outlineLvl w:val="0"/>
        <w:rPr>
          <w:rFonts w:hint="eastAsia"/>
          <w:sz w:val="28"/>
        </w:rPr>
      </w:pPr>
      <w:r>
        <w:rPr>
          <w:rFonts w:hint="eastAsia"/>
        </w:rPr>
        <w:t xml:space="preserve">    在标准中5.1还规定“排放油烟的饮食业单位必须安装油烟净化设施，并保证操作期间按要求运行。油烟无组织排放视同超标。”</w:t>
      </w:r>
    </w:p>
    <w:p>
      <w:pPr>
        <w:pStyle w:val="Normal0"/>
        <w:snapToGrid w:val="0"/>
        <w:spacing w:line="560" w:lineRule="exact"/>
        <w:outlineLvl w:val="0"/>
        <w:rPr>
          <w:rFonts w:hint="eastAsia"/>
          <w:sz w:val="28"/>
        </w:rPr>
      </w:pPr>
      <w:r>
        <w:rPr>
          <w:rFonts w:hint="eastAsia"/>
          <w:sz w:val="28"/>
        </w:rPr>
        <w:t>2、噪声</w:t>
      </w:r>
    </w:p>
    <w:p>
      <w:pPr>
        <w:pStyle w:val="Normal0"/>
        <w:snapToGrid w:val="0"/>
        <w:spacing w:line="560" w:lineRule="exact"/>
        <w:outlineLvl w:val="0"/>
        <w:rPr>
          <w:rFonts w:hint="eastAsia"/>
          <w:sz w:val="28"/>
        </w:rPr>
      </w:pPr>
      <w:r>
        <w:rPr>
          <w:rFonts w:hint="eastAsia"/>
          <w:sz w:val="28"/>
        </w:rPr>
        <w:t>（1）、厂界噪声排放执行GB12348-90《工业企业厂界噪声标准》中的</w:t>
      </w:r>
      <w:r>
        <w:rPr>
          <w:rFonts w:ascii="宋体" w:hint="eastAsia"/>
          <w:sz w:val="28"/>
        </w:rPr>
        <w:t>Ⅰ类和Ⅳ</w:t>
      </w:r>
      <w:r>
        <w:rPr>
          <w:rFonts w:hint="eastAsia"/>
          <w:sz w:val="28"/>
        </w:rPr>
        <w:t>类标准，即</w:t>
      </w:r>
    </w:p>
    <w:p>
      <w:pPr>
        <w:pStyle w:val="Normal0"/>
        <w:snapToGrid w:val="0"/>
        <w:spacing w:line="560" w:lineRule="exact"/>
        <w:rPr>
          <w:rFonts w:hint="eastAsia"/>
          <w:sz w:val="28"/>
        </w:rPr>
      </w:pPr>
      <w:r>
        <w:rPr>
          <w:rFonts w:hint="eastAsia"/>
          <w:sz w:val="28"/>
        </w:rPr>
        <w:t xml:space="preserve">     </w:t>
      </w:r>
      <w:r>
        <w:rPr>
          <w:rFonts w:ascii="宋体" w:hint="eastAsia"/>
          <w:sz w:val="28"/>
        </w:rPr>
        <w:t>Ⅰ</w:t>
      </w:r>
      <w:r>
        <w:rPr>
          <w:rFonts w:hint="eastAsia"/>
          <w:sz w:val="28"/>
        </w:rPr>
        <w:t>类     白天55dB（A）     夜间45dB（A）</w:t>
      </w:r>
    </w:p>
    <w:p>
      <w:pPr>
        <w:pStyle w:val="Normal0"/>
        <w:snapToGrid w:val="0"/>
        <w:spacing w:line="560" w:lineRule="exact"/>
        <w:rPr>
          <w:rFonts w:hint="eastAsia"/>
          <w:sz w:val="28"/>
        </w:rPr>
      </w:pPr>
      <w:r>
        <w:rPr>
          <w:rFonts w:hint="eastAsia"/>
          <w:sz w:val="28"/>
        </w:rPr>
        <w:t xml:space="preserve">     </w:t>
      </w:r>
      <w:r>
        <w:rPr>
          <w:rFonts w:ascii="宋体" w:hint="eastAsia"/>
          <w:sz w:val="28"/>
        </w:rPr>
        <w:t>Ⅳ</w:t>
      </w:r>
      <w:r>
        <w:rPr>
          <w:rFonts w:hint="eastAsia"/>
          <w:sz w:val="28"/>
        </w:rPr>
        <w:t>类     白天70dB（A）     夜间55dB（A）</w:t>
      </w:r>
    </w:p>
    <w:p>
      <w:pPr>
        <w:pStyle w:val="Normal0"/>
        <w:snapToGrid w:val="0"/>
        <w:spacing w:line="560" w:lineRule="exact"/>
        <w:outlineLvl w:val="0"/>
        <w:rPr>
          <w:rFonts w:hint="eastAsia"/>
          <w:sz w:val="28"/>
        </w:rPr>
      </w:pPr>
      <w:r>
        <w:rPr>
          <w:rFonts w:hint="eastAsia"/>
          <w:sz w:val="28"/>
        </w:rPr>
        <w:t>（2）、建筑施工噪声排放执行GB12523-90《建筑施工场界噪声限值》，见下表1-3。</w:t>
      </w:r>
    </w:p>
    <w:p>
      <w:pPr>
        <w:pStyle w:val="Normal0"/>
        <w:rPr>
          <w:rFonts w:hint="eastAsia"/>
          <w:sz w:val="24"/>
        </w:rPr>
      </w:pPr>
    </w:p>
    <w:p>
      <w:pPr>
        <w:pStyle w:val="Normal0"/>
        <w:rPr>
          <w:sz w:val="24"/>
        </w:rPr>
      </w:pPr>
      <w:r>
        <w:rPr>
          <w:rFonts w:hint="eastAsia"/>
          <w:sz w:val="24"/>
        </w:rPr>
        <w:t xml:space="preserve">    表1-3  不同施工阶段作业噪声限值表  等效声级</w:t>
      </w:r>
      <w:r>
        <w:rPr>
          <w:sz w:val="24"/>
        </w:rPr>
        <w:t>Leq[dB(A)]</w:t>
      </w:r>
    </w:p>
    <w:tbl>
      <w:tblPr>
        <w:tblStyle w:val="TableNormal"/>
        <w:tblW w:w="0" w:type="auto"/>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10"/>
        <w:gridCol w:w="3666"/>
        <w:gridCol w:w="1128"/>
        <w:gridCol w:w="1222"/>
      </w:tblGrid>
      <w:tr>
        <w:tblPrEx>
          <w:tblW w:w="0" w:type="auto"/>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410" w:type="dxa"/>
            <w:vMerge w:val="restart"/>
            <w:vAlign w:val="center"/>
          </w:tcPr>
          <w:p>
            <w:pPr>
              <w:pStyle w:val="Normal0"/>
              <w:jc w:val="center"/>
              <w:rPr>
                <w:rFonts w:hint="eastAsia"/>
                <w:sz w:val="24"/>
              </w:rPr>
            </w:pPr>
            <w:r>
              <w:rPr>
                <w:rFonts w:hint="eastAsia"/>
                <w:sz w:val="24"/>
              </w:rPr>
              <w:t>施工阶段</w:t>
            </w:r>
          </w:p>
        </w:tc>
        <w:tc>
          <w:tcPr>
            <w:tcW w:w="3666" w:type="dxa"/>
            <w:vMerge w:val="restart"/>
            <w:vAlign w:val="center"/>
          </w:tcPr>
          <w:p>
            <w:pPr>
              <w:pStyle w:val="Normal0"/>
              <w:jc w:val="center"/>
              <w:rPr>
                <w:rFonts w:hint="eastAsia"/>
                <w:sz w:val="24"/>
              </w:rPr>
            </w:pPr>
            <w:r>
              <w:rPr>
                <w:rFonts w:hint="eastAsia"/>
                <w:sz w:val="24"/>
              </w:rPr>
              <w:t>主要噪声源</w:t>
            </w:r>
          </w:p>
        </w:tc>
        <w:tc>
          <w:tcPr>
            <w:tcW w:w="2350" w:type="dxa"/>
            <w:gridSpan w:val="2"/>
          </w:tcPr>
          <w:p>
            <w:pPr>
              <w:pStyle w:val="Normal0"/>
              <w:jc w:val="center"/>
              <w:rPr>
                <w:rFonts w:hint="eastAsia"/>
                <w:sz w:val="24"/>
              </w:rPr>
            </w:pPr>
            <w:r>
              <w:rPr>
                <w:rFonts w:hint="eastAsia"/>
                <w:sz w:val="24"/>
              </w:rPr>
              <w:t>噪声限值</w:t>
            </w:r>
          </w:p>
        </w:tc>
      </w:tr>
      <w:tr>
        <w:tblPrEx>
          <w:tblW w:w="0" w:type="auto"/>
          <w:tblInd w:w="390" w:type="dxa"/>
          <w:tblLayout w:type="fixed"/>
          <w:tblCellMar>
            <w:top w:w="0" w:type="dxa"/>
            <w:left w:w="108" w:type="dxa"/>
            <w:bottom w:w="0" w:type="dxa"/>
            <w:right w:w="108" w:type="dxa"/>
          </w:tblCellMar>
        </w:tblPrEx>
        <w:trPr>
          <w:cantSplit/>
        </w:trPr>
        <w:tc>
          <w:tcPr>
            <w:tcW w:w="1410" w:type="dxa"/>
            <w:vMerge/>
          </w:tcPr>
          <w:p>
            <w:pPr>
              <w:pStyle w:val="Normal0"/>
              <w:rPr>
                <w:rFonts w:hint="eastAsia"/>
                <w:sz w:val="24"/>
              </w:rPr>
            </w:pPr>
          </w:p>
        </w:tc>
        <w:tc>
          <w:tcPr>
            <w:tcW w:w="3666" w:type="dxa"/>
            <w:vMerge/>
          </w:tcPr>
          <w:p>
            <w:pPr>
              <w:pStyle w:val="Normal0"/>
              <w:rPr>
                <w:rFonts w:hint="eastAsia"/>
                <w:sz w:val="24"/>
              </w:rPr>
            </w:pPr>
          </w:p>
        </w:tc>
        <w:tc>
          <w:tcPr>
            <w:tcW w:w="1128" w:type="dxa"/>
          </w:tcPr>
          <w:p>
            <w:pPr>
              <w:pStyle w:val="Normal0"/>
              <w:jc w:val="center"/>
              <w:rPr>
                <w:rFonts w:hint="eastAsia"/>
                <w:sz w:val="24"/>
              </w:rPr>
            </w:pPr>
            <w:r>
              <w:rPr>
                <w:rFonts w:hint="eastAsia"/>
                <w:sz w:val="24"/>
              </w:rPr>
              <w:t>昼间</w:t>
            </w:r>
          </w:p>
        </w:tc>
        <w:tc>
          <w:tcPr>
            <w:tcW w:w="1222" w:type="dxa"/>
          </w:tcPr>
          <w:p>
            <w:pPr>
              <w:pStyle w:val="Normal0"/>
              <w:jc w:val="center"/>
              <w:rPr>
                <w:rFonts w:hint="eastAsia"/>
                <w:sz w:val="24"/>
              </w:rPr>
            </w:pPr>
            <w:r>
              <w:rPr>
                <w:rFonts w:hint="eastAsia"/>
                <w:sz w:val="24"/>
              </w:rPr>
              <w:t>夜间</w:t>
            </w:r>
          </w:p>
        </w:tc>
      </w:tr>
      <w:tr>
        <w:tblPrEx>
          <w:tblW w:w="0" w:type="auto"/>
          <w:tblInd w:w="390" w:type="dxa"/>
          <w:tblLayout w:type="fixed"/>
          <w:tblCellMar>
            <w:top w:w="0" w:type="dxa"/>
            <w:left w:w="108" w:type="dxa"/>
            <w:bottom w:w="0" w:type="dxa"/>
            <w:right w:w="108" w:type="dxa"/>
          </w:tblCellMar>
        </w:tblPrEx>
        <w:trPr>
          <w:cantSplit/>
        </w:trPr>
        <w:tc>
          <w:tcPr>
            <w:tcW w:w="1410" w:type="dxa"/>
          </w:tcPr>
          <w:p>
            <w:pPr>
              <w:pStyle w:val="Normal0"/>
              <w:rPr>
                <w:rFonts w:hint="eastAsia"/>
                <w:sz w:val="24"/>
              </w:rPr>
            </w:pPr>
            <w:r>
              <w:rPr>
                <w:rFonts w:hint="eastAsia"/>
                <w:sz w:val="24"/>
              </w:rPr>
              <w:t>土石方</w:t>
            </w:r>
          </w:p>
        </w:tc>
        <w:tc>
          <w:tcPr>
            <w:tcW w:w="3666" w:type="dxa"/>
          </w:tcPr>
          <w:p>
            <w:pPr>
              <w:pStyle w:val="Normal0"/>
              <w:rPr>
                <w:rFonts w:hint="eastAsia"/>
                <w:sz w:val="24"/>
              </w:rPr>
            </w:pPr>
            <w:r>
              <w:rPr>
                <w:rFonts w:hint="eastAsia"/>
                <w:sz w:val="24"/>
              </w:rPr>
              <w:t>推土机、挖掘机、装载机等</w:t>
            </w:r>
          </w:p>
        </w:tc>
        <w:tc>
          <w:tcPr>
            <w:tcW w:w="1128" w:type="dxa"/>
          </w:tcPr>
          <w:p>
            <w:pPr>
              <w:pStyle w:val="Normal0"/>
              <w:jc w:val="center"/>
              <w:rPr>
                <w:rFonts w:hint="eastAsia"/>
                <w:sz w:val="24"/>
              </w:rPr>
            </w:pPr>
            <w:r>
              <w:rPr>
                <w:rFonts w:hint="eastAsia"/>
                <w:sz w:val="24"/>
              </w:rPr>
              <w:t>75</w:t>
            </w:r>
          </w:p>
        </w:tc>
        <w:tc>
          <w:tcPr>
            <w:tcW w:w="1222" w:type="dxa"/>
          </w:tcPr>
          <w:p>
            <w:pPr>
              <w:pStyle w:val="Normal0"/>
              <w:jc w:val="center"/>
              <w:rPr>
                <w:rFonts w:hint="eastAsia"/>
                <w:sz w:val="24"/>
              </w:rPr>
            </w:pPr>
            <w:r>
              <w:rPr>
                <w:rFonts w:hint="eastAsia"/>
                <w:sz w:val="24"/>
              </w:rPr>
              <w:t>55</w:t>
            </w:r>
          </w:p>
        </w:tc>
      </w:tr>
      <w:tr>
        <w:tblPrEx>
          <w:tblW w:w="0" w:type="auto"/>
          <w:tblInd w:w="390" w:type="dxa"/>
          <w:tblLayout w:type="fixed"/>
          <w:tblCellMar>
            <w:top w:w="0" w:type="dxa"/>
            <w:left w:w="108" w:type="dxa"/>
            <w:bottom w:w="0" w:type="dxa"/>
            <w:right w:w="108" w:type="dxa"/>
          </w:tblCellMar>
        </w:tblPrEx>
        <w:trPr>
          <w:cantSplit/>
        </w:trPr>
        <w:tc>
          <w:tcPr>
            <w:tcW w:w="1410" w:type="dxa"/>
          </w:tcPr>
          <w:p>
            <w:pPr>
              <w:pStyle w:val="Normal0"/>
              <w:rPr>
                <w:rFonts w:hint="eastAsia"/>
                <w:sz w:val="24"/>
              </w:rPr>
            </w:pPr>
            <w:r>
              <w:rPr>
                <w:rFonts w:hint="eastAsia"/>
                <w:sz w:val="24"/>
              </w:rPr>
              <w:t>打桩</w:t>
            </w:r>
          </w:p>
        </w:tc>
        <w:tc>
          <w:tcPr>
            <w:tcW w:w="3666" w:type="dxa"/>
          </w:tcPr>
          <w:p>
            <w:pPr>
              <w:pStyle w:val="Normal0"/>
              <w:rPr>
                <w:rFonts w:hint="eastAsia"/>
                <w:sz w:val="24"/>
              </w:rPr>
            </w:pPr>
            <w:r>
              <w:rPr>
                <w:rFonts w:hint="eastAsia"/>
                <w:sz w:val="24"/>
              </w:rPr>
              <w:t>各种打桩机等</w:t>
            </w:r>
          </w:p>
        </w:tc>
        <w:tc>
          <w:tcPr>
            <w:tcW w:w="1128" w:type="dxa"/>
          </w:tcPr>
          <w:p>
            <w:pPr>
              <w:pStyle w:val="Normal0"/>
              <w:jc w:val="center"/>
              <w:rPr>
                <w:rFonts w:hint="eastAsia"/>
                <w:sz w:val="24"/>
              </w:rPr>
            </w:pPr>
            <w:r>
              <w:rPr>
                <w:rFonts w:hint="eastAsia"/>
                <w:sz w:val="24"/>
              </w:rPr>
              <w:t>85</w:t>
            </w:r>
          </w:p>
        </w:tc>
        <w:tc>
          <w:tcPr>
            <w:tcW w:w="1222" w:type="dxa"/>
          </w:tcPr>
          <w:p>
            <w:pPr>
              <w:pStyle w:val="Normal0"/>
              <w:jc w:val="center"/>
              <w:rPr>
                <w:rFonts w:hint="eastAsia"/>
                <w:sz w:val="24"/>
              </w:rPr>
            </w:pPr>
            <w:r>
              <w:rPr>
                <w:rFonts w:hint="eastAsia"/>
                <w:sz w:val="24"/>
              </w:rPr>
              <w:t>禁止施工</w:t>
            </w:r>
          </w:p>
        </w:tc>
      </w:tr>
      <w:tr>
        <w:tblPrEx>
          <w:tblW w:w="0" w:type="auto"/>
          <w:tblInd w:w="390" w:type="dxa"/>
          <w:tblLayout w:type="fixed"/>
          <w:tblCellMar>
            <w:top w:w="0" w:type="dxa"/>
            <w:left w:w="108" w:type="dxa"/>
            <w:bottom w:w="0" w:type="dxa"/>
            <w:right w:w="108" w:type="dxa"/>
          </w:tblCellMar>
        </w:tblPrEx>
        <w:trPr>
          <w:cantSplit/>
        </w:trPr>
        <w:tc>
          <w:tcPr>
            <w:tcW w:w="1410" w:type="dxa"/>
          </w:tcPr>
          <w:p>
            <w:pPr>
              <w:pStyle w:val="Normal0"/>
              <w:rPr>
                <w:rFonts w:hint="eastAsia"/>
                <w:sz w:val="24"/>
              </w:rPr>
            </w:pPr>
            <w:r>
              <w:rPr>
                <w:rFonts w:hint="eastAsia"/>
                <w:sz w:val="24"/>
              </w:rPr>
              <w:t>结构</w:t>
            </w:r>
          </w:p>
        </w:tc>
        <w:tc>
          <w:tcPr>
            <w:tcW w:w="3666" w:type="dxa"/>
          </w:tcPr>
          <w:p>
            <w:pPr>
              <w:pStyle w:val="Normal0"/>
              <w:rPr>
                <w:rFonts w:hint="eastAsia"/>
                <w:sz w:val="24"/>
              </w:rPr>
            </w:pPr>
            <w:r>
              <w:rPr>
                <w:rFonts w:hint="eastAsia"/>
                <w:sz w:val="24"/>
              </w:rPr>
              <w:t>混凝土搅拌机、振捣机、电锯等</w:t>
            </w:r>
          </w:p>
        </w:tc>
        <w:tc>
          <w:tcPr>
            <w:tcW w:w="1128" w:type="dxa"/>
          </w:tcPr>
          <w:p>
            <w:pPr>
              <w:pStyle w:val="Normal0"/>
              <w:jc w:val="center"/>
              <w:rPr>
                <w:rFonts w:hint="eastAsia"/>
                <w:sz w:val="24"/>
              </w:rPr>
            </w:pPr>
            <w:r>
              <w:rPr>
                <w:rFonts w:hint="eastAsia"/>
                <w:sz w:val="24"/>
              </w:rPr>
              <w:t>70</w:t>
            </w:r>
          </w:p>
        </w:tc>
        <w:tc>
          <w:tcPr>
            <w:tcW w:w="1222" w:type="dxa"/>
          </w:tcPr>
          <w:p>
            <w:pPr>
              <w:pStyle w:val="Normal0"/>
              <w:jc w:val="center"/>
              <w:rPr>
                <w:rFonts w:hint="eastAsia"/>
                <w:sz w:val="24"/>
              </w:rPr>
            </w:pPr>
            <w:r>
              <w:rPr>
                <w:rFonts w:hint="eastAsia"/>
                <w:sz w:val="24"/>
              </w:rPr>
              <w:t>55</w:t>
            </w:r>
          </w:p>
        </w:tc>
      </w:tr>
      <w:tr>
        <w:tblPrEx>
          <w:tblW w:w="0" w:type="auto"/>
          <w:tblInd w:w="390" w:type="dxa"/>
          <w:tblLayout w:type="fixed"/>
          <w:tblCellMar>
            <w:top w:w="0" w:type="dxa"/>
            <w:left w:w="108" w:type="dxa"/>
            <w:bottom w:w="0" w:type="dxa"/>
            <w:right w:w="108" w:type="dxa"/>
          </w:tblCellMar>
        </w:tblPrEx>
        <w:trPr>
          <w:cantSplit/>
        </w:trPr>
        <w:tc>
          <w:tcPr>
            <w:tcW w:w="1410" w:type="dxa"/>
          </w:tcPr>
          <w:p>
            <w:pPr>
              <w:pStyle w:val="Normal0"/>
              <w:rPr>
                <w:rFonts w:hint="eastAsia"/>
                <w:sz w:val="24"/>
              </w:rPr>
            </w:pPr>
            <w:r>
              <w:rPr>
                <w:rFonts w:hint="eastAsia"/>
                <w:sz w:val="24"/>
              </w:rPr>
              <w:t>装修</w:t>
            </w:r>
          </w:p>
        </w:tc>
        <w:tc>
          <w:tcPr>
            <w:tcW w:w="3666" w:type="dxa"/>
          </w:tcPr>
          <w:p>
            <w:pPr>
              <w:pStyle w:val="Normal0"/>
              <w:rPr>
                <w:rFonts w:hint="eastAsia"/>
                <w:sz w:val="24"/>
              </w:rPr>
            </w:pPr>
            <w:r>
              <w:rPr>
                <w:rFonts w:hint="eastAsia"/>
                <w:sz w:val="24"/>
              </w:rPr>
              <w:t>吊车、升降机等</w:t>
            </w:r>
          </w:p>
        </w:tc>
        <w:tc>
          <w:tcPr>
            <w:tcW w:w="1128" w:type="dxa"/>
          </w:tcPr>
          <w:p>
            <w:pPr>
              <w:pStyle w:val="Normal0"/>
              <w:jc w:val="center"/>
              <w:rPr>
                <w:rFonts w:hint="eastAsia"/>
                <w:sz w:val="24"/>
              </w:rPr>
            </w:pPr>
            <w:r>
              <w:rPr>
                <w:rFonts w:hint="eastAsia"/>
                <w:sz w:val="24"/>
              </w:rPr>
              <w:t>65</w:t>
            </w:r>
          </w:p>
        </w:tc>
        <w:tc>
          <w:tcPr>
            <w:tcW w:w="1222" w:type="dxa"/>
          </w:tcPr>
          <w:p>
            <w:pPr>
              <w:pStyle w:val="Normal0"/>
              <w:jc w:val="center"/>
              <w:rPr>
                <w:rFonts w:hint="eastAsia"/>
                <w:sz w:val="24"/>
              </w:rPr>
            </w:pPr>
            <w:r>
              <w:rPr>
                <w:rFonts w:hint="eastAsia"/>
                <w:sz w:val="24"/>
              </w:rPr>
              <w:t>55</w:t>
            </w:r>
          </w:p>
        </w:tc>
      </w:tr>
    </w:tbl>
    <w:p>
      <w:pPr>
        <w:sectPr>
          <w:type w:val="nextPage"/>
          <w:pgSz w:w="11906" w:h="16838"/>
          <w:pgMar w:top="1440" w:right="1800" w:bottom="1440" w:left="1800" w:header="851" w:footer="992" w:gutter="0"/>
          <w:pgNumType w:start="8"/>
          <w:cols w:num="1" w:space="425"/>
          <w:titlePg w:val="0"/>
          <w:docGrid w:type="lines" w:linePitch="312" w:charSpace="0"/>
        </w:sectPr>
      </w:pPr>
    </w:p>
    <w:p>
      <w:pPr>
        <w:pStyle w:val="Normal0"/>
        <w:snapToGrid w:val="0"/>
        <w:spacing w:line="560" w:lineRule="exact"/>
        <w:outlineLvl w:val="0"/>
        <w:rPr>
          <w:rFonts w:hint="eastAsia"/>
          <w:sz w:val="28"/>
        </w:rPr>
      </w:pPr>
      <w:r>
        <w:rPr>
          <w:rFonts w:hint="eastAsia"/>
          <w:sz w:val="28"/>
        </w:rPr>
        <w:t>3、废水</w:t>
      </w:r>
    </w:p>
    <w:p>
      <w:pPr>
        <w:pStyle w:val="Normal0"/>
        <w:snapToGrid w:val="0"/>
        <w:spacing w:line="500" w:lineRule="exact"/>
        <w:ind w:firstLine="573"/>
        <w:rPr>
          <w:rFonts w:hint="eastAsia"/>
          <w:sz w:val="28"/>
        </w:rPr>
      </w:pPr>
      <w:r>
        <w:rPr>
          <w:rFonts w:hint="eastAsia"/>
          <w:sz w:val="28"/>
        </w:rPr>
        <w:t>建设</w:t>
      </w:r>
      <w:r>
        <w:rPr>
          <w:rFonts w:hint="eastAsia"/>
          <w:sz w:val="28"/>
          <w:lang w:eastAsia="zh-CN"/>
        </w:rPr>
        <w:t>相关项目</w:t>
      </w:r>
      <w:r>
        <w:rPr>
          <w:rFonts w:hint="eastAsia"/>
          <w:sz w:val="28"/>
        </w:rPr>
        <w:t>位于梅家坞梅灵路两侧，在梅家坞新农居点南侧正在建设一座日处理量为480吨的污水处理站，该污水处理站将处理梅灵路两侧所有生活污水，污水经处理后达到CJ/T48-1999《生活杂用水水质标准》后再生回用，远期纳入市政污水管网。故梅家坞老村污水将全部排入梅家坞污水处理站，远期纳入市政污水管网。排入污水处理站污水管网的废水水质执行GB8978-1996《污水综合排放标准》中的三级标准。污染物最高允许排放浓度见下表1-4。</w:t>
      </w:r>
    </w:p>
    <w:p>
      <w:pPr>
        <w:pStyle w:val="Normal0"/>
        <w:snapToGrid w:val="0"/>
        <w:spacing w:line="500" w:lineRule="exact"/>
        <w:ind w:firstLine="573"/>
        <w:jc w:val="center"/>
        <w:rPr>
          <w:rFonts w:hint="eastAsia"/>
          <w:sz w:val="24"/>
        </w:rPr>
      </w:pPr>
    </w:p>
    <w:p>
      <w:pPr>
        <w:pStyle w:val="Normal0"/>
        <w:snapToGrid w:val="0"/>
        <w:spacing w:line="500" w:lineRule="exact"/>
        <w:ind w:firstLine="573"/>
        <w:jc w:val="center"/>
        <w:rPr>
          <w:sz w:val="24"/>
        </w:rPr>
      </w:pPr>
      <w:r>
        <w:rPr>
          <w:rFonts w:hint="eastAsia"/>
          <w:sz w:val="24"/>
        </w:rPr>
        <w:t xml:space="preserve">表1-4  生活杂用水水质标准    </w:t>
      </w:r>
      <w:r>
        <w:rPr>
          <w:rFonts w:hint="eastAsia"/>
        </w:rPr>
        <w:t>单位：</w:t>
      </w:r>
      <w:r>
        <w:t>mg/l</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54"/>
        <w:gridCol w:w="900"/>
        <w:gridCol w:w="1777"/>
        <w:gridCol w:w="131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54" w:type="dxa"/>
            <w:vAlign w:val="bottom"/>
          </w:tcPr>
          <w:p>
            <w:pPr>
              <w:pStyle w:val="Normal0"/>
              <w:snapToGrid w:val="0"/>
              <w:rPr>
                <w:rFonts w:hint="eastAsia"/>
                <w:sz w:val="24"/>
              </w:rPr>
            </w:pPr>
            <w:r>
              <w:rPr>
                <w:rFonts w:hint="eastAsia"/>
                <w:sz w:val="24"/>
                <w:lang w:eastAsia="zh-CN"/>
              </w:rPr>
              <w:t>相关项目</w:t>
            </w:r>
            <w:r>
              <w:rPr>
                <w:rFonts w:hint="eastAsia"/>
                <w:sz w:val="24"/>
              </w:rPr>
              <w:t>名称</w:t>
            </w:r>
          </w:p>
        </w:tc>
        <w:tc>
          <w:tcPr>
            <w:tcW w:w="900" w:type="dxa"/>
            <w:vAlign w:val="bottom"/>
          </w:tcPr>
          <w:p>
            <w:pPr>
              <w:pStyle w:val="Normal0"/>
              <w:snapToGrid w:val="0"/>
              <w:jc w:val="center"/>
              <w:rPr>
                <w:rFonts w:hint="eastAsia"/>
                <w:sz w:val="24"/>
              </w:rPr>
            </w:pPr>
            <w:r>
              <w:rPr>
                <w:sz w:val="24"/>
              </w:rPr>
              <w:t>p</w:t>
            </w:r>
            <w:r>
              <w:rPr>
                <w:rFonts w:hint="eastAsia"/>
                <w:sz w:val="24"/>
              </w:rPr>
              <w:t>H</w:t>
            </w:r>
          </w:p>
        </w:tc>
        <w:tc>
          <w:tcPr>
            <w:tcW w:w="1777" w:type="dxa"/>
            <w:vAlign w:val="bottom"/>
          </w:tcPr>
          <w:p>
            <w:pPr>
              <w:pStyle w:val="Normal0"/>
              <w:snapToGrid w:val="0"/>
              <w:jc w:val="center"/>
              <w:rPr>
                <w:sz w:val="24"/>
              </w:rPr>
            </w:pPr>
            <w:r>
              <w:rPr>
                <w:rFonts w:hint="eastAsia"/>
                <w:sz w:val="24"/>
              </w:rPr>
              <w:t>COD</w:t>
            </w:r>
            <w:r>
              <w:rPr>
                <w:sz w:val="24"/>
              </w:rPr>
              <w:t>cr(mg/l)</w:t>
            </w:r>
          </w:p>
        </w:tc>
        <w:tc>
          <w:tcPr>
            <w:tcW w:w="1316" w:type="dxa"/>
            <w:vAlign w:val="bottom"/>
          </w:tcPr>
          <w:p>
            <w:pPr>
              <w:pStyle w:val="Normal0"/>
              <w:snapToGrid w:val="0"/>
              <w:jc w:val="center"/>
              <w:rPr>
                <w:rFonts w:hint="eastAsia"/>
                <w:sz w:val="24"/>
              </w:rPr>
            </w:pPr>
            <w:r>
              <w:rPr>
                <w:rFonts w:hint="eastAsia"/>
                <w:sz w:val="24"/>
              </w:rPr>
              <w:t>SS</w:t>
            </w:r>
            <w:r>
              <w:rPr>
                <w:sz w:val="24"/>
              </w:rPr>
              <w:t>(mg/l)</w:t>
            </w:r>
          </w:p>
        </w:tc>
      </w:tr>
      <w:tr>
        <w:tblPrEx>
          <w:tblW w:w="0" w:type="auto"/>
          <w:jc w:val="center"/>
          <w:tblLayout w:type="fixed"/>
          <w:tblCellMar>
            <w:top w:w="0" w:type="dxa"/>
            <w:left w:w="108" w:type="dxa"/>
            <w:bottom w:w="0" w:type="dxa"/>
            <w:right w:w="108" w:type="dxa"/>
          </w:tblCellMar>
        </w:tblPrEx>
        <w:trPr>
          <w:jc w:val="center"/>
        </w:trPr>
        <w:tc>
          <w:tcPr>
            <w:tcW w:w="1354" w:type="dxa"/>
            <w:vAlign w:val="bottom"/>
          </w:tcPr>
          <w:p>
            <w:pPr>
              <w:pStyle w:val="Normal0"/>
              <w:snapToGrid w:val="0"/>
              <w:rPr>
                <w:rFonts w:hint="eastAsia"/>
                <w:sz w:val="24"/>
              </w:rPr>
            </w:pPr>
            <w:r>
              <w:rPr>
                <w:rFonts w:hint="eastAsia"/>
                <w:sz w:val="24"/>
              </w:rPr>
              <w:t>水质标准</w:t>
            </w:r>
          </w:p>
        </w:tc>
        <w:tc>
          <w:tcPr>
            <w:tcW w:w="900" w:type="dxa"/>
            <w:vAlign w:val="bottom"/>
          </w:tcPr>
          <w:p>
            <w:pPr>
              <w:pStyle w:val="Normal0"/>
              <w:snapToGrid w:val="0"/>
              <w:jc w:val="center"/>
              <w:rPr>
                <w:rFonts w:hint="eastAsia"/>
                <w:sz w:val="24"/>
              </w:rPr>
            </w:pPr>
            <w:r>
              <w:rPr>
                <w:rFonts w:hint="eastAsia"/>
                <w:sz w:val="24"/>
              </w:rPr>
              <w:t>6.5~9</w:t>
            </w:r>
          </w:p>
        </w:tc>
        <w:tc>
          <w:tcPr>
            <w:tcW w:w="1777" w:type="dxa"/>
            <w:vAlign w:val="bottom"/>
          </w:tcPr>
          <w:p>
            <w:pPr>
              <w:pStyle w:val="Normal0"/>
              <w:snapToGrid w:val="0"/>
              <w:jc w:val="center"/>
              <w:rPr>
                <w:rFonts w:hint="eastAsia"/>
                <w:sz w:val="24"/>
              </w:rPr>
            </w:pPr>
            <w:r>
              <w:rPr>
                <w:rFonts w:hint="eastAsia"/>
                <w:sz w:val="24"/>
              </w:rPr>
              <w:t>50</w:t>
            </w:r>
          </w:p>
        </w:tc>
        <w:tc>
          <w:tcPr>
            <w:tcW w:w="1316" w:type="dxa"/>
            <w:vAlign w:val="bottom"/>
          </w:tcPr>
          <w:p>
            <w:pPr>
              <w:pStyle w:val="Normal0"/>
              <w:snapToGrid w:val="0"/>
              <w:jc w:val="center"/>
              <w:rPr>
                <w:rFonts w:hint="eastAsia"/>
                <w:sz w:val="24"/>
              </w:rPr>
            </w:pPr>
            <w:r>
              <w:rPr>
                <w:rFonts w:hint="eastAsia"/>
                <w:sz w:val="24"/>
              </w:rPr>
              <w:t>30</w:t>
            </w:r>
          </w:p>
        </w:tc>
      </w:tr>
    </w:tbl>
    <w:p>
      <w:pPr>
        <w:pStyle w:val="Heading2"/>
      </w:pPr>
      <w:bookmarkStart w:id="19" w:name="_Toc30146553"/>
      <w:bookmarkStart w:id="20" w:name="_Toc41648502"/>
      <w:r>
        <w:t>1.6</w:t>
      </w:r>
      <w:r>
        <w:rPr>
          <w:rFonts w:hint="eastAsia"/>
        </w:rPr>
        <w:t>评价重点</w:t>
      </w:r>
      <w:bookmarkEnd w:id="19"/>
      <w:bookmarkEnd w:id="20"/>
    </w:p>
    <w:p>
      <w:pPr>
        <w:pStyle w:val="Normal0"/>
        <w:snapToGrid w:val="0"/>
        <w:spacing w:line="560" w:lineRule="exact"/>
        <w:rPr>
          <w:rFonts w:hint="eastAsia"/>
          <w:sz w:val="28"/>
        </w:rPr>
      </w:pPr>
      <w:r>
        <w:rPr>
          <w:rFonts w:hint="eastAsia"/>
          <w:sz w:val="28"/>
        </w:rPr>
        <w:t>1、废气：汽车废气及食堂油烟废气。</w:t>
      </w:r>
    </w:p>
    <w:p>
      <w:pPr>
        <w:pStyle w:val="Normal0"/>
        <w:snapToGrid w:val="0"/>
        <w:spacing w:line="560" w:lineRule="exact"/>
        <w:rPr>
          <w:rFonts w:hint="eastAsia"/>
          <w:sz w:val="28"/>
        </w:rPr>
      </w:pPr>
      <w:r>
        <w:rPr>
          <w:rFonts w:hint="eastAsia"/>
          <w:sz w:val="28"/>
        </w:rPr>
        <w:t>2、废水：农居、游客及住宿人员等产生的生活废水。</w:t>
      </w:r>
    </w:p>
    <w:p>
      <w:pPr>
        <w:pStyle w:val="Normal0"/>
        <w:snapToGrid w:val="0"/>
        <w:spacing w:line="560" w:lineRule="exact"/>
        <w:rPr>
          <w:rFonts w:hint="eastAsia"/>
          <w:sz w:val="28"/>
        </w:rPr>
      </w:pPr>
      <w:r>
        <w:rPr>
          <w:rFonts w:hint="eastAsia"/>
          <w:sz w:val="28"/>
        </w:rPr>
        <w:t>3、噪声：幼儿园厨房通风油烟机、菜市场噪声，以及建设期内施工噪声等。</w:t>
      </w:r>
    </w:p>
    <w:p>
      <w:pPr>
        <w:pStyle w:val="Heading2"/>
        <w:rPr>
          <w:rFonts w:hint="eastAsia"/>
        </w:rPr>
      </w:pPr>
      <w:bookmarkStart w:id="21" w:name="_Toc41648503"/>
      <w:bookmarkStart w:id="22" w:name="_Toc30146554"/>
      <w:r>
        <w:t>1.7</w:t>
      </w:r>
      <w:r>
        <w:rPr>
          <w:rFonts w:hint="eastAsia"/>
        </w:rPr>
        <w:t>保护目标</w:t>
      </w:r>
      <w:bookmarkEnd w:id="21"/>
      <w:bookmarkEnd w:id="22"/>
    </w:p>
    <w:p>
      <w:pPr>
        <w:pStyle w:val="Normal0"/>
        <w:snapToGrid w:val="0"/>
        <w:spacing w:line="560" w:lineRule="exact"/>
        <w:ind w:firstLine="570"/>
        <w:rPr>
          <w:rFonts w:hint="eastAsia"/>
          <w:sz w:val="28"/>
        </w:rPr>
      </w:pPr>
      <w:r>
        <w:rPr>
          <w:rFonts w:hint="eastAsia"/>
          <w:sz w:val="28"/>
        </w:rPr>
        <w:t>主要保护目标为建设区域老村及周围人群。</w:t>
      </w:r>
    </w:p>
    <w:p>
      <w:pPr>
        <w:pStyle w:val="Normal0"/>
        <w:snapToGrid w:val="0"/>
        <w:spacing w:line="540" w:lineRule="exact"/>
        <w:rPr>
          <w:rFonts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pStyle w:val="Heading1"/>
        <w:rPr>
          <w:rFonts w:hint="eastAsia"/>
        </w:rPr>
      </w:pPr>
      <w:bookmarkStart w:id="23" w:name="_Toc41648504"/>
      <w:r>
        <w:rPr>
          <w:rFonts w:hint="eastAsia"/>
        </w:rPr>
        <w:t>第二章  建设</w:t>
      </w:r>
      <w:r>
        <w:rPr>
          <w:rFonts w:hint="eastAsia"/>
          <w:lang w:eastAsia="zh-CN"/>
        </w:rPr>
        <w:t>相关项目</w:t>
      </w:r>
      <w:r>
        <w:rPr>
          <w:rFonts w:hint="eastAsia"/>
        </w:rPr>
        <w:t>及周围环境概况</w:t>
      </w:r>
      <w:bookmarkEnd w:id="23"/>
    </w:p>
    <w:p>
      <w:pPr>
        <w:pStyle w:val="Heading2"/>
        <w:rPr>
          <w:rFonts w:hint="eastAsia"/>
        </w:rPr>
      </w:pPr>
      <w:bookmarkStart w:id="24" w:name="_Toc41648505"/>
      <w:r>
        <w:t>2.1</w:t>
      </w:r>
      <w:r>
        <w:rPr>
          <w:rFonts w:hint="eastAsia"/>
        </w:rPr>
        <w:t>工程概况</w:t>
      </w:r>
      <w:bookmarkEnd w:id="24"/>
    </w:p>
    <w:p>
      <w:pPr>
        <w:pStyle w:val="Heading3"/>
        <w:rPr>
          <w:rFonts w:hint="eastAsia"/>
        </w:rPr>
      </w:pPr>
      <w:bookmarkStart w:id="25" w:name="_Toc41648506"/>
      <w:r>
        <w:rPr>
          <w:rFonts w:hint="eastAsia"/>
        </w:rPr>
        <w:t>2.1.1</w:t>
      </w:r>
      <w:r>
        <w:rPr>
          <w:rFonts w:hint="eastAsia"/>
          <w:lang w:eastAsia="zh-CN"/>
        </w:rPr>
        <w:t>相关项目</w:t>
      </w:r>
      <w:r>
        <w:rPr>
          <w:rFonts w:hint="eastAsia"/>
        </w:rPr>
        <w:t>名称</w:t>
      </w:r>
      <w:bookmarkEnd w:id="25"/>
    </w:p>
    <w:p>
      <w:pPr>
        <w:pStyle w:val="Normal0"/>
        <w:snapToGrid w:val="0"/>
        <w:spacing w:line="540" w:lineRule="exact"/>
        <w:rPr>
          <w:rFonts w:hint="eastAsia"/>
          <w:sz w:val="28"/>
        </w:rPr>
      </w:pPr>
      <w:r>
        <w:rPr>
          <w:rFonts w:hint="eastAsia"/>
          <w:sz w:val="28"/>
        </w:rPr>
        <w:t xml:space="preserve">    杭州市西湖街道梅家坞老村整治</w:t>
      </w:r>
      <w:r>
        <w:rPr>
          <w:rFonts w:hint="eastAsia"/>
          <w:sz w:val="28"/>
          <w:lang w:eastAsia="zh-CN"/>
        </w:rPr>
        <w:t>相关项目</w:t>
      </w:r>
      <w:r>
        <w:rPr>
          <w:rFonts w:ascii="宋体" w:hint="eastAsia"/>
          <w:sz w:val="28"/>
        </w:rPr>
        <w:t>。</w:t>
      </w:r>
    </w:p>
    <w:p>
      <w:pPr>
        <w:pStyle w:val="Heading3"/>
        <w:rPr>
          <w:rFonts w:hint="eastAsia"/>
        </w:rPr>
      </w:pPr>
      <w:bookmarkStart w:id="26" w:name="_Toc41648507"/>
      <w:r>
        <w:rPr>
          <w:rFonts w:hint="eastAsia"/>
        </w:rPr>
        <w:t>2.1.2建设地址</w:t>
      </w:r>
      <w:bookmarkEnd w:id="26"/>
    </w:p>
    <w:p>
      <w:pPr>
        <w:pStyle w:val="Normal0"/>
        <w:snapToGrid w:val="0"/>
        <w:spacing w:line="540" w:lineRule="exact"/>
        <w:rPr>
          <w:rFonts w:hint="eastAsia"/>
          <w:sz w:val="28"/>
        </w:rPr>
      </w:pPr>
      <w:r>
        <w:rPr>
          <w:rFonts w:hint="eastAsia"/>
          <w:sz w:val="28"/>
        </w:rPr>
        <w:t xml:space="preserve">    本</w:t>
      </w:r>
      <w:r>
        <w:rPr>
          <w:rFonts w:hint="eastAsia"/>
          <w:sz w:val="28"/>
          <w:lang w:eastAsia="zh-CN"/>
        </w:rPr>
        <w:t>相关项目</w:t>
      </w:r>
      <w:r>
        <w:rPr>
          <w:rFonts w:hint="eastAsia"/>
          <w:sz w:val="28"/>
        </w:rPr>
        <w:t>位于杭州市西湖区梅家坞村现址。详见地理位置图一。</w:t>
      </w:r>
    </w:p>
    <w:p>
      <w:pPr>
        <w:pStyle w:val="Heading3"/>
        <w:rPr>
          <w:rFonts w:hint="eastAsia"/>
          <w:lang w:eastAsia="zh-CN"/>
        </w:rPr>
      </w:pPr>
      <w:bookmarkStart w:id="27" w:name="_Toc41648508"/>
      <w:r>
        <w:rPr>
          <w:rFonts w:hint="eastAsia"/>
        </w:rPr>
        <w:t>2.1.3整治规模及</w:t>
      </w:r>
      <w:bookmarkEnd w:id="27"/>
      <w:r>
        <w:rPr>
          <w:rFonts w:hint="eastAsia"/>
          <w:lang w:eastAsia="zh-CN"/>
        </w:rPr>
        <w:t>合适的内容</w:t>
      </w:r>
    </w:p>
    <w:p>
      <w:pPr>
        <w:pStyle w:val="Normal0"/>
        <w:snapToGrid w:val="0"/>
        <w:spacing w:line="540" w:lineRule="exact"/>
        <w:rPr>
          <w:rFonts w:hint="eastAsia"/>
          <w:sz w:val="28"/>
        </w:rPr>
      </w:pPr>
      <w:r>
        <w:rPr>
          <w:rFonts w:hint="eastAsia"/>
          <w:sz w:val="28"/>
        </w:rPr>
        <w:t xml:space="preserve">    梅家坞老村整治详细规划北起老村（朱家岭）入口梅山茶苑，南至梅家坞村委会的整个村落范围，总用地面积约18.49平方米，农户415户。</w:t>
      </w:r>
    </w:p>
    <w:p>
      <w:pPr>
        <w:pStyle w:val="Normal0"/>
        <w:snapToGrid w:val="0"/>
        <w:spacing w:line="540" w:lineRule="exact"/>
        <w:rPr>
          <w:rFonts w:hint="eastAsia"/>
          <w:sz w:val="28"/>
        </w:rPr>
      </w:pPr>
      <w:r>
        <w:rPr>
          <w:rFonts w:hint="eastAsia"/>
          <w:sz w:val="28"/>
        </w:rPr>
        <w:t>1、用地及建筑物整治规划</w:t>
      </w:r>
    </w:p>
    <w:p>
      <w:pPr>
        <w:pStyle w:val="Normal0"/>
        <w:snapToGrid w:val="0"/>
        <w:spacing w:line="540" w:lineRule="exact"/>
        <w:rPr>
          <w:rFonts w:ascii="宋体" w:hint="eastAsia"/>
          <w:sz w:val="28"/>
        </w:rPr>
      </w:pPr>
      <w:r>
        <w:rPr>
          <w:rFonts w:ascii="宋体" w:hint="eastAsia"/>
          <w:sz w:val="28"/>
        </w:rPr>
        <w:t>①规划整治前后用地指标</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448"/>
        <w:gridCol w:w="1980"/>
        <w:gridCol w:w="216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jc w:val="center"/>
              <w:rPr>
                <w:rFonts w:ascii="宋体" w:hint="eastAsia"/>
                <w:sz w:val="24"/>
              </w:rPr>
            </w:pPr>
            <w:r>
              <w:rPr>
                <w:rFonts w:ascii="宋体" w:hint="eastAsia"/>
                <w:sz w:val="24"/>
              </w:rPr>
              <w:t>用地名称</w:t>
            </w:r>
          </w:p>
        </w:tc>
        <w:tc>
          <w:tcPr>
            <w:tcW w:w="1980" w:type="dxa"/>
            <w:vAlign w:val="center"/>
          </w:tcPr>
          <w:p>
            <w:pPr>
              <w:pStyle w:val="Normal0"/>
              <w:snapToGrid w:val="0"/>
              <w:spacing w:line="540" w:lineRule="exact"/>
              <w:jc w:val="center"/>
              <w:rPr>
                <w:rFonts w:ascii="宋体" w:hint="eastAsia"/>
                <w:sz w:val="24"/>
              </w:rPr>
            </w:pPr>
            <w:r>
              <w:rPr>
                <w:rFonts w:ascii="宋体" w:hint="eastAsia"/>
                <w:sz w:val="24"/>
              </w:rPr>
              <w:t>规划整治前</w:t>
            </w:r>
          </w:p>
          <w:p>
            <w:pPr>
              <w:pStyle w:val="Normal0"/>
              <w:snapToGrid w:val="0"/>
              <w:spacing w:line="540" w:lineRule="exact"/>
              <w:jc w:val="center"/>
              <w:rPr>
                <w:rFonts w:ascii="宋体" w:hint="eastAsia"/>
                <w:sz w:val="24"/>
              </w:rPr>
            </w:pPr>
            <w:r>
              <w:rPr>
                <w:rFonts w:ascii="宋体" w:hint="eastAsia"/>
                <w:sz w:val="24"/>
              </w:rPr>
              <w:t>用地指标</w:t>
            </w:r>
          </w:p>
        </w:tc>
        <w:tc>
          <w:tcPr>
            <w:tcW w:w="2160" w:type="dxa"/>
            <w:vAlign w:val="center"/>
          </w:tcPr>
          <w:p>
            <w:pPr>
              <w:pStyle w:val="Normal0"/>
              <w:snapToGrid w:val="0"/>
              <w:spacing w:line="540" w:lineRule="exact"/>
              <w:jc w:val="center"/>
              <w:rPr>
                <w:rFonts w:ascii="宋体" w:hint="eastAsia"/>
                <w:sz w:val="24"/>
              </w:rPr>
            </w:pPr>
            <w:r>
              <w:rPr>
                <w:rFonts w:ascii="宋体" w:hint="eastAsia"/>
                <w:sz w:val="24"/>
              </w:rPr>
              <w:t>规划整治后</w:t>
            </w:r>
          </w:p>
          <w:p>
            <w:pPr>
              <w:pStyle w:val="Normal0"/>
              <w:snapToGrid w:val="0"/>
              <w:spacing w:line="540" w:lineRule="exact"/>
              <w:jc w:val="center"/>
              <w:rPr>
                <w:rFonts w:ascii="宋体" w:hint="eastAsia"/>
                <w:sz w:val="24"/>
              </w:rPr>
            </w:pPr>
            <w:r>
              <w:rPr>
                <w:rFonts w:ascii="宋体" w:hint="eastAsia"/>
                <w:sz w:val="24"/>
              </w:rPr>
              <w:t>用地指标</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hint="eastAsia"/>
                <w:sz w:val="24"/>
              </w:rPr>
            </w:pPr>
            <w:r>
              <w:rPr>
                <w:rFonts w:hint="eastAsia"/>
                <w:sz w:val="24"/>
              </w:rPr>
              <w:t>1、农居总建筑面积</w:t>
            </w:r>
          </w:p>
        </w:tc>
        <w:tc>
          <w:tcPr>
            <w:tcW w:w="1980" w:type="dxa"/>
            <w:vAlign w:val="center"/>
          </w:tcPr>
          <w:p>
            <w:pPr>
              <w:pStyle w:val="Normal0"/>
              <w:snapToGrid w:val="0"/>
              <w:spacing w:line="540" w:lineRule="exact"/>
              <w:jc w:val="center"/>
              <w:rPr>
                <w:sz w:val="24"/>
              </w:rPr>
            </w:pPr>
            <w:r>
              <w:rPr>
                <w:rFonts w:hint="eastAsia"/>
                <w:sz w:val="24"/>
              </w:rPr>
              <w:t>100705.15</w:t>
            </w:r>
            <w:r>
              <w:rPr>
                <w:sz w:val="24"/>
              </w:rPr>
              <w:t xml:space="preserve"> m</w:t>
            </w:r>
            <w:r>
              <w:rPr>
                <w:sz w:val="24"/>
                <w:vertAlign w:val="superscript"/>
              </w:rPr>
              <w:t>2</w:t>
            </w:r>
          </w:p>
        </w:tc>
        <w:tc>
          <w:tcPr>
            <w:tcW w:w="2160" w:type="dxa"/>
            <w:vAlign w:val="center"/>
          </w:tcPr>
          <w:p>
            <w:pPr>
              <w:pStyle w:val="Normal0"/>
              <w:snapToGrid w:val="0"/>
              <w:spacing w:line="540" w:lineRule="exact"/>
              <w:jc w:val="center"/>
              <w:rPr>
                <w:sz w:val="24"/>
              </w:rPr>
            </w:pPr>
            <w:r>
              <w:rPr>
                <w:sz w:val="24"/>
              </w:rPr>
              <w:t>83269.7 m</w:t>
            </w:r>
            <w:r>
              <w:rPr>
                <w:sz w:val="24"/>
                <w:vertAlign w:val="superscript"/>
              </w:rPr>
              <w:t>2</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hint="eastAsia"/>
                <w:sz w:val="24"/>
              </w:rPr>
            </w:pPr>
            <w:r>
              <w:rPr>
                <w:rFonts w:hint="eastAsia"/>
                <w:sz w:val="24"/>
              </w:rPr>
              <w:t>农居总占地面积</w:t>
            </w:r>
          </w:p>
        </w:tc>
        <w:tc>
          <w:tcPr>
            <w:tcW w:w="1980" w:type="dxa"/>
            <w:vAlign w:val="center"/>
          </w:tcPr>
          <w:p>
            <w:pPr>
              <w:pStyle w:val="Normal0"/>
              <w:snapToGrid w:val="0"/>
              <w:spacing w:line="540" w:lineRule="exact"/>
              <w:jc w:val="center"/>
              <w:rPr>
                <w:sz w:val="24"/>
              </w:rPr>
            </w:pPr>
            <w:r>
              <w:rPr>
                <w:sz w:val="24"/>
              </w:rPr>
              <w:t>59597.5</w:t>
            </w:r>
            <w:r>
              <w:rPr>
                <w:rFonts w:ascii="宋体"/>
                <w:sz w:val="24"/>
              </w:rPr>
              <w:t xml:space="preserve"> </w:t>
            </w:r>
            <w:r>
              <w:rPr>
                <w:sz w:val="24"/>
              </w:rPr>
              <w:t>m</w:t>
            </w:r>
            <w:r>
              <w:rPr>
                <w:sz w:val="24"/>
                <w:vertAlign w:val="superscript"/>
              </w:rPr>
              <w:t>2</w:t>
            </w:r>
          </w:p>
        </w:tc>
        <w:tc>
          <w:tcPr>
            <w:tcW w:w="2160" w:type="dxa"/>
            <w:vAlign w:val="center"/>
          </w:tcPr>
          <w:p>
            <w:pPr>
              <w:pStyle w:val="Normal0"/>
              <w:snapToGrid w:val="0"/>
              <w:spacing w:line="540" w:lineRule="exact"/>
              <w:jc w:val="center"/>
              <w:rPr>
                <w:sz w:val="24"/>
              </w:rPr>
            </w:pPr>
            <w:r>
              <w:rPr>
                <w:sz w:val="24"/>
              </w:rPr>
              <w:t>48604.84 m</w:t>
            </w:r>
            <w:r>
              <w:rPr>
                <w:sz w:val="24"/>
                <w:vertAlign w:val="superscript"/>
              </w:rPr>
              <w:t>2</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hint="eastAsia"/>
                <w:sz w:val="24"/>
              </w:rPr>
            </w:pPr>
            <w:r>
              <w:rPr>
                <w:rFonts w:hint="eastAsia"/>
                <w:sz w:val="24"/>
              </w:rPr>
              <w:t>2、公共建筑面积</w:t>
            </w:r>
          </w:p>
        </w:tc>
        <w:tc>
          <w:tcPr>
            <w:tcW w:w="1980" w:type="dxa"/>
            <w:vAlign w:val="center"/>
          </w:tcPr>
          <w:p>
            <w:pPr>
              <w:pStyle w:val="Normal0"/>
              <w:snapToGrid w:val="0"/>
              <w:spacing w:line="540" w:lineRule="exact"/>
              <w:jc w:val="center"/>
              <w:rPr>
                <w:sz w:val="24"/>
              </w:rPr>
            </w:pPr>
            <w:r>
              <w:rPr>
                <w:sz w:val="24"/>
              </w:rPr>
              <w:t>14816 m</w:t>
            </w:r>
            <w:r>
              <w:rPr>
                <w:sz w:val="24"/>
                <w:vertAlign w:val="superscript"/>
              </w:rPr>
              <w:t>2</w:t>
            </w:r>
          </w:p>
        </w:tc>
        <w:tc>
          <w:tcPr>
            <w:tcW w:w="2160" w:type="dxa"/>
            <w:vAlign w:val="center"/>
          </w:tcPr>
          <w:p>
            <w:pPr>
              <w:pStyle w:val="Normal0"/>
              <w:snapToGrid w:val="0"/>
              <w:spacing w:line="540" w:lineRule="exact"/>
              <w:jc w:val="center"/>
              <w:rPr>
                <w:sz w:val="24"/>
              </w:rPr>
            </w:pPr>
            <w:r>
              <w:rPr>
                <w:sz w:val="24"/>
              </w:rPr>
              <w:t>15007.46 m</w:t>
            </w:r>
            <w:r>
              <w:rPr>
                <w:sz w:val="24"/>
                <w:vertAlign w:val="superscript"/>
              </w:rPr>
              <w:t>2</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ascii="宋体" w:hint="eastAsia"/>
                <w:sz w:val="24"/>
              </w:rPr>
            </w:pPr>
            <w:r>
              <w:rPr>
                <w:rFonts w:ascii="宋体" w:hint="eastAsia"/>
                <w:sz w:val="24"/>
              </w:rPr>
              <w:t>公共建筑占地面积</w:t>
            </w:r>
          </w:p>
        </w:tc>
        <w:tc>
          <w:tcPr>
            <w:tcW w:w="1980" w:type="dxa"/>
            <w:vAlign w:val="center"/>
          </w:tcPr>
          <w:p>
            <w:pPr>
              <w:pStyle w:val="Normal0"/>
              <w:snapToGrid w:val="0"/>
              <w:spacing w:line="540" w:lineRule="exact"/>
              <w:jc w:val="center"/>
              <w:rPr>
                <w:sz w:val="24"/>
              </w:rPr>
            </w:pPr>
            <w:r>
              <w:rPr>
                <w:sz w:val="24"/>
              </w:rPr>
              <w:t>8976 m</w:t>
            </w:r>
            <w:r>
              <w:rPr>
                <w:sz w:val="24"/>
                <w:vertAlign w:val="superscript"/>
              </w:rPr>
              <w:t>2</w:t>
            </w:r>
          </w:p>
        </w:tc>
        <w:tc>
          <w:tcPr>
            <w:tcW w:w="2160" w:type="dxa"/>
            <w:vAlign w:val="center"/>
          </w:tcPr>
          <w:p>
            <w:pPr>
              <w:pStyle w:val="Normal0"/>
              <w:snapToGrid w:val="0"/>
              <w:spacing w:line="540" w:lineRule="exact"/>
              <w:jc w:val="center"/>
              <w:rPr>
                <w:sz w:val="24"/>
              </w:rPr>
            </w:pPr>
            <w:r>
              <w:rPr>
                <w:sz w:val="24"/>
              </w:rPr>
              <w:t>8973.25 m</w:t>
            </w:r>
            <w:r>
              <w:rPr>
                <w:sz w:val="24"/>
                <w:vertAlign w:val="superscript"/>
              </w:rPr>
              <w:t>2</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ascii="宋体" w:hint="eastAsia"/>
                <w:sz w:val="24"/>
              </w:rPr>
            </w:pPr>
            <w:r>
              <w:rPr>
                <w:rFonts w:ascii="宋体" w:hint="eastAsia"/>
                <w:sz w:val="24"/>
              </w:rPr>
              <w:t>容积率</w:t>
            </w:r>
          </w:p>
        </w:tc>
        <w:tc>
          <w:tcPr>
            <w:tcW w:w="1980" w:type="dxa"/>
            <w:vAlign w:val="center"/>
          </w:tcPr>
          <w:p>
            <w:pPr>
              <w:pStyle w:val="Normal0"/>
              <w:snapToGrid w:val="0"/>
              <w:spacing w:line="540" w:lineRule="exact"/>
              <w:jc w:val="center"/>
              <w:rPr>
                <w:sz w:val="24"/>
              </w:rPr>
            </w:pPr>
            <w:r>
              <w:rPr>
                <w:sz w:val="24"/>
              </w:rPr>
              <w:t>0.493</w:t>
            </w:r>
          </w:p>
        </w:tc>
        <w:tc>
          <w:tcPr>
            <w:tcW w:w="2160" w:type="dxa"/>
            <w:vAlign w:val="center"/>
          </w:tcPr>
          <w:p>
            <w:pPr>
              <w:pStyle w:val="Normal0"/>
              <w:snapToGrid w:val="0"/>
              <w:spacing w:line="540" w:lineRule="exact"/>
              <w:jc w:val="center"/>
              <w:rPr>
                <w:sz w:val="24"/>
              </w:rPr>
            </w:pPr>
            <w:r>
              <w:rPr>
                <w:sz w:val="24"/>
              </w:rPr>
              <w:t>0.435</w:t>
            </w:r>
          </w:p>
        </w:tc>
      </w:tr>
      <w:tr>
        <w:tblPrEx>
          <w:tblW w:w="0" w:type="auto"/>
          <w:jc w:val="center"/>
          <w:tblLayout w:type="fixed"/>
          <w:tblCellMar>
            <w:top w:w="0" w:type="dxa"/>
            <w:left w:w="108" w:type="dxa"/>
            <w:bottom w:w="0" w:type="dxa"/>
            <w:right w:w="108" w:type="dxa"/>
          </w:tblCellMar>
        </w:tblPrEx>
        <w:trPr>
          <w:jc w:val="center"/>
        </w:trPr>
        <w:tc>
          <w:tcPr>
            <w:tcW w:w="2448" w:type="dxa"/>
            <w:vAlign w:val="center"/>
          </w:tcPr>
          <w:p>
            <w:pPr>
              <w:pStyle w:val="Normal0"/>
              <w:snapToGrid w:val="0"/>
              <w:spacing w:line="540" w:lineRule="exact"/>
              <w:rPr>
                <w:rFonts w:ascii="宋体" w:hint="eastAsia"/>
                <w:sz w:val="24"/>
              </w:rPr>
            </w:pPr>
            <w:r>
              <w:rPr>
                <w:rFonts w:ascii="宋体" w:hint="eastAsia"/>
                <w:sz w:val="24"/>
              </w:rPr>
              <w:t>建筑密度</w:t>
            </w:r>
          </w:p>
        </w:tc>
        <w:tc>
          <w:tcPr>
            <w:tcW w:w="1980" w:type="dxa"/>
            <w:vAlign w:val="center"/>
          </w:tcPr>
          <w:p>
            <w:pPr>
              <w:pStyle w:val="Normal0"/>
              <w:snapToGrid w:val="0"/>
              <w:spacing w:line="540" w:lineRule="exact"/>
              <w:jc w:val="center"/>
              <w:rPr>
                <w:sz w:val="24"/>
              </w:rPr>
            </w:pPr>
            <w:r>
              <w:rPr>
                <w:sz w:val="24"/>
              </w:rPr>
              <w:t>30.38%</w:t>
            </w:r>
          </w:p>
        </w:tc>
        <w:tc>
          <w:tcPr>
            <w:tcW w:w="2160" w:type="dxa"/>
            <w:vAlign w:val="center"/>
          </w:tcPr>
          <w:p>
            <w:pPr>
              <w:pStyle w:val="Normal0"/>
              <w:snapToGrid w:val="0"/>
              <w:spacing w:line="540" w:lineRule="exact"/>
              <w:jc w:val="center"/>
              <w:rPr>
                <w:sz w:val="24"/>
              </w:rPr>
            </w:pPr>
            <w:r>
              <w:rPr>
                <w:sz w:val="24"/>
              </w:rPr>
              <w:t>25.51%</w:t>
            </w:r>
          </w:p>
        </w:tc>
      </w:tr>
    </w:tbl>
    <w:p>
      <w:pPr>
        <w:pStyle w:val="Normal0"/>
        <w:snapToGrid w:val="0"/>
        <w:spacing w:line="540" w:lineRule="exact"/>
        <w:rPr>
          <w:rFonts w:ascii="宋体"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0"/>
        <w:snapToGrid w:val="0"/>
        <w:spacing w:line="540" w:lineRule="exact"/>
        <w:rPr>
          <w:rFonts w:hint="eastAsia"/>
          <w:sz w:val="28"/>
        </w:rPr>
      </w:pPr>
      <w:r>
        <w:rPr>
          <w:rFonts w:ascii="宋体" w:hint="eastAsia"/>
          <w:sz w:val="28"/>
        </w:rPr>
        <w:t>②、建筑物整治规划</w:t>
      </w:r>
    </w:p>
    <w:p>
      <w:pPr>
        <w:pStyle w:val="Normal0"/>
        <w:snapToGrid w:val="0"/>
        <w:spacing w:line="540" w:lineRule="exact"/>
        <w:rPr>
          <w:rFonts w:hint="eastAsia"/>
          <w:sz w:val="28"/>
        </w:rPr>
      </w:pPr>
      <w:r>
        <w:rPr>
          <w:rFonts w:hint="eastAsia"/>
          <w:sz w:val="28"/>
        </w:rPr>
        <w:t xml:space="preserve">    本整治规划中将拆除建筑面积18952.14</w:t>
      </w:r>
      <w:r>
        <w:rPr>
          <w:sz w:val="28"/>
        </w:rPr>
        <w:t xml:space="preserve"> m</w:t>
      </w:r>
      <w:r>
        <w:rPr>
          <w:sz w:val="28"/>
          <w:vertAlign w:val="superscript"/>
        </w:rPr>
        <w:t>2</w:t>
      </w:r>
      <w:r>
        <w:rPr>
          <w:rFonts w:hint="eastAsia"/>
          <w:sz w:val="28"/>
        </w:rPr>
        <w:t>，拆除建筑占地面积11852.68</w:t>
      </w:r>
      <w:r>
        <w:rPr>
          <w:sz w:val="28"/>
        </w:rPr>
        <w:t xml:space="preserve"> m</w:t>
      </w:r>
      <w:r>
        <w:rPr>
          <w:sz w:val="28"/>
          <w:vertAlign w:val="superscript"/>
        </w:rPr>
        <w:t>2</w:t>
      </w:r>
      <w:r>
        <w:rPr>
          <w:rFonts w:hint="eastAsia"/>
          <w:sz w:val="28"/>
        </w:rPr>
        <w:t>，拆除户数133户。原地翻建公建建筑占地面积994.5</w:t>
      </w:r>
      <w:r>
        <w:rPr>
          <w:sz w:val="28"/>
        </w:rPr>
        <w:t xml:space="preserve"> m</w:t>
      </w:r>
      <w:r>
        <w:rPr>
          <w:sz w:val="28"/>
          <w:vertAlign w:val="superscript"/>
        </w:rPr>
        <w:t>2</w:t>
      </w:r>
      <w:r>
        <w:rPr>
          <w:rFonts w:hint="eastAsia"/>
          <w:sz w:val="28"/>
        </w:rPr>
        <w:t>，建筑面积1189</w:t>
      </w:r>
      <w:r>
        <w:rPr>
          <w:sz w:val="28"/>
        </w:rPr>
        <w:t xml:space="preserve"> m</w:t>
      </w:r>
      <w:r>
        <w:rPr>
          <w:sz w:val="28"/>
          <w:vertAlign w:val="superscript"/>
        </w:rPr>
        <w:t>2</w:t>
      </w:r>
      <w:r>
        <w:rPr>
          <w:rFonts w:hint="eastAsia"/>
          <w:sz w:val="28"/>
        </w:rPr>
        <w:t>，其中老年活动中心建筑面积300</w:t>
      </w:r>
      <w:r>
        <w:rPr>
          <w:sz w:val="28"/>
        </w:rPr>
        <w:t xml:space="preserve"> m</w:t>
      </w:r>
      <w:r>
        <w:rPr>
          <w:sz w:val="28"/>
          <w:vertAlign w:val="superscript"/>
        </w:rPr>
        <w:t>2</w:t>
      </w:r>
      <w:r>
        <w:rPr>
          <w:rFonts w:hint="eastAsia"/>
          <w:sz w:val="28"/>
        </w:rPr>
        <w:t>，医务室120</w:t>
      </w:r>
      <w:r>
        <w:rPr>
          <w:sz w:val="28"/>
        </w:rPr>
        <w:t xml:space="preserve"> m</w:t>
      </w:r>
      <w:r>
        <w:rPr>
          <w:sz w:val="28"/>
          <w:vertAlign w:val="superscript"/>
        </w:rPr>
        <w:t>2</w:t>
      </w:r>
      <w:r>
        <w:rPr>
          <w:rFonts w:hint="eastAsia"/>
          <w:sz w:val="28"/>
        </w:rPr>
        <w:t>，幼儿园569</w:t>
      </w:r>
      <w:r>
        <w:rPr>
          <w:sz w:val="28"/>
        </w:rPr>
        <w:t xml:space="preserve"> m</w:t>
      </w:r>
      <w:r>
        <w:rPr>
          <w:sz w:val="28"/>
          <w:vertAlign w:val="superscript"/>
        </w:rPr>
        <w:t>2</w:t>
      </w:r>
      <w:r>
        <w:rPr>
          <w:rFonts w:hint="eastAsia"/>
          <w:sz w:val="28"/>
        </w:rPr>
        <w:t>，菜市场500</w:t>
      </w:r>
      <w:r>
        <w:rPr>
          <w:sz w:val="28"/>
        </w:rPr>
        <w:t xml:space="preserve"> m</w:t>
      </w:r>
      <w:r>
        <w:rPr>
          <w:sz w:val="28"/>
          <w:vertAlign w:val="superscript"/>
        </w:rPr>
        <w:t>2</w:t>
      </w:r>
      <w:r>
        <w:rPr>
          <w:rFonts w:hint="eastAsia"/>
          <w:sz w:val="28"/>
        </w:rPr>
        <w:t>。原地翻建农居占地面积713</w:t>
      </w:r>
      <w:r>
        <w:rPr>
          <w:sz w:val="28"/>
        </w:rPr>
        <w:t xml:space="preserve"> m</w:t>
      </w:r>
      <w:r>
        <w:rPr>
          <w:sz w:val="28"/>
          <w:vertAlign w:val="superscript"/>
        </w:rPr>
        <w:t>2</w:t>
      </w:r>
      <w:r>
        <w:rPr>
          <w:rFonts w:hint="eastAsia"/>
          <w:sz w:val="28"/>
        </w:rPr>
        <w:t>，建筑面积1426</w:t>
      </w:r>
      <w:r>
        <w:rPr>
          <w:sz w:val="28"/>
        </w:rPr>
        <w:t xml:space="preserve"> m</w:t>
      </w:r>
      <w:r>
        <w:rPr>
          <w:sz w:val="28"/>
          <w:vertAlign w:val="superscript"/>
        </w:rPr>
        <w:t>2</w:t>
      </w:r>
      <w:r>
        <w:rPr>
          <w:rFonts w:hint="eastAsia"/>
          <w:sz w:val="28"/>
        </w:rPr>
        <w:t>，老村新增绿地面积18700</w:t>
      </w:r>
      <w:r>
        <w:rPr>
          <w:sz w:val="28"/>
        </w:rPr>
        <w:t xml:space="preserve"> m</w:t>
      </w:r>
      <w:r>
        <w:rPr>
          <w:sz w:val="28"/>
          <w:vertAlign w:val="superscript"/>
        </w:rPr>
        <w:t>2</w:t>
      </w:r>
      <w:r>
        <w:rPr>
          <w:rFonts w:hint="eastAsia"/>
          <w:sz w:val="28"/>
        </w:rPr>
        <w:t>。</w:t>
      </w:r>
    </w:p>
    <w:p>
      <w:pPr>
        <w:pStyle w:val="Normal0"/>
        <w:snapToGrid w:val="0"/>
        <w:spacing w:line="540" w:lineRule="exact"/>
        <w:rPr>
          <w:rFonts w:hint="eastAsia"/>
          <w:sz w:val="28"/>
        </w:rPr>
      </w:pPr>
      <w:r>
        <w:rPr>
          <w:rFonts w:hint="eastAsia"/>
          <w:sz w:val="28"/>
        </w:rPr>
        <w:t>2、道路交通及停车场整治</w:t>
      </w:r>
    </w:p>
    <w:p>
      <w:pPr>
        <w:pStyle w:val="Normal0"/>
        <w:snapToGrid w:val="0"/>
        <w:spacing w:line="540" w:lineRule="exact"/>
        <w:rPr>
          <w:rFonts w:ascii="宋体" w:hint="eastAsia"/>
          <w:sz w:val="28"/>
        </w:rPr>
      </w:pPr>
      <w:r>
        <w:rPr>
          <w:rFonts w:ascii="宋体" w:hint="eastAsia"/>
          <w:sz w:val="28"/>
        </w:rPr>
        <w:t>①、完善道路交通系统</w:t>
      </w:r>
    </w:p>
    <w:p>
      <w:pPr>
        <w:pStyle w:val="Normal0"/>
        <w:snapToGrid w:val="0"/>
        <w:spacing w:line="540" w:lineRule="exact"/>
        <w:rPr>
          <w:rFonts w:ascii="宋体" w:hint="eastAsia"/>
          <w:sz w:val="28"/>
        </w:rPr>
      </w:pPr>
      <w:r>
        <w:rPr>
          <w:rFonts w:ascii="宋体" w:hint="eastAsia"/>
          <w:sz w:val="28"/>
        </w:rPr>
        <w:t xml:space="preserve">    以贯穿老村南北的梅灵路为中轴，根据老村不同地块的特点完善道路系统。</w:t>
      </w:r>
    </w:p>
    <w:p>
      <w:pPr>
        <w:pStyle w:val="Normal0"/>
        <w:snapToGrid w:val="0"/>
        <w:spacing w:line="540" w:lineRule="exact"/>
        <w:rPr>
          <w:rFonts w:ascii="宋体" w:hint="eastAsia"/>
          <w:sz w:val="28"/>
        </w:rPr>
      </w:pPr>
      <w:r>
        <w:rPr>
          <w:rFonts w:ascii="宋体" w:hint="eastAsia"/>
          <w:sz w:val="28"/>
        </w:rPr>
        <w:t>·老村北部，梅灵路两侧地块地形狭长，地势变化高差大，规划以步行路为主，在原有步行路的基础上沟通、完善形成步行环路。</w:t>
      </w:r>
    </w:p>
    <w:p>
      <w:pPr>
        <w:pStyle w:val="Normal0"/>
        <w:snapToGrid w:val="0"/>
        <w:spacing w:line="540" w:lineRule="exact"/>
        <w:rPr>
          <w:rFonts w:ascii="宋体" w:hint="eastAsia"/>
          <w:sz w:val="28"/>
        </w:rPr>
      </w:pPr>
      <w:r>
        <w:rPr>
          <w:rFonts w:ascii="宋体" w:hint="eastAsia"/>
          <w:sz w:val="28"/>
        </w:rPr>
        <w:t>·老村南部梅灵路以西地块，地形有一定的进深，但地势变化大，沿溪规划一条车行道路，在端头规划一个回车场地，以此车行路为中心，完善两侧步行道路。</w:t>
      </w:r>
    </w:p>
    <w:p>
      <w:pPr>
        <w:pStyle w:val="Normal0"/>
        <w:snapToGrid w:val="0"/>
        <w:spacing w:line="540" w:lineRule="exact"/>
        <w:rPr>
          <w:rFonts w:ascii="宋体" w:hint="eastAsia"/>
          <w:sz w:val="28"/>
        </w:rPr>
      </w:pPr>
      <w:r>
        <w:rPr>
          <w:rFonts w:ascii="宋体" w:hint="eastAsia"/>
          <w:sz w:val="28"/>
        </w:rPr>
        <w:t>·老村南部梅灵路以东地块，是老村的主村落，地形进深大，规划在梅灵路设三个主入口，在村内形成两个双向车行环路，基本将老村分</w:t>
      </w:r>
      <w:r>
        <w:rPr>
          <w:rFonts w:hint="eastAsia"/>
          <w:sz w:val="28"/>
        </w:rPr>
        <w:t>成5大块面，以此两个环路为主线，铺设若干条单行车路，到达各块</w:t>
      </w:r>
      <w:r>
        <w:rPr>
          <w:rFonts w:ascii="宋体" w:hint="eastAsia"/>
          <w:sz w:val="28"/>
        </w:rPr>
        <w:t>面中心，并在道路端点规划回车场地。同时在原有步行路的基础上完善步行道路，内部基本形成畅通的道路网。</w:t>
      </w:r>
    </w:p>
    <w:p>
      <w:pPr>
        <w:pStyle w:val="Normal0"/>
        <w:snapToGrid w:val="0"/>
        <w:spacing w:line="540" w:lineRule="exact"/>
        <w:rPr>
          <w:rFonts w:hint="eastAsia"/>
          <w:sz w:val="28"/>
        </w:rPr>
      </w:pPr>
      <w:r>
        <w:rPr>
          <w:rFonts w:ascii="宋体" w:hint="eastAsia"/>
          <w:sz w:val="28"/>
        </w:rPr>
        <w:t>②、停车场地规划</w:t>
      </w:r>
    </w:p>
    <w:p>
      <w:pPr>
        <w:pStyle w:val="Normal0"/>
        <w:snapToGrid w:val="0"/>
        <w:spacing w:line="540" w:lineRule="exact"/>
        <w:rPr>
          <w:rFonts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sz w:val="28"/>
        </w:rPr>
        <w:t xml:space="preserve">  </w:t>
      </w:r>
      <w:r>
        <w:rPr>
          <w:rFonts w:hint="eastAsia"/>
          <w:sz w:val="28"/>
        </w:rPr>
        <w:t xml:space="preserve"> </w:t>
      </w:r>
    </w:p>
    <w:p>
      <w:pPr>
        <w:pStyle w:val="Normal0"/>
        <w:snapToGrid w:val="0"/>
        <w:spacing w:line="540" w:lineRule="exact"/>
        <w:rPr>
          <w:rFonts w:hint="eastAsia"/>
          <w:sz w:val="28"/>
        </w:rPr>
      </w:pPr>
      <w:r>
        <w:rPr>
          <w:rFonts w:hint="eastAsia"/>
          <w:sz w:val="28"/>
        </w:rPr>
        <w:t xml:space="preserve"> 根据老村土地资源紧缺的现实情况，结合老村旅游以村民个体家庭经营为主的特色，方便旅游者就近停车的原侧，停车场规划采用分散多点的方式，分别于老村入口、周总理纪念馆附近、原老村停车场、老村内部等规划5处停车场，共3500平方米，可停车90辆，旅游高峰期规划在梅灵路及村内主环道路采用单侧停车，加强</w:t>
      </w:r>
      <w:r>
        <w:rPr>
          <w:rFonts w:hint="eastAsia"/>
          <w:sz w:val="28"/>
          <w:lang w:eastAsia="zh-CN"/>
        </w:rPr>
        <w:t>管理管控</w:t>
      </w:r>
      <w:r>
        <w:rPr>
          <w:rFonts w:hint="eastAsia"/>
          <w:sz w:val="28"/>
        </w:rPr>
        <w:t>实行单向行驶。在老村原停车场规划公交停靠站。</w:t>
      </w:r>
    </w:p>
    <w:p>
      <w:pPr>
        <w:pStyle w:val="Normal0"/>
        <w:snapToGrid w:val="0"/>
        <w:spacing w:line="540" w:lineRule="exact"/>
        <w:rPr>
          <w:rFonts w:hint="eastAsia"/>
          <w:sz w:val="28"/>
        </w:rPr>
      </w:pPr>
      <w:r>
        <w:rPr>
          <w:rFonts w:hint="eastAsia"/>
          <w:sz w:val="28"/>
        </w:rPr>
        <w:t>3、溪流整治及绿化</w:t>
      </w:r>
    </w:p>
    <w:p>
      <w:pPr>
        <w:pStyle w:val="Normal0"/>
        <w:snapToGrid w:val="0"/>
        <w:spacing w:line="540" w:lineRule="exact"/>
        <w:rPr>
          <w:rFonts w:ascii="宋体" w:hint="eastAsia"/>
          <w:sz w:val="28"/>
        </w:rPr>
      </w:pPr>
      <w:r>
        <w:rPr>
          <w:rFonts w:ascii="宋体" w:hint="eastAsia"/>
          <w:sz w:val="28"/>
        </w:rPr>
        <w:t>①、溪流整治规划</w:t>
      </w:r>
    </w:p>
    <w:p>
      <w:pPr>
        <w:pStyle w:val="Normal0"/>
        <w:snapToGrid w:val="0"/>
        <w:spacing w:line="540" w:lineRule="exact"/>
        <w:rPr>
          <w:rFonts w:ascii="宋体" w:hint="eastAsia"/>
          <w:sz w:val="28"/>
        </w:rPr>
      </w:pPr>
      <w:r>
        <w:rPr>
          <w:rFonts w:ascii="宋体" w:hint="eastAsia"/>
          <w:sz w:val="28"/>
        </w:rPr>
        <w:t xml:space="preserve">    由于过度抽取地下水，生活污染，乱搭乱建等使老村内的溪流几乎成了“大阴沟”，为恢复昔日“不雨溪长涧”的溪流景观，规划以下措施：</w:t>
      </w:r>
    </w:p>
    <w:p>
      <w:pPr>
        <w:pStyle w:val="Normal0"/>
        <w:snapToGrid w:val="0"/>
        <w:spacing w:line="540" w:lineRule="exact"/>
        <w:rPr>
          <w:rFonts w:ascii="宋体" w:hint="eastAsia"/>
          <w:sz w:val="28"/>
        </w:rPr>
      </w:pPr>
      <w:r>
        <w:rPr>
          <w:rFonts w:ascii="宋体" w:hint="eastAsia"/>
          <w:sz w:val="28"/>
        </w:rPr>
        <w:t>·停止抽取地下水，引外来水补充溪流水源；</w:t>
      </w:r>
    </w:p>
    <w:p>
      <w:pPr>
        <w:pStyle w:val="Normal0"/>
        <w:snapToGrid w:val="0"/>
        <w:spacing w:line="540" w:lineRule="exact"/>
        <w:rPr>
          <w:rFonts w:ascii="宋体" w:hint="eastAsia"/>
          <w:sz w:val="28"/>
        </w:rPr>
      </w:pPr>
      <w:r>
        <w:rPr>
          <w:rFonts w:ascii="宋体" w:hint="eastAsia"/>
          <w:sz w:val="28"/>
        </w:rPr>
        <w:t>·排污纳管，严禁随意排放生活污水，禁止倾倒垃圾；</w:t>
      </w:r>
    </w:p>
    <w:p>
      <w:pPr>
        <w:pStyle w:val="Normal0"/>
        <w:snapToGrid w:val="0"/>
        <w:spacing w:line="540" w:lineRule="exact"/>
        <w:rPr>
          <w:rFonts w:ascii="宋体" w:hint="eastAsia"/>
          <w:sz w:val="28"/>
        </w:rPr>
      </w:pPr>
      <w:r>
        <w:rPr>
          <w:rFonts w:ascii="宋体" w:hint="eastAsia"/>
          <w:sz w:val="28"/>
        </w:rPr>
        <w:t>·拆除溪流上的违章建筑及顶蓬；</w:t>
      </w:r>
    </w:p>
    <w:p>
      <w:pPr>
        <w:pStyle w:val="Normal0"/>
        <w:snapToGrid w:val="0"/>
        <w:spacing w:line="540" w:lineRule="exact"/>
        <w:rPr>
          <w:rFonts w:ascii="宋体" w:hint="eastAsia"/>
          <w:sz w:val="28"/>
        </w:rPr>
      </w:pPr>
      <w:r>
        <w:rPr>
          <w:rFonts w:ascii="宋体" w:hint="eastAsia"/>
          <w:sz w:val="28"/>
        </w:rPr>
        <w:t>·溪流分段设置滚水坝，溪流上规划景观石桥或木桥，并与茶乡山村风貌相协调。</w:t>
      </w:r>
    </w:p>
    <w:p>
      <w:pPr>
        <w:pStyle w:val="Normal0"/>
        <w:snapToGrid w:val="0"/>
        <w:spacing w:line="540" w:lineRule="exact"/>
        <w:rPr>
          <w:rFonts w:hint="eastAsia"/>
          <w:sz w:val="28"/>
        </w:rPr>
      </w:pPr>
      <w:r>
        <w:rPr>
          <w:rFonts w:ascii="宋体" w:hint="eastAsia"/>
          <w:sz w:val="28"/>
        </w:rPr>
        <w:t>②、绿化整治规划</w:t>
      </w:r>
    </w:p>
    <w:p>
      <w:pPr>
        <w:pStyle w:val="Normal0"/>
        <w:snapToGrid w:val="0"/>
        <w:spacing w:line="540" w:lineRule="exact"/>
        <w:rPr>
          <w:rFonts w:hint="eastAsia"/>
          <w:sz w:val="28"/>
        </w:rPr>
      </w:pPr>
      <w:r>
        <w:rPr>
          <w:rFonts w:hint="eastAsia"/>
          <w:sz w:val="28"/>
        </w:rPr>
        <w:t xml:space="preserve">    目前，老村内绿地及公共活动空间稀少，与外部青山环抱的良好外环境极不协调，规划采取的主要措施为：</w:t>
      </w:r>
    </w:p>
    <w:p>
      <w:pPr>
        <w:pStyle w:val="Normal0"/>
        <w:snapToGrid w:val="0"/>
        <w:spacing w:line="540" w:lineRule="exact"/>
        <w:rPr>
          <w:rFonts w:hint="eastAsia"/>
          <w:sz w:val="28"/>
        </w:rPr>
      </w:pPr>
      <w:r>
        <w:rPr>
          <w:rFonts w:hint="eastAsia"/>
          <w:sz w:val="28"/>
        </w:rPr>
        <w:t>·拆除违章建筑，开路搬迁农居，增加绿地；</w:t>
      </w:r>
    </w:p>
    <w:p>
      <w:pPr>
        <w:pStyle w:val="Normal0"/>
        <w:snapToGrid w:val="0"/>
        <w:spacing w:line="540" w:lineRule="exact"/>
        <w:rPr>
          <w:rFonts w:hint="eastAsia"/>
          <w:sz w:val="28"/>
        </w:rPr>
      </w:pPr>
      <w:r>
        <w:rPr>
          <w:rFonts w:hint="eastAsia"/>
          <w:sz w:val="28"/>
        </w:rPr>
        <w:t>·规划溪流道路两侧2~5米绿化带；挖掘庭院绿化，建筑垂直绿化，边坡绿化；</w:t>
      </w:r>
    </w:p>
    <w:p>
      <w:pPr>
        <w:pStyle w:val="Normal0"/>
        <w:snapToGrid w:val="0"/>
        <w:spacing w:line="540" w:lineRule="exact"/>
        <w:rPr>
          <w:rFonts w:hint="eastAsia"/>
          <w:sz w:val="28"/>
        </w:rPr>
      </w:pPr>
      <w:r>
        <w:rPr>
          <w:rFonts w:hint="eastAsia"/>
          <w:sz w:val="28"/>
        </w:rPr>
        <w:t>·结合公共建筑规划，集中休闲绿地。根据规划新增绿地面积18700平方米；</w:t>
      </w:r>
    </w:p>
    <w:p>
      <w:pPr>
        <w:pStyle w:val="Normal0"/>
        <w:snapToGrid w:val="0"/>
        <w:spacing w:line="540" w:lineRule="exact"/>
        <w:rPr>
          <w:rFonts w:hint="eastAsia"/>
          <w:sz w:val="28"/>
        </w:rPr>
      </w:pPr>
      <w:r>
        <w:rPr>
          <w:rFonts w:hint="eastAsia"/>
          <w:sz w:val="28"/>
        </w:rPr>
        <w:t>·合理选配树种，增加道路两侧绿化。</w:t>
      </w:r>
    </w:p>
    <w:p>
      <w:pPr>
        <w:pStyle w:val="Normal0"/>
        <w:snapToGrid w:val="0"/>
        <w:spacing w:line="540" w:lineRule="exact"/>
        <w:rPr>
          <w:rFonts w:hint="eastAsia"/>
          <w:sz w:val="28"/>
        </w:rPr>
      </w:pPr>
      <w:r>
        <w:rPr>
          <w:rFonts w:hint="eastAsia"/>
          <w:sz w:val="28"/>
        </w:rPr>
        <w:t>4、古建筑整修、旧建筑立面改造等</w:t>
      </w:r>
    </w:p>
    <w:p>
      <w:pPr>
        <w:pStyle w:val="Normal0"/>
        <w:snapToGrid w:val="0"/>
        <w:spacing w:line="540" w:lineRule="exact"/>
        <w:rPr>
          <w:rFonts w:ascii="宋体" w:hint="eastAsia"/>
          <w:sz w:val="28"/>
        </w:rPr>
        <w:sectPr>
          <w:type w:val="nextPage"/>
          <w:pgSz w:w="11906" w:h="16838"/>
          <w:pgMar w:top="1440" w:right="1800" w:bottom="1440" w:left="1800" w:header="851" w:footer="992" w:gutter="0"/>
          <w:pgNumType w:start="12"/>
          <w:cols w:num="1" w:space="425"/>
          <w:titlePg w:val="0"/>
          <w:docGrid w:type="lines" w:linePitch="312" w:charSpace="0"/>
        </w:sectPr>
      </w:pPr>
    </w:p>
    <w:p>
      <w:pPr>
        <w:pStyle w:val="Normal0"/>
        <w:snapToGrid w:val="0"/>
        <w:spacing w:line="540" w:lineRule="exact"/>
        <w:rPr>
          <w:rFonts w:ascii="宋体" w:hint="eastAsia"/>
          <w:sz w:val="28"/>
        </w:rPr>
      </w:pPr>
      <w:r>
        <w:rPr>
          <w:rFonts w:ascii="宋体" w:hint="eastAsia"/>
          <w:sz w:val="28"/>
        </w:rPr>
        <w:t>①、古建筑：在梅家坞老村存在清末建筑，如礼耕堂、周总理纪念馆等，具有浙江居民的典型特征，有些已在杭州很少见，具有研究价值，也反映了梅家坞的历史文化底蕴。在规划中建议作为文物点保护，进行就地翻建，并以这些老房子为中心，疏散周围空间，增加绿地和休闲场所。</w:t>
      </w:r>
    </w:p>
    <w:p>
      <w:pPr>
        <w:pStyle w:val="Normal0"/>
        <w:snapToGrid w:val="0"/>
        <w:spacing w:line="540" w:lineRule="exact"/>
        <w:rPr>
          <w:rFonts w:hint="eastAsia"/>
          <w:sz w:val="28"/>
        </w:rPr>
      </w:pPr>
      <w:r>
        <w:rPr>
          <w:rFonts w:ascii="宋体" w:hint="eastAsia"/>
          <w:sz w:val="28"/>
        </w:rPr>
        <w:t>②、近代旧建筑和新建农居进行外墙饰面，装饰风格与茶乡村落相协调。</w:t>
      </w:r>
    </w:p>
    <w:p>
      <w:pPr>
        <w:pStyle w:val="Normal0"/>
        <w:snapToGrid w:val="0"/>
        <w:spacing w:line="540" w:lineRule="exact"/>
        <w:rPr>
          <w:rFonts w:hint="eastAsia"/>
          <w:sz w:val="28"/>
        </w:rPr>
      </w:pPr>
      <w:r>
        <w:rPr>
          <w:rFonts w:hint="eastAsia"/>
          <w:sz w:val="28"/>
        </w:rPr>
        <w:t>5、完善给排水系统</w:t>
      </w:r>
    </w:p>
    <w:p>
      <w:pPr>
        <w:pStyle w:val="Normal0"/>
        <w:snapToGrid w:val="0"/>
        <w:spacing w:line="540" w:lineRule="exact"/>
        <w:rPr>
          <w:rFonts w:hint="eastAsia"/>
          <w:sz w:val="28"/>
        </w:rPr>
      </w:pPr>
      <w:r>
        <w:rPr>
          <w:rFonts w:hint="eastAsia"/>
          <w:sz w:val="28"/>
        </w:rPr>
        <w:t>·给水：目前，梅家坞老村居民现状用水均饮用浅层地下水，由村里集中在村上游小溪边打井，抽水至高位水池后自流供水，老村的高位水池底标高为88.8米，容积为100立方米，平时水够用，用水高峰时水量不足。规划由之江路DN400给水管和梅灵路DN100城市自来水给水管引入梅家坞老村，老村内供水管布置以环状和枝状相结合，以提高供水安全可靠性能。</w:t>
      </w:r>
    </w:p>
    <w:p>
      <w:pPr>
        <w:pStyle w:val="Normal0"/>
        <w:snapToGrid w:val="0"/>
        <w:spacing w:line="540" w:lineRule="exact"/>
        <w:rPr>
          <w:rFonts w:hint="eastAsia"/>
          <w:sz w:val="28"/>
        </w:rPr>
      </w:pPr>
      <w:r>
        <w:rPr>
          <w:rFonts w:hint="eastAsia"/>
          <w:sz w:val="28"/>
        </w:rPr>
        <w:t>·排水：梅家坞老村现状无排水和排污系统，各家各户污水均就近排入村内的小溪，枯水季节溪水水质较差。规划区块内污水干管沿梅灵路自北向南铺设，区块内污水顺地形坡度排入梅灵路污水干管，污水经梅家坞临时污水处理设施处理后再生回用，远期污水全部纳入市政污水管网。</w:t>
      </w:r>
    </w:p>
    <w:p>
      <w:pPr>
        <w:pStyle w:val="Heading3"/>
        <w:rPr>
          <w:rFonts w:hint="eastAsia"/>
        </w:rPr>
      </w:pPr>
      <w:bookmarkStart w:id="28" w:name="_Toc41648509"/>
      <w:r>
        <w:rPr>
          <w:rFonts w:hint="eastAsia"/>
        </w:rPr>
        <w:t>2.1.4能源及燃料</w:t>
      </w:r>
      <w:bookmarkEnd w:id="28"/>
    </w:p>
    <w:p>
      <w:pPr>
        <w:pStyle w:val="Normal0"/>
        <w:snapToGrid w:val="0"/>
        <w:spacing w:line="540" w:lineRule="exact"/>
        <w:rPr>
          <w:rFonts w:hint="eastAsia"/>
          <w:sz w:val="28"/>
        </w:rPr>
      </w:pPr>
      <w:r>
        <w:rPr>
          <w:rFonts w:hint="eastAsia"/>
          <w:sz w:val="28"/>
        </w:rPr>
        <w:t xml:space="preserve">    梅家坞地处西湖风景区，目前，该区域所有单位和农居所采用的燃料基本为清洁燃料，如石油液化气等。</w:t>
      </w:r>
    </w:p>
    <w:p>
      <w:pPr>
        <w:pStyle w:val="Normal0"/>
        <w:snapToGrid w:val="0"/>
        <w:spacing w:line="540" w:lineRule="exact"/>
        <w:rPr>
          <w:rFonts w:hint="eastAsia"/>
          <w:sz w:val="28"/>
        </w:rPr>
        <w:sectPr>
          <w:type w:val="nextPage"/>
          <w:pgSz w:w="11906" w:h="16838"/>
          <w:pgMar w:top="1440" w:right="1800" w:bottom="1440" w:left="1800" w:header="851" w:footer="992" w:gutter="0"/>
          <w:pgNumType w:start="13"/>
          <w:cols w:num="1" w:space="425"/>
          <w:titlePg w:val="0"/>
          <w:docGrid w:type="lines" w:linePitch="312" w:charSpace="0"/>
        </w:sectPr>
      </w:pPr>
      <w:r>
        <w:rPr>
          <w:rFonts w:hint="eastAsia"/>
          <w:sz w:val="28"/>
        </w:rPr>
        <w:t xml:space="preserve">    能源主要采用电能。</w:t>
      </w:r>
    </w:p>
    <w:p>
      <w:pPr>
        <w:pStyle w:val="Heading2"/>
        <w:rPr>
          <w:rFonts w:hint="eastAsia"/>
        </w:rPr>
      </w:pPr>
      <w:bookmarkStart w:id="29" w:name="_Toc41648510"/>
      <w:r>
        <w:t>2.2</w:t>
      </w:r>
      <w:r>
        <w:rPr>
          <w:rFonts w:hint="eastAsia"/>
        </w:rPr>
        <w:t>建设</w:t>
      </w:r>
      <w:r>
        <w:rPr>
          <w:rFonts w:hint="eastAsia"/>
          <w:lang w:eastAsia="zh-CN"/>
        </w:rPr>
        <w:t>相关项目</w:t>
      </w:r>
      <w:r>
        <w:rPr>
          <w:rFonts w:hint="eastAsia"/>
        </w:rPr>
        <w:t>周围环境概况</w:t>
      </w:r>
      <w:bookmarkEnd w:id="29"/>
    </w:p>
    <w:p>
      <w:pPr>
        <w:pStyle w:val="Heading3"/>
        <w:rPr>
          <w:rFonts w:hint="eastAsia"/>
        </w:rPr>
      </w:pPr>
      <w:bookmarkStart w:id="30" w:name="_Toc41648511"/>
      <w:r>
        <w:t>2.2.1</w:t>
      </w:r>
      <w:r>
        <w:rPr>
          <w:rFonts w:hint="eastAsia"/>
        </w:rPr>
        <w:t>地理环境概况</w:t>
      </w:r>
      <w:bookmarkEnd w:id="30"/>
    </w:p>
    <w:p>
      <w:pPr>
        <w:pStyle w:val="Normal0"/>
        <w:snapToGrid w:val="0"/>
        <w:spacing w:line="540" w:lineRule="exact"/>
        <w:rPr>
          <w:rFonts w:hint="eastAsia"/>
          <w:sz w:val="28"/>
        </w:rPr>
      </w:pPr>
      <w:r>
        <w:rPr>
          <w:rFonts w:hint="eastAsia"/>
          <w:sz w:val="28"/>
        </w:rPr>
        <w:t xml:space="preserve">    梅家坞老村位于朱家岭，村子四周青山环抱，即村子四面为自然山体，植被良好，其中梅竺路贯穿南北，将老村分成东西两部分。</w:t>
      </w:r>
    </w:p>
    <w:p>
      <w:pPr>
        <w:pStyle w:val="Heading3"/>
        <w:rPr>
          <w:rFonts w:hint="eastAsia"/>
        </w:rPr>
      </w:pPr>
      <w:bookmarkStart w:id="31" w:name="_Toc41648512"/>
      <w:r>
        <w:rPr>
          <w:rFonts w:hint="eastAsia"/>
        </w:rPr>
        <w:t>2.2.2气象环境</w:t>
      </w:r>
      <w:bookmarkEnd w:id="31"/>
    </w:p>
    <w:p>
      <w:pPr>
        <w:pStyle w:val="Normal0"/>
        <w:snapToGrid w:val="0"/>
        <w:spacing w:line="360" w:lineRule="auto"/>
        <w:jc w:val="left"/>
        <w:outlineLvl w:val="0"/>
        <w:rPr>
          <w:rFonts w:hint="eastAsia"/>
          <w:sz w:val="28"/>
        </w:rPr>
      </w:pPr>
      <w:r>
        <w:rPr>
          <w:rFonts w:hint="eastAsia"/>
          <w:sz w:val="28"/>
        </w:rPr>
        <w:t>1、气候特征</w:t>
      </w:r>
    </w:p>
    <w:p>
      <w:pPr>
        <w:pStyle w:val="Normal0"/>
        <w:snapToGrid w:val="0"/>
        <w:spacing w:line="360" w:lineRule="auto"/>
        <w:jc w:val="left"/>
        <w:rPr>
          <w:rFonts w:hint="eastAsia"/>
          <w:sz w:val="28"/>
        </w:rPr>
      </w:pPr>
      <w:r>
        <w:rPr>
          <w:rFonts w:hint="eastAsia"/>
          <w:sz w:val="28"/>
        </w:rPr>
        <w:t xml:space="preserve">    杭州位于亚热带季风气候区，季风是区域气候的主要控制因素。冬季多偏北风，气候干燥寒冷；夏季多东风和南风，气候湿润炎热；春、秋风向多变，细雨绵绵。其常年气象特征如下：</w:t>
      </w:r>
    </w:p>
    <w:p>
      <w:pPr>
        <w:pStyle w:val="Normal0"/>
        <w:snapToGrid w:val="0"/>
        <w:spacing w:line="360" w:lineRule="auto"/>
        <w:ind w:firstLine="570"/>
        <w:jc w:val="left"/>
        <w:rPr>
          <w:sz w:val="28"/>
        </w:rPr>
      </w:pPr>
      <w:r>
        <w:rPr>
          <w:rFonts w:hint="eastAsia"/>
          <w:sz w:val="28"/>
        </w:rPr>
        <w:t>历年平均气压</w:t>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1011</w:t>
      </w:r>
      <w:r>
        <w:rPr>
          <w:sz w:val="28"/>
        </w:rPr>
        <w:t>.5hPa</w:t>
      </w:r>
    </w:p>
    <w:p>
      <w:pPr>
        <w:pStyle w:val="Normal0"/>
        <w:snapToGrid w:val="0"/>
        <w:spacing w:line="360" w:lineRule="auto"/>
        <w:ind w:firstLine="570"/>
        <w:jc w:val="left"/>
        <w:rPr>
          <w:rFonts w:hint="eastAsia"/>
          <w:sz w:val="28"/>
        </w:rPr>
      </w:pPr>
      <w:r>
        <w:rPr>
          <w:rFonts w:hint="eastAsia"/>
          <w:sz w:val="28"/>
        </w:rPr>
        <w:t>历年平均气温</w:t>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16℃</w:t>
      </w:r>
    </w:p>
    <w:p>
      <w:pPr>
        <w:pStyle w:val="Normal0"/>
        <w:snapToGrid w:val="0"/>
        <w:spacing w:line="360" w:lineRule="auto"/>
        <w:ind w:firstLine="570"/>
        <w:jc w:val="left"/>
        <w:rPr>
          <w:sz w:val="28"/>
        </w:rPr>
      </w:pPr>
      <w:r>
        <w:rPr>
          <w:rFonts w:hint="eastAsia"/>
          <w:sz w:val="28"/>
        </w:rPr>
        <w:t>极端最高气温</w:t>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rFonts w:hint="eastAsia"/>
          <w:sz w:val="28"/>
        </w:rPr>
        <w:tab/>
      </w:r>
      <w:r>
        <w:rPr>
          <w:sz w:val="28"/>
        </w:rPr>
        <w:t>39.9</w:t>
      </w:r>
      <w:r>
        <w:rPr>
          <w:rFonts w:hint="eastAsia"/>
          <w:sz w:val="28"/>
        </w:rPr>
        <w:t>℃</w:t>
      </w:r>
      <w:r>
        <w:rPr>
          <w:sz w:val="28"/>
        </w:rPr>
        <w:t>(1978.7.7)</w:t>
      </w:r>
    </w:p>
    <w:p>
      <w:pPr>
        <w:pStyle w:val="Normal0"/>
        <w:snapToGrid w:val="0"/>
        <w:spacing w:line="360" w:lineRule="auto"/>
        <w:ind w:firstLine="570"/>
        <w:jc w:val="left"/>
        <w:rPr>
          <w:sz w:val="28"/>
        </w:rPr>
      </w:pPr>
      <w:r>
        <w:rPr>
          <w:rFonts w:hint="eastAsia"/>
          <w:sz w:val="28"/>
        </w:rPr>
        <w:t>极端最低气温</w:t>
      </w:r>
      <w:r>
        <w:rPr>
          <w:sz w:val="28"/>
        </w:rPr>
        <w:tab/>
      </w:r>
      <w:r>
        <w:rPr>
          <w:sz w:val="28"/>
        </w:rPr>
        <w:tab/>
      </w:r>
      <w:r>
        <w:rPr>
          <w:sz w:val="28"/>
        </w:rPr>
        <w:tab/>
      </w:r>
      <w:r>
        <w:rPr>
          <w:sz w:val="28"/>
        </w:rPr>
        <w:tab/>
      </w:r>
      <w:r>
        <w:rPr>
          <w:sz w:val="28"/>
        </w:rPr>
        <w:tab/>
      </w:r>
      <w:r>
        <w:rPr>
          <w:sz w:val="28"/>
        </w:rPr>
        <w:tab/>
      </w:r>
      <w:r>
        <w:rPr>
          <w:sz w:val="28"/>
        </w:rPr>
        <w:tab/>
      </w:r>
      <w:r>
        <w:rPr>
          <w:sz w:val="28"/>
        </w:rPr>
        <w:t>-9.6</w:t>
      </w:r>
      <w:r>
        <w:rPr>
          <w:rFonts w:hint="eastAsia"/>
          <w:sz w:val="28"/>
        </w:rPr>
        <w:t>℃</w:t>
      </w:r>
      <w:r>
        <w:rPr>
          <w:sz w:val="28"/>
        </w:rPr>
        <w:t>(1969.2.6)</w:t>
      </w:r>
    </w:p>
    <w:p>
      <w:pPr>
        <w:pStyle w:val="Normal0"/>
        <w:snapToGrid w:val="0"/>
        <w:spacing w:line="360" w:lineRule="auto"/>
        <w:ind w:firstLine="570"/>
        <w:jc w:val="left"/>
        <w:rPr>
          <w:sz w:val="28"/>
        </w:rPr>
      </w:pPr>
      <w:r>
        <w:rPr>
          <w:rFonts w:hint="eastAsia"/>
          <w:sz w:val="28"/>
        </w:rPr>
        <w:t>历年平均相对湿度</w:t>
      </w:r>
      <w:r>
        <w:rPr>
          <w:sz w:val="28"/>
        </w:rPr>
        <w:tab/>
      </w:r>
      <w:r>
        <w:rPr>
          <w:sz w:val="28"/>
        </w:rPr>
        <w:tab/>
      </w:r>
      <w:r>
        <w:rPr>
          <w:sz w:val="28"/>
        </w:rPr>
        <w:tab/>
      </w:r>
      <w:r>
        <w:rPr>
          <w:sz w:val="28"/>
        </w:rPr>
        <w:tab/>
      </w:r>
      <w:r>
        <w:rPr>
          <w:sz w:val="28"/>
        </w:rPr>
        <w:tab/>
      </w:r>
      <w:r>
        <w:rPr>
          <w:sz w:val="28"/>
        </w:rPr>
        <w:tab/>
      </w:r>
      <w:r>
        <w:rPr>
          <w:sz w:val="28"/>
        </w:rPr>
        <w:t>80%</w:t>
      </w:r>
    </w:p>
    <w:p>
      <w:pPr>
        <w:pStyle w:val="Normal0"/>
        <w:snapToGrid w:val="0"/>
        <w:spacing w:line="360" w:lineRule="auto"/>
        <w:ind w:firstLine="570"/>
        <w:jc w:val="left"/>
        <w:rPr>
          <w:sz w:val="28"/>
        </w:rPr>
      </w:pPr>
      <w:r>
        <w:rPr>
          <w:rFonts w:hint="eastAsia"/>
          <w:sz w:val="28"/>
        </w:rPr>
        <w:t>历年平均降水量</w:t>
      </w:r>
      <w:r>
        <w:rPr>
          <w:sz w:val="28"/>
        </w:rPr>
        <w:tab/>
      </w:r>
      <w:r>
        <w:rPr>
          <w:sz w:val="28"/>
        </w:rPr>
        <w:tab/>
      </w:r>
      <w:r>
        <w:rPr>
          <w:sz w:val="28"/>
        </w:rPr>
        <w:tab/>
      </w:r>
      <w:r>
        <w:rPr>
          <w:sz w:val="28"/>
        </w:rPr>
        <w:tab/>
      </w:r>
      <w:r>
        <w:rPr>
          <w:sz w:val="28"/>
        </w:rPr>
        <w:tab/>
      </w:r>
      <w:r>
        <w:rPr>
          <w:sz w:val="28"/>
        </w:rPr>
        <w:tab/>
      </w:r>
      <w:r>
        <w:rPr>
          <w:sz w:val="28"/>
        </w:rPr>
        <w:t>1398.3mm</w:t>
      </w:r>
    </w:p>
    <w:p>
      <w:pPr>
        <w:pStyle w:val="Normal0"/>
        <w:snapToGrid w:val="0"/>
        <w:spacing w:line="360" w:lineRule="auto"/>
        <w:ind w:firstLine="570"/>
        <w:jc w:val="left"/>
        <w:rPr>
          <w:sz w:val="28"/>
        </w:rPr>
      </w:pPr>
      <w:r>
        <w:rPr>
          <w:rFonts w:hint="eastAsia"/>
          <w:sz w:val="28"/>
        </w:rPr>
        <w:t>一日最大降水量</w:t>
      </w:r>
      <w:r>
        <w:rPr>
          <w:sz w:val="28"/>
        </w:rPr>
        <w:tab/>
      </w:r>
      <w:r>
        <w:rPr>
          <w:sz w:val="28"/>
        </w:rPr>
        <w:tab/>
      </w:r>
      <w:r>
        <w:rPr>
          <w:sz w:val="28"/>
        </w:rPr>
        <w:tab/>
      </w:r>
      <w:r>
        <w:rPr>
          <w:sz w:val="28"/>
        </w:rPr>
        <w:tab/>
      </w:r>
      <w:r>
        <w:rPr>
          <w:sz w:val="28"/>
        </w:rPr>
        <w:tab/>
      </w:r>
      <w:r>
        <w:rPr>
          <w:sz w:val="28"/>
        </w:rPr>
        <w:tab/>
      </w:r>
      <w:r>
        <w:rPr>
          <w:sz w:val="28"/>
        </w:rPr>
        <w:t>198.3mm</w:t>
      </w:r>
    </w:p>
    <w:p>
      <w:pPr>
        <w:pStyle w:val="Normal0"/>
        <w:snapToGrid w:val="0"/>
        <w:spacing w:line="360" w:lineRule="auto"/>
        <w:ind w:firstLine="570"/>
        <w:jc w:val="left"/>
        <w:rPr>
          <w:sz w:val="28"/>
        </w:rPr>
      </w:pPr>
      <w:r>
        <w:rPr>
          <w:rFonts w:hint="eastAsia"/>
          <w:sz w:val="28"/>
        </w:rPr>
        <w:t>历年平均蒸气量</w:t>
      </w:r>
      <w:r>
        <w:rPr>
          <w:sz w:val="28"/>
        </w:rPr>
        <w:tab/>
      </w:r>
      <w:r>
        <w:rPr>
          <w:sz w:val="28"/>
        </w:rPr>
        <w:tab/>
      </w:r>
      <w:r>
        <w:rPr>
          <w:sz w:val="28"/>
        </w:rPr>
        <w:tab/>
      </w:r>
      <w:r>
        <w:rPr>
          <w:sz w:val="28"/>
        </w:rPr>
        <w:tab/>
      </w:r>
      <w:r>
        <w:rPr>
          <w:sz w:val="28"/>
        </w:rPr>
        <w:tab/>
      </w:r>
      <w:r>
        <w:rPr>
          <w:sz w:val="28"/>
        </w:rPr>
        <w:tab/>
      </w:r>
      <w:r>
        <w:rPr>
          <w:sz w:val="28"/>
        </w:rPr>
        <w:t>1309.6mm</w:t>
      </w:r>
    </w:p>
    <w:p>
      <w:pPr>
        <w:pStyle w:val="Normal0"/>
        <w:snapToGrid w:val="0"/>
        <w:spacing w:line="360" w:lineRule="auto"/>
        <w:ind w:firstLine="570"/>
        <w:jc w:val="left"/>
        <w:rPr>
          <w:sz w:val="28"/>
        </w:rPr>
      </w:pPr>
      <w:r>
        <w:rPr>
          <w:rFonts w:hint="eastAsia"/>
          <w:sz w:val="28"/>
        </w:rPr>
        <w:t>最大积雪深度</w:t>
      </w:r>
      <w:r>
        <w:rPr>
          <w:sz w:val="28"/>
        </w:rPr>
        <w:tab/>
      </w:r>
      <w:r>
        <w:rPr>
          <w:sz w:val="28"/>
        </w:rPr>
        <w:tab/>
      </w:r>
      <w:r>
        <w:rPr>
          <w:sz w:val="28"/>
        </w:rPr>
        <w:tab/>
      </w:r>
      <w:r>
        <w:rPr>
          <w:sz w:val="28"/>
        </w:rPr>
        <w:tab/>
      </w:r>
      <w:r>
        <w:rPr>
          <w:sz w:val="28"/>
        </w:rPr>
        <w:tab/>
      </w:r>
      <w:r>
        <w:rPr>
          <w:sz w:val="28"/>
        </w:rPr>
        <w:tab/>
      </w:r>
      <w:r>
        <w:rPr>
          <w:sz w:val="28"/>
        </w:rPr>
        <w:tab/>
      </w:r>
      <w:r>
        <w:rPr>
          <w:sz w:val="28"/>
        </w:rPr>
        <w:t>23mm(1977.1.30)</w:t>
      </w:r>
    </w:p>
    <w:p>
      <w:pPr>
        <w:pStyle w:val="Normal0"/>
        <w:snapToGrid w:val="0"/>
        <w:spacing w:line="360" w:lineRule="auto"/>
        <w:ind w:firstLine="570"/>
        <w:jc w:val="left"/>
        <w:rPr>
          <w:sz w:val="28"/>
        </w:rPr>
      </w:pPr>
      <w:r>
        <w:rPr>
          <w:rFonts w:hint="eastAsia"/>
          <w:sz w:val="28"/>
        </w:rPr>
        <w:t>历年平均风速</w:t>
      </w:r>
      <w:r>
        <w:rPr>
          <w:sz w:val="28"/>
        </w:rPr>
        <w:tab/>
      </w:r>
      <w:r>
        <w:rPr>
          <w:sz w:val="28"/>
        </w:rPr>
        <w:tab/>
      </w:r>
      <w:r>
        <w:rPr>
          <w:sz w:val="28"/>
        </w:rPr>
        <w:tab/>
      </w:r>
      <w:r>
        <w:rPr>
          <w:sz w:val="28"/>
        </w:rPr>
        <w:tab/>
      </w:r>
      <w:r>
        <w:rPr>
          <w:sz w:val="28"/>
        </w:rPr>
        <w:tab/>
      </w:r>
      <w:r>
        <w:rPr>
          <w:sz w:val="28"/>
        </w:rPr>
        <w:tab/>
      </w:r>
      <w:r>
        <w:rPr>
          <w:sz w:val="28"/>
        </w:rPr>
        <w:tab/>
      </w:r>
      <w:r>
        <w:rPr>
          <w:sz w:val="28"/>
        </w:rPr>
        <w:t>2.3m/s</w:t>
      </w:r>
    </w:p>
    <w:p>
      <w:pPr>
        <w:pStyle w:val="Normal0"/>
        <w:snapToGrid w:val="0"/>
        <w:spacing w:line="360" w:lineRule="auto"/>
        <w:ind w:firstLine="570"/>
        <w:jc w:val="left"/>
        <w:rPr>
          <w:sz w:val="28"/>
        </w:rPr>
      </w:pPr>
      <w:r>
        <w:rPr>
          <w:rFonts w:hint="eastAsia"/>
          <w:sz w:val="28"/>
        </w:rPr>
        <w:t>常年主导风向</w:t>
      </w:r>
      <w:r>
        <w:rPr>
          <w:sz w:val="28"/>
        </w:rPr>
        <w:tab/>
      </w:r>
      <w:r>
        <w:rPr>
          <w:sz w:val="28"/>
        </w:rPr>
        <w:tab/>
      </w:r>
      <w:r>
        <w:rPr>
          <w:sz w:val="28"/>
        </w:rPr>
        <w:tab/>
      </w:r>
      <w:r>
        <w:rPr>
          <w:sz w:val="28"/>
        </w:rPr>
        <w:tab/>
      </w:r>
      <w:r>
        <w:rPr>
          <w:sz w:val="28"/>
        </w:rPr>
        <w:tab/>
      </w:r>
      <w:r>
        <w:rPr>
          <w:sz w:val="28"/>
        </w:rPr>
        <w:tab/>
      </w:r>
      <w:r>
        <w:rPr>
          <w:sz w:val="28"/>
        </w:rPr>
        <w:tab/>
      </w:r>
      <w:r>
        <w:rPr>
          <w:sz w:val="28"/>
        </w:rPr>
        <w:t>NN</w:t>
      </w:r>
      <w:r>
        <w:rPr>
          <w:rFonts w:hint="eastAsia"/>
          <w:sz w:val="28"/>
        </w:rPr>
        <w:t>W</w:t>
      </w:r>
    </w:p>
    <w:p>
      <w:pPr>
        <w:pStyle w:val="Normal0"/>
        <w:spacing w:line="440" w:lineRule="atLeast"/>
        <w:outlineLvl w:val="0"/>
        <w:rPr>
          <w:rFonts w:hint="eastAsia"/>
          <w:sz w:val="28"/>
        </w:rPr>
      </w:pPr>
    </w:p>
    <w:p>
      <w:pPr>
        <w:pStyle w:val="Normal0"/>
        <w:spacing w:line="440" w:lineRule="atLeast"/>
        <w:outlineLvl w:val="0"/>
        <w:rPr>
          <w:rFonts w:hint="eastAsia"/>
          <w:sz w:val="28"/>
        </w:rPr>
      </w:pPr>
    </w:p>
    <w:p>
      <w:pPr>
        <w:pStyle w:val="Normal0"/>
        <w:spacing w:line="440" w:lineRule="atLeast"/>
        <w:outlineLvl w:val="0"/>
        <w:rPr>
          <w:rFonts w:hint="eastAsia"/>
          <w:sz w:val="28"/>
        </w:rPr>
        <w:sectPr>
          <w:type w:val="nextPage"/>
          <w:pgSz w:w="11906" w:h="16838"/>
          <w:pgMar w:top="1440" w:right="1800" w:bottom="1440" w:left="1800" w:header="851" w:footer="992" w:gutter="0"/>
          <w:pgNumType w:start="14"/>
          <w:cols w:num="1" w:space="425"/>
          <w:titlePg w:val="0"/>
          <w:docGrid w:type="lines" w:linePitch="312" w:charSpace="0"/>
        </w:sectPr>
      </w:pPr>
      <w:r>
        <w:rPr>
          <w:rFonts w:hint="eastAsia"/>
          <w:sz w:val="28"/>
        </w:rPr>
        <w:t>2、污染气象分析</w:t>
      </w:r>
    </w:p>
    <w:p>
      <w:pPr>
        <w:pStyle w:val="Normal0"/>
        <w:spacing w:line="360" w:lineRule="auto"/>
        <w:outlineLvl w:val="0"/>
        <w:rPr>
          <w:rFonts w:hint="eastAsia"/>
          <w:sz w:val="28"/>
        </w:rPr>
      </w:pPr>
      <w:r>
        <w:rPr>
          <w:sz w:val="28"/>
        </w:rPr>
        <w:fldChar w:fldCharType="begin"/>
      </w:r>
      <w:r>
        <w:rPr>
          <w:sz w:val="28"/>
        </w:rPr>
        <w:instrText xml:space="preserve"> = 1 \* GB3 </w:instrText>
      </w:r>
      <w:r>
        <w:rPr>
          <w:sz w:val="28"/>
        </w:rPr>
        <w:fldChar w:fldCharType="separate"/>
      </w:r>
      <w:r>
        <w:rPr>
          <w:rFonts w:hint="eastAsia"/>
          <w:sz w:val="28"/>
        </w:rPr>
        <w:t>①</w:t>
      </w:r>
      <w:r>
        <w:rPr>
          <w:sz w:val="28"/>
        </w:rPr>
        <w:fldChar w:fldCharType="end"/>
      </w:r>
      <w:r>
        <w:rPr>
          <w:rFonts w:hint="eastAsia"/>
          <w:sz w:val="28"/>
        </w:rPr>
        <w:t>、地面风向频率</w:t>
      </w:r>
    </w:p>
    <w:p>
      <w:pPr>
        <w:pStyle w:val="Normal0"/>
        <w:spacing w:line="360" w:lineRule="auto"/>
        <w:ind w:firstLine="560"/>
        <w:rPr>
          <w:rFonts w:hint="eastAsia"/>
          <w:sz w:val="28"/>
        </w:rPr>
      </w:pPr>
      <w:r>
        <w:rPr>
          <w:rFonts w:hint="eastAsia"/>
          <w:sz w:val="28"/>
        </w:rPr>
        <w:t>风向决定了污染物迁移输送方向，因此风向频率大小可初略地了解受污染的机会。根据近三年资料（1998—2000年），杭州市全年以SSW风为最多，其次为偏北风（NW、NNW、N）。春夏季以南风为主，偏东风次之，秋冬季以偏北风为主（表2-3）。</w:t>
      </w:r>
    </w:p>
    <w:p>
      <w:pPr>
        <w:pStyle w:val="Normal0"/>
        <w:spacing w:line="360" w:lineRule="auto"/>
        <w:outlineLvl w:val="0"/>
        <w:rPr>
          <w:rFonts w:hint="eastAsia"/>
          <w:sz w:val="28"/>
        </w:rPr>
      </w:pPr>
      <w:r>
        <w:rPr>
          <w:sz w:val="28"/>
        </w:rPr>
        <w:fldChar w:fldCharType="begin"/>
      </w:r>
      <w:r>
        <w:rPr>
          <w:sz w:val="28"/>
        </w:rPr>
        <w:instrText xml:space="preserve"> = 2 \* GB3 </w:instrText>
      </w:r>
      <w:r>
        <w:rPr>
          <w:sz w:val="28"/>
        </w:rPr>
        <w:fldChar w:fldCharType="separate"/>
      </w:r>
      <w:r>
        <w:rPr>
          <w:rFonts w:hint="eastAsia"/>
          <w:sz w:val="28"/>
        </w:rPr>
        <w:t>②</w:t>
      </w:r>
      <w:r>
        <w:rPr>
          <w:sz w:val="28"/>
        </w:rPr>
        <w:fldChar w:fldCharType="end"/>
      </w:r>
      <w:r>
        <w:rPr>
          <w:rFonts w:hint="eastAsia"/>
          <w:sz w:val="28"/>
        </w:rPr>
        <w:t>、平均风速</w:t>
      </w:r>
    </w:p>
    <w:p>
      <w:pPr>
        <w:pStyle w:val="Normal0"/>
        <w:spacing w:line="360" w:lineRule="auto"/>
        <w:ind w:firstLine="480"/>
        <w:rPr>
          <w:rFonts w:hint="eastAsia"/>
          <w:sz w:val="28"/>
        </w:rPr>
      </w:pPr>
      <w:r>
        <w:rPr>
          <w:rFonts w:hint="eastAsia"/>
          <w:sz w:val="28"/>
        </w:rPr>
        <w:t>近三年平均风速为</w:t>
      </w:r>
      <w:r>
        <w:rPr>
          <w:sz w:val="28"/>
        </w:rPr>
        <w:t>1.95m/s</w:t>
      </w:r>
      <w:r>
        <w:rPr>
          <w:rFonts w:hint="eastAsia"/>
          <w:sz w:val="28"/>
        </w:rPr>
        <w:t>，各风向中以偏北风风速为最大，偏西风最小。（表2-4）。</w:t>
      </w:r>
    </w:p>
    <w:p>
      <w:pPr>
        <w:pStyle w:val="Normal0"/>
        <w:spacing w:line="360" w:lineRule="auto"/>
        <w:outlineLvl w:val="0"/>
        <w:rPr>
          <w:rFonts w:hint="eastAsia"/>
          <w:sz w:val="28"/>
        </w:rPr>
      </w:pPr>
      <w:r>
        <w:rPr>
          <w:sz w:val="28"/>
        </w:rPr>
        <w:fldChar w:fldCharType="begin"/>
      </w:r>
      <w:r>
        <w:rPr>
          <w:sz w:val="28"/>
        </w:rPr>
        <w:instrText xml:space="preserve"> = 3 \* GB3 </w:instrText>
      </w:r>
      <w:r>
        <w:rPr>
          <w:sz w:val="28"/>
        </w:rPr>
        <w:fldChar w:fldCharType="separate"/>
      </w:r>
      <w:r>
        <w:rPr>
          <w:rFonts w:hint="eastAsia"/>
          <w:sz w:val="28"/>
        </w:rPr>
        <w:t>③</w:t>
      </w:r>
      <w:r>
        <w:rPr>
          <w:sz w:val="28"/>
        </w:rPr>
        <w:fldChar w:fldCharType="end"/>
      </w:r>
      <w:r>
        <w:rPr>
          <w:rFonts w:hint="eastAsia"/>
          <w:sz w:val="28"/>
        </w:rPr>
        <w:t>、污染系数</w:t>
      </w:r>
    </w:p>
    <w:p>
      <w:pPr>
        <w:pStyle w:val="Normal0"/>
        <w:spacing w:line="360" w:lineRule="auto"/>
        <w:ind w:firstLine="560"/>
        <w:rPr>
          <w:rFonts w:hint="eastAsia"/>
          <w:sz w:val="28"/>
        </w:rPr>
      </w:pPr>
      <w:r>
        <w:rPr>
          <w:rFonts w:hint="eastAsia"/>
          <w:sz w:val="28"/>
        </w:rPr>
        <w:t>进入大气的污染物被风吹向下风向，因此，风向指示了污染物的输送方向。污染系数综合考虑了风向频率和风速的共同影响，在一定程度上指示了污染源下风向受污染的程度，比风向频率更具有实际意</w:t>
      </w:r>
    </w:p>
    <w:p>
      <w:pPr>
        <w:pStyle w:val="Normal0"/>
        <w:spacing w:line="360" w:lineRule="auto"/>
        <w:rPr>
          <w:rFonts w:hint="eastAsia"/>
          <w:sz w:val="24"/>
        </w:rPr>
      </w:pPr>
      <w:r>
        <w:rPr>
          <w:rFonts w:hint="eastAsia"/>
          <w:sz w:val="28"/>
        </w:rPr>
        <w:t>义。污染系数可以定义为：</w:t>
      </w:r>
    </w:p>
    <w:p>
      <w:pPr>
        <w:pStyle w:val="Normal0"/>
        <w:spacing w:line="360" w:lineRule="auto"/>
        <w:rPr>
          <w:rFonts w:hint="eastAsia"/>
          <w:sz w:val="28"/>
        </w:rPr>
      </w:pPr>
    </w:p>
    <w:p>
      <w:pPr>
        <w:pStyle w:val="Normal0"/>
        <w:spacing w:line="360" w:lineRule="auto"/>
        <w:rPr>
          <w:rFonts w:hint="eastAsia"/>
          <w:sz w:val="28"/>
        </w:rPr>
      </w:pPr>
      <w:r>
        <w:rPr>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126pt;height:49.75pt;margin-top:0;margin-left:153pt;mso-height-relative:page;mso-width-relative:page;mso-wrap-distance-bottom:0;mso-wrap-distance-top:0;position:absolute;z-index:251658240" coordsize="21600,21600" o:allowincell="f" o:preferrelative="t" filled="f" stroked="f">
            <v:stroke joinstyle="miter"/>
            <v:imagedata r:id="rId5" o:title=""/>
            <o:lock v:ext="edit" aspectratio="t"/>
            <w10:wrap type="topAndBottom"/>
          </v:shape>
          <o:OLEObject Type="Embed" ProgID="Equation.3" ShapeID="_x0000_s1025" DrawAspect="Content" ObjectID="_1468075725" r:id="rId6"/>
        </w:pict>
      </w:r>
      <w:r>
        <w:rPr>
          <w:rFonts w:hint="eastAsia"/>
          <w:sz w:val="28"/>
        </w:rPr>
        <w:t>式中：</w:t>
      </w:r>
      <w:r>
        <w:rPr>
          <w:sz w:val="28"/>
        </w:rPr>
        <w:t>S</w:t>
      </w:r>
      <w:r>
        <w:rPr>
          <w:sz w:val="28"/>
          <w:vertAlign w:val="subscript"/>
        </w:rPr>
        <w:t>i</w:t>
      </w:r>
      <w:r>
        <w:rPr>
          <w:rFonts w:hint="eastAsia"/>
          <w:sz w:val="28"/>
        </w:rPr>
        <w:t>、</w:t>
      </w:r>
      <w:r>
        <w:rPr>
          <w:sz w:val="28"/>
        </w:rPr>
        <w:t>f</w:t>
      </w:r>
      <w:r>
        <w:rPr>
          <w:sz w:val="28"/>
          <w:vertAlign w:val="subscript"/>
        </w:rPr>
        <w:t>i</w:t>
      </w:r>
      <w:r>
        <w:rPr>
          <w:rFonts w:hint="eastAsia"/>
          <w:sz w:val="28"/>
        </w:rPr>
        <w:t>、</w:t>
      </w:r>
      <w:r>
        <w:rPr>
          <w:sz w:val="28"/>
        </w:rPr>
        <w:t>U</w:t>
      </w:r>
      <w:r>
        <w:rPr>
          <w:sz w:val="28"/>
          <w:vertAlign w:val="subscript"/>
        </w:rPr>
        <w:t>i</w:t>
      </w:r>
      <w:r>
        <w:rPr>
          <w:rFonts w:hint="eastAsia"/>
          <w:sz w:val="28"/>
        </w:rPr>
        <w:t>分别表示</w:t>
      </w:r>
      <w:r>
        <w:rPr>
          <w:sz w:val="28"/>
        </w:rPr>
        <w:t>I</w:t>
      </w:r>
      <w:r>
        <w:rPr>
          <w:rFonts w:hint="eastAsia"/>
          <w:sz w:val="28"/>
        </w:rPr>
        <w:t>风向的污染系数（%）、风向频率（%）、平均风速（</w:t>
      </w:r>
      <w:r>
        <w:rPr>
          <w:sz w:val="28"/>
        </w:rPr>
        <w:t>m/s</w:t>
      </w:r>
      <w:r>
        <w:rPr>
          <w:rFonts w:hint="eastAsia"/>
          <w:sz w:val="28"/>
        </w:rPr>
        <w:t>）。表2-5给出了杭州市各月份各风向的污染系数。</w:t>
      </w:r>
    </w:p>
    <w:p>
      <w:pPr>
        <w:pStyle w:val="Normal0"/>
        <w:spacing w:line="480" w:lineRule="auto"/>
        <w:jc w:val="center"/>
        <w:outlineLvl w:val="0"/>
        <w:rPr>
          <w:rFonts w:hint="eastAsia"/>
          <w:sz w:val="28"/>
        </w:rPr>
      </w:pPr>
    </w:p>
    <w:p>
      <w:pPr>
        <w:pStyle w:val="Normal0"/>
        <w:spacing w:line="480" w:lineRule="auto"/>
        <w:jc w:val="center"/>
        <w:outlineLvl w:val="0"/>
        <w:rPr>
          <w:rFonts w:hint="eastAsia"/>
          <w:sz w:val="28"/>
        </w:rPr>
      </w:pPr>
    </w:p>
    <w:p>
      <w:pPr>
        <w:pStyle w:val="Normal0"/>
        <w:spacing w:line="480" w:lineRule="auto"/>
        <w:jc w:val="center"/>
        <w:outlineLvl w:val="0"/>
        <w:rPr>
          <w:rFonts w:hint="eastAsia"/>
          <w:sz w:val="28"/>
        </w:rPr>
      </w:pPr>
    </w:p>
    <w:p>
      <w:pPr>
        <w:pStyle w:val="Normal0"/>
        <w:spacing w:line="480" w:lineRule="auto"/>
        <w:jc w:val="center"/>
        <w:outlineLvl w:val="0"/>
        <w:rPr>
          <w:rFonts w:hint="eastAsia"/>
          <w:sz w:val="28"/>
        </w:rPr>
      </w:pPr>
      <w:r>
        <w:rPr>
          <w:rFonts w:hint="eastAsia"/>
          <w:sz w:val="28"/>
        </w:rPr>
        <w:t>表2-3杭州市气象站1998-2000年各风向频率（%）</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snapToGrid w:val="0"/>
              <w:jc w:val="center"/>
              <w:rPr>
                <w:rFonts w:hint="eastAsia"/>
                <w:sz w:val="24"/>
              </w:rPr>
            </w:pPr>
            <w:r>
              <w:rPr>
                <w:rFonts w:hint="eastAsia"/>
                <w:sz w:val="24"/>
              </w:rPr>
              <w:t>风向</w:t>
            </w:r>
          </w:p>
        </w:tc>
        <w:tc>
          <w:tcPr>
            <w:tcW w:w="1420" w:type="dxa"/>
            <w:vAlign w:val="center"/>
          </w:tcPr>
          <w:p>
            <w:pPr>
              <w:pStyle w:val="Normal0"/>
              <w:snapToGrid w:val="0"/>
              <w:jc w:val="center"/>
              <w:rPr>
                <w:rFonts w:hint="eastAsia"/>
                <w:sz w:val="24"/>
              </w:rPr>
            </w:pPr>
            <w:r>
              <w:rPr>
                <w:rFonts w:hint="eastAsia"/>
                <w:sz w:val="24"/>
              </w:rPr>
              <w:t>一月</w:t>
            </w:r>
          </w:p>
        </w:tc>
        <w:tc>
          <w:tcPr>
            <w:tcW w:w="1420" w:type="dxa"/>
            <w:vAlign w:val="center"/>
          </w:tcPr>
          <w:p>
            <w:pPr>
              <w:pStyle w:val="Normal0"/>
              <w:snapToGrid w:val="0"/>
              <w:jc w:val="center"/>
              <w:rPr>
                <w:rFonts w:hint="eastAsia"/>
                <w:sz w:val="24"/>
              </w:rPr>
            </w:pPr>
            <w:r>
              <w:rPr>
                <w:rFonts w:hint="eastAsia"/>
                <w:sz w:val="24"/>
              </w:rPr>
              <w:t>四月</w:t>
            </w:r>
          </w:p>
        </w:tc>
        <w:tc>
          <w:tcPr>
            <w:tcW w:w="1420" w:type="dxa"/>
            <w:vAlign w:val="center"/>
          </w:tcPr>
          <w:p>
            <w:pPr>
              <w:pStyle w:val="Normal0"/>
              <w:snapToGrid w:val="0"/>
              <w:jc w:val="center"/>
              <w:rPr>
                <w:rFonts w:hint="eastAsia"/>
                <w:sz w:val="24"/>
              </w:rPr>
            </w:pPr>
            <w:r>
              <w:rPr>
                <w:rFonts w:hint="eastAsia"/>
                <w:sz w:val="24"/>
              </w:rPr>
              <w:t>七月</w:t>
            </w:r>
          </w:p>
        </w:tc>
        <w:tc>
          <w:tcPr>
            <w:tcW w:w="1421" w:type="dxa"/>
            <w:vAlign w:val="center"/>
          </w:tcPr>
          <w:p>
            <w:pPr>
              <w:pStyle w:val="Normal0"/>
              <w:snapToGrid w:val="0"/>
              <w:jc w:val="center"/>
              <w:rPr>
                <w:rFonts w:hint="eastAsia"/>
                <w:sz w:val="24"/>
              </w:rPr>
            </w:pPr>
            <w:r>
              <w:rPr>
                <w:rFonts w:hint="eastAsia"/>
                <w:sz w:val="24"/>
              </w:rPr>
              <w:t>十月</w:t>
            </w:r>
          </w:p>
        </w:tc>
        <w:tc>
          <w:tcPr>
            <w:tcW w:w="1421" w:type="dxa"/>
            <w:tcBorders>
              <w:right w:val="single" w:sz="4" w:space="0" w:color="auto"/>
            </w:tcBorders>
            <w:vAlign w:val="center"/>
          </w:tcPr>
          <w:p>
            <w:pPr>
              <w:pStyle w:val="Normal0"/>
              <w:snapToGrid w:val="0"/>
              <w:jc w:val="center"/>
              <w:rPr>
                <w:rFonts w:hint="eastAsia"/>
                <w:sz w:val="24"/>
              </w:rPr>
            </w:pPr>
            <w:r>
              <w:rPr>
                <w:rFonts w:hint="eastAsia"/>
                <w:sz w:val="24"/>
              </w:rPr>
              <w:t>全年</w:t>
            </w:r>
          </w:p>
        </w:tc>
      </w:tr>
    </w:tbl>
    <w:p>
      <w:pPr>
        <w:sectPr>
          <w:type w:val="nextPage"/>
          <w:pgSz w:w="11906" w:h="16838"/>
          <w:pgMar w:top="1440" w:right="1800" w:bottom="1440" w:left="1800" w:header="851" w:footer="992" w:gutter="0"/>
          <w:pgNumType w:start="15"/>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C</w:t>
            </w:r>
          </w:p>
        </w:tc>
        <w:tc>
          <w:tcPr>
            <w:tcW w:w="1420" w:type="dxa"/>
          </w:tcPr>
          <w:p>
            <w:pPr>
              <w:pStyle w:val="Normal0"/>
              <w:snapToGrid w:val="0"/>
              <w:jc w:val="center"/>
              <w:rPr>
                <w:rFonts w:hint="eastAsia"/>
                <w:sz w:val="24"/>
              </w:rPr>
            </w:pPr>
            <w:r>
              <w:rPr>
                <w:rFonts w:hint="eastAsia"/>
                <w:sz w:val="24"/>
              </w:rPr>
              <w:t>4.56</w:t>
            </w:r>
          </w:p>
        </w:tc>
        <w:tc>
          <w:tcPr>
            <w:tcW w:w="1420" w:type="dxa"/>
          </w:tcPr>
          <w:p>
            <w:pPr>
              <w:pStyle w:val="Normal0"/>
              <w:snapToGrid w:val="0"/>
              <w:jc w:val="center"/>
              <w:rPr>
                <w:rFonts w:hint="eastAsia"/>
                <w:sz w:val="24"/>
              </w:rPr>
            </w:pPr>
            <w:r>
              <w:rPr>
                <w:rFonts w:hint="eastAsia"/>
                <w:sz w:val="24"/>
              </w:rPr>
              <w:t>3.62</w:t>
            </w:r>
          </w:p>
        </w:tc>
        <w:tc>
          <w:tcPr>
            <w:tcW w:w="1420" w:type="dxa"/>
          </w:tcPr>
          <w:p>
            <w:pPr>
              <w:pStyle w:val="Normal0"/>
              <w:snapToGrid w:val="0"/>
              <w:jc w:val="center"/>
              <w:rPr>
                <w:rFonts w:hint="eastAsia"/>
                <w:sz w:val="24"/>
              </w:rPr>
            </w:pPr>
            <w:r>
              <w:rPr>
                <w:rFonts w:hint="eastAsia"/>
                <w:sz w:val="24"/>
              </w:rPr>
              <w:t>2.69</w:t>
            </w:r>
          </w:p>
        </w:tc>
        <w:tc>
          <w:tcPr>
            <w:tcW w:w="1421" w:type="dxa"/>
          </w:tcPr>
          <w:p>
            <w:pPr>
              <w:pStyle w:val="a"/>
              <w:rPr>
                <w:rFonts w:hint="eastAsia"/>
              </w:rPr>
            </w:pPr>
            <w:r>
              <w:rPr>
                <w:rFonts w:hint="eastAsia"/>
              </w:rPr>
              <w:t>6.45</w:t>
            </w:r>
          </w:p>
        </w:tc>
        <w:tc>
          <w:tcPr>
            <w:tcW w:w="1421" w:type="dxa"/>
            <w:tcBorders>
              <w:right w:val="single" w:sz="4" w:space="0" w:color="auto"/>
            </w:tcBorders>
          </w:tcPr>
          <w:p>
            <w:pPr>
              <w:pStyle w:val="Normal0"/>
              <w:snapToGrid w:val="0"/>
              <w:jc w:val="center"/>
              <w:rPr>
                <w:rFonts w:hint="eastAsia"/>
                <w:sz w:val="24"/>
              </w:rPr>
            </w:pPr>
            <w:r>
              <w:rPr>
                <w:rFonts w:hint="eastAsia"/>
                <w:sz w:val="24"/>
              </w:rPr>
              <w:t>4.77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N</w:t>
            </w:r>
          </w:p>
        </w:tc>
        <w:tc>
          <w:tcPr>
            <w:tcW w:w="1420" w:type="dxa"/>
          </w:tcPr>
          <w:p>
            <w:pPr>
              <w:pStyle w:val="Normal0"/>
              <w:snapToGrid w:val="0"/>
              <w:jc w:val="center"/>
              <w:rPr>
                <w:rFonts w:hint="eastAsia"/>
                <w:sz w:val="24"/>
              </w:rPr>
            </w:pPr>
            <w:r>
              <w:rPr>
                <w:rFonts w:hint="eastAsia"/>
                <w:sz w:val="24"/>
              </w:rPr>
              <w:t>17.20</w:t>
            </w:r>
          </w:p>
        </w:tc>
        <w:tc>
          <w:tcPr>
            <w:tcW w:w="1420" w:type="dxa"/>
          </w:tcPr>
          <w:p>
            <w:pPr>
              <w:pStyle w:val="Normal0"/>
              <w:snapToGrid w:val="0"/>
              <w:jc w:val="center"/>
              <w:rPr>
                <w:rFonts w:hint="eastAsia"/>
                <w:sz w:val="24"/>
              </w:rPr>
            </w:pPr>
            <w:r>
              <w:rPr>
                <w:rFonts w:hint="eastAsia"/>
                <w:sz w:val="24"/>
              </w:rPr>
              <w:t>7.50</w:t>
            </w:r>
          </w:p>
        </w:tc>
        <w:tc>
          <w:tcPr>
            <w:tcW w:w="1420" w:type="dxa"/>
          </w:tcPr>
          <w:p>
            <w:pPr>
              <w:pStyle w:val="Normal0"/>
              <w:snapToGrid w:val="0"/>
              <w:jc w:val="center"/>
              <w:rPr>
                <w:rFonts w:hint="eastAsia"/>
                <w:sz w:val="24"/>
              </w:rPr>
            </w:pPr>
            <w:r>
              <w:rPr>
                <w:rFonts w:hint="eastAsia"/>
                <w:sz w:val="24"/>
              </w:rPr>
              <w:t>2.69</w:t>
            </w:r>
          </w:p>
        </w:tc>
        <w:tc>
          <w:tcPr>
            <w:tcW w:w="1421" w:type="dxa"/>
          </w:tcPr>
          <w:p>
            <w:pPr>
              <w:pStyle w:val="Normal0"/>
              <w:snapToGrid w:val="0"/>
              <w:jc w:val="center"/>
              <w:rPr>
                <w:rFonts w:hint="eastAsia"/>
                <w:sz w:val="24"/>
              </w:rPr>
            </w:pPr>
            <w:r>
              <w:rPr>
                <w:rFonts w:hint="eastAsia"/>
                <w:sz w:val="24"/>
              </w:rPr>
              <w:t>15.32</w:t>
            </w:r>
          </w:p>
        </w:tc>
        <w:tc>
          <w:tcPr>
            <w:tcW w:w="1421" w:type="dxa"/>
            <w:tcBorders>
              <w:right w:val="single" w:sz="4" w:space="0" w:color="auto"/>
            </w:tcBorders>
          </w:tcPr>
          <w:p>
            <w:pPr>
              <w:pStyle w:val="Normal0"/>
              <w:snapToGrid w:val="0"/>
              <w:jc w:val="center"/>
              <w:rPr>
                <w:rFonts w:hint="eastAsia"/>
                <w:sz w:val="24"/>
              </w:rPr>
            </w:pPr>
            <w:r>
              <w:rPr>
                <w:rFonts w:hint="eastAsia"/>
                <w:sz w:val="24"/>
              </w:rPr>
              <w:t>10.52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NNE</w:t>
            </w:r>
          </w:p>
        </w:tc>
        <w:tc>
          <w:tcPr>
            <w:tcW w:w="1420" w:type="dxa"/>
          </w:tcPr>
          <w:p>
            <w:pPr>
              <w:pStyle w:val="Normal0"/>
              <w:snapToGrid w:val="0"/>
              <w:jc w:val="center"/>
              <w:rPr>
                <w:rFonts w:hint="eastAsia"/>
                <w:sz w:val="24"/>
              </w:rPr>
            </w:pPr>
            <w:r>
              <w:rPr>
                <w:rFonts w:hint="eastAsia"/>
                <w:sz w:val="24"/>
              </w:rPr>
              <w:t>6.18</w:t>
            </w:r>
          </w:p>
        </w:tc>
        <w:tc>
          <w:tcPr>
            <w:tcW w:w="1420" w:type="dxa"/>
          </w:tcPr>
          <w:p>
            <w:pPr>
              <w:pStyle w:val="Normal0"/>
              <w:snapToGrid w:val="0"/>
              <w:jc w:val="center"/>
              <w:rPr>
                <w:rFonts w:hint="eastAsia"/>
                <w:sz w:val="24"/>
              </w:rPr>
            </w:pPr>
            <w:r>
              <w:rPr>
                <w:rFonts w:hint="eastAsia"/>
                <w:sz w:val="24"/>
              </w:rPr>
              <w:t>6.11</w:t>
            </w:r>
          </w:p>
        </w:tc>
        <w:tc>
          <w:tcPr>
            <w:tcW w:w="1420" w:type="dxa"/>
          </w:tcPr>
          <w:p>
            <w:pPr>
              <w:pStyle w:val="Normal0"/>
              <w:snapToGrid w:val="0"/>
              <w:jc w:val="center"/>
              <w:rPr>
                <w:rFonts w:hint="eastAsia"/>
                <w:sz w:val="24"/>
              </w:rPr>
            </w:pPr>
            <w:r>
              <w:rPr>
                <w:rFonts w:hint="eastAsia"/>
                <w:sz w:val="24"/>
              </w:rPr>
              <w:t>2.15</w:t>
            </w:r>
          </w:p>
        </w:tc>
        <w:tc>
          <w:tcPr>
            <w:tcW w:w="1421" w:type="dxa"/>
          </w:tcPr>
          <w:p>
            <w:pPr>
              <w:pStyle w:val="Normal0"/>
              <w:snapToGrid w:val="0"/>
              <w:jc w:val="center"/>
              <w:rPr>
                <w:rFonts w:hint="eastAsia"/>
                <w:sz w:val="24"/>
              </w:rPr>
            </w:pPr>
            <w:r>
              <w:rPr>
                <w:rFonts w:hint="eastAsia"/>
                <w:sz w:val="24"/>
              </w:rPr>
              <w:t>6.99</w:t>
            </w:r>
          </w:p>
        </w:tc>
        <w:tc>
          <w:tcPr>
            <w:tcW w:w="1421" w:type="dxa"/>
            <w:tcBorders>
              <w:right w:val="single" w:sz="4" w:space="0" w:color="auto"/>
            </w:tcBorders>
          </w:tcPr>
          <w:p>
            <w:pPr>
              <w:pStyle w:val="Normal0"/>
              <w:snapToGrid w:val="0"/>
              <w:jc w:val="center"/>
              <w:rPr>
                <w:rFonts w:hint="eastAsia"/>
                <w:sz w:val="24"/>
              </w:rPr>
            </w:pPr>
            <w:r>
              <w:rPr>
                <w:rFonts w:hint="eastAsia"/>
                <w:sz w:val="24"/>
              </w:rPr>
              <w:t>5.13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NE</w:t>
            </w:r>
          </w:p>
        </w:tc>
        <w:tc>
          <w:tcPr>
            <w:tcW w:w="1420" w:type="dxa"/>
          </w:tcPr>
          <w:p>
            <w:pPr>
              <w:pStyle w:val="Normal0"/>
              <w:snapToGrid w:val="0"/>
              <w:jc w:val="center"/>
              <w:rPr>
                <w:rFonts w:hint="eastAsia"/>
                <w:sz w:val="24"/>
              </w:rPr>
            </w:pPr>
            <w:r>
              <w:rPr>
                <w:rFonts w:hint="eastAsia"/>
                <w:sz w:val="24"/>
              </w:rPr>
              <w:t>4.30</w:t>
            </w:r>
          </w:p>
        </w:tc>
        <w:tc>
          <w:tcPr>
            <w:tcW w:w="1420" w:type="dxa"/>
          </w:tcPr>
          <w:p>
            <w:pPr>
              <w:pStyle w:val="Normal0"/>
              <w:snapToGrid w:val="0"/>
              <w:jc w:val="center"/>
              <w:rPr>
                <w:rFonts w:hint="eastAsia"/>
                <w:sz w:val="24"/>
              </w:rPr>
            </w:pPr>
            <w:r>
              <w:rPr>
                <w:rFonts w:hint="eastAsia"/>
                <w:sz w:val="24"/>
              </w:rPr>
              <w:t>5.83</w:t>
            </w:r>
          </w:p>
        </w:tc>
        <w:tc>
          <w:tcPr>
            <w:tcW w:w="1420" w:type="dxa"/>
          </w:tcPr>
          <w:p>
            <w:pPr>
              <w:pStyle w:val="Normal0"/>
              <w:snapToGrid w:val="0"/>
              <w:jc w:val="center"/>
              <w:rPr>
                <w:rFonts w:hint="eastAsia"/>
                <w:sz w:val="24"/>
              </w:rPr>
            </w:pPr>
            <w:r>
              <w:rPr>
                <w:rFonts w:hint="eastAsia"/>
                <w:sz w:val="24"/>
              </w:rPr>
              <w:t>4.84</w:t>
            </w:r>
          </w:p>
        </w:tc>
        <w:tc>
          <w:tcPr>
            <w:tcW w:w="1421" w:type="dxa"/>
          </w:tcPr>
          <w:p>
            <w:pPr>
              <w:pStyle w:val="Normal0"/>
              <w:snapToGrid w:val="0"/>
              <w:jc w:val="center"/>
              <w:rPr>
                <w:rFonts w:hint="eastAsia"/>
                <w:sz w:val="24"/>
              </w:rPr>
            </w:pPr>
            <w:r>
              <w:rPr>
                <w:rFonts w:hint="eastAsia"/>
                <w:sz w:val="24"/>
              </w:rPr>
              <w:t>8.87</w:t>
            </w:r>
          </w:p>
        </w:tc>
        <w:tc>
          <w:tcPr>
            <w:tcW w:w="1421" w:type="dxa"/>
            <w:tcBorders>
              <w:right w:val="single" w:sz="4" w:space="0" w:color="auto"/>
            </w:tcBorders>
          </w:tcPr>
          <w:p>
            <w:pPr>
              <w:pStyle w:val="Normal0"/>
              <w:snapToGrid w:val="0"/>
              <w:jc w:val="center"/>
              <w:rPr>
                <w:rFonts w:hint="eastAsia"/>
                <w:sz w:val="24"/>
              </w:rPr>
            </w:pPr>
            <w:r>
              <w:rPr>
                <w:rFonts w:hint="eastAsia"/>
                <w:sz w:val="24"/>
              </w:rPr>
              <w:t>5.89</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ENE</w:t>
            </w:r>
          </w:p>
        </w:tc>
        <w:tc>
          <w:tcPr>
            <w:tcW w:w="1420" w:type="dxa"/>
          </w:tcPr>
          <w:p>
            <w:pPr>
              <w:pStyle w:val="Normal0"/>
              <w:snapToGrid w:val="0"/>
              <w:jc w:val="center"/>
              <w:rPr>
                <w:rFonts w:hint="eastAsia"/>
                <w:sz w:val="24"/>
              </w:rPr>
            </w:pPr>
            <w:r>
              <w:rPr>
                <w:rFonts w:hint="eastAsia"/>
                <w:sz w:val="24"/>
              </w:rPr>
              <w:t>5.11</w:t>
            </w:r>
          </w:p>
        </w:tc>
        <w:tc>
          <w:tcPr>
            <w:tcW w:w="1420" w:type="dxa"/>
          </w:tcPr>
          <w:p>
            <w:pPr>
              <w:pStyle w:val="Normal0"/>
              <w:snapToGrid w:val="0"/>
              <w:jc w:val="center"/>
              <w:rPr>
                <w:rFonts w:hint="eastAsia"/>
                <w:sz w:val="24"/>
              </w:rPr>
            </w:pPr>
            <w:r>
              <w:rPr>
                <w:rFonts w:hint="eastAsia"/>
                <w:sz w:val="24"/>
              </w:rPr>
              <w:t>8.89</w:t>
            </w:r>
          </w:p>
        </w:tc>
        <w:tc>
          <w:tcPr>
            <w:tcW w:w="1420" w:type="dxa"/>
          </w:tcPr>
          <w:p>
            <w:pPr>
              <w:pStyle w:val="Normal0"/>
              <w:snapToGrid w:val="0"/>
              <w:jc w:val="center"/>
              <w:rPr>
                <w:rFonts w:hint="eastAsia"/>
                <w:sz w:val="24"/>
              </w:rPr>
            </w:pPr>
            <w:r>
              <w:rPr>
                <w:rFonts w:hint="eastAsia"/>
                <w:sz w:val="24"/>
              </w:rPr>
              <w:t>9.14</w:t>
            </w:r>
          </w:p>
        </w:tc>
        <w:tc>
          <w:tcPr>
            <w:tcW w:w="1421" w:type="dxa"/>
          </w:tcPr>
          <w:p>
            <w:pPr>
              <w:pStyle w:val="Normal0"/>
              <w:snapToGrid w:val="0"/>
              <w:jc w:val="center"/>
              <w:rPr>
                <w:rFonts w:hint="eastAsia"/>
                <w:sz w:val="24"/>
              </w:rPr>
            </w:pPr>
            <w:r>
              <w:rPr>
                <w:rFonts w:hint="eastAsia"/>
                <w:sz w:val="24"/>
              </w:rPr>
              <w:t>5.38</w:t>
            </w:r>
          </w:p>
        </w:tc>
        <w:tc>
          <w:tcPr>
            <w:tcW w:w="1421" w:type="dxa"/>
            <w:tcBorders>
              <w:right w:val="single" w:sz="4" w:space="0" w:color="auto"/>
            </w:tcBorders>
          </w:tcPr>
          <w:p>
            <w:pPr>
              <w:pStyle w:val="Normal0"/>
              <w:snapToGrid w:val="0"/>
              <w:jc w:val="center"/>
              <w:rPr>
                <w:rFonts w:hint="eastAsia"/>
                <w:sz w:val="24"/>
              </w:rPr>
            </w:pPr>
            <w:r>
              <w:rPr>
                <w:rFonts w:hint="eastAsia"/>
                <w:sz w:val="24"/>
              </w:rPr>
              <w:t>6.66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E</w:t>
            </w:r>
          </w:p>
        </w:tc>
        <w:tc>
          <w:tcPr>
            <w:tcW w:w="1420" w:type="dxa"/>
          </w:tcPr>
          <w:p>
            <w:pPr>
              <w:pStyle w:val="Normal0"/>
              <w:snapToGrid w:val="0"/>
              <w:jc w:val="center"/>
              <w:rPr>
                <w:rFonts w:hint="eastAsia"/>
                <w:sz w:val="24"/>
              </w:rPr>
            </w:pPr>
            <w:r>
              <w:rPr>
                <w:rFonts w:hint="eastAsia"/>
                <w:sz w:val="24"/>
              </w:rPr>
              <w:t>5.38</w:t>
            </w:r>
          </w:p>
        </w:tc>
        <w:tc>
          <w:tcPr>
            <w:tcW w:w="1420" w:type="dxa"/>
          </w:tcPr>
          <w:p>
            <w:pPr>
              <w:pStyle w:val="Normal0"/>
              <w:snapToGrid w:val="0"/>
              <w:jc w:val="center"/>
              <w:rPr>
                <w:rFonts w:hint="eastAsia"/>
                <w:sz w:val="24"/>
              </w:rPr>
            </w:pPr>
            <w:r>
              <w:rPr>
                <w:rFonts w:hint="eastAsia"/>
                <w:sz w:val="24"/>
              </w:rPr>
              <w:t>6.39</w:t>
            </w:r>
          </w:p>
        </w:tc>
        <w:tc>
          <w:tcPr>
            <w:tcW w:w="1420" w:type="dxa"/>
          </w:tcPr>
          <w:p>
            <w:pPr>
              <w:pStyle w:val="Normal0"/>
              <w:snapToGrid w:val="0"/>
              <w:jc w:val="center"/>
              <w:rPr>
                <w:rFonts w:hint="eastAsia"/>
                <w:sz w:val="24"/>
              </w:rPr>
            </w:pPr>
            <w:r>
              <w:rPr>
                <w:rFonts w:hint="eastAsia"/>
                <w:sz w:val="24"/>
              </w:rPr>
              <w:t>8.33</w:t>
            </w:r>
          </w:p>
        </w:tc>
        <w:tc>
          <w:tcPr>
            <w:tcW w:w="1421" w:type="dxa"/>
          </w:tcPr>
          <w:p>
            <w:pPr>
              <w:pStyle w:val="Normal0"/>
              <w:snapToGrid w:val="0"/>
              <w:jc w:val="center"/>
              <w:rPr>
                <w:rFonts w:hint="eastAsia"/>
                <w:sz w:val="24"/>
              </w:rPr>
            </w:pPr>
            <w:r>
              <w:rPr>
                <w:rFonts w:hint="eastAsia"/>
                <w:sz w:val="24"/>
              </w:rPr>
              <w:t>5.38</w:t>
            </w:r>
          </w:p>
        </w:tc>
        <w:tc>
          <w:tcPr>
            <w:tcW w:w="1421" w:type="dxa"/>
            <w:tcBorders>
              <w:right w:val="single" w:sz="4" w:space="0" w:color="auto"/>
            </w:tcBorders>
          </w:tcPr>
          <w:p>
            <w:pPr>
              <w:pStyle w:val="Normal0"/>
              <w:snapToGrid w:val="0"/>
              <w:jc w:val="center"/>
              <w:rPr>
                <w:rFonts w:hint="eastAsia"/>
                <w:sz w:val="24"/>
              </w:rPr>
            </w:pPr>
            <w:r>
              <w:rPr>
                <w:rFonts w:hint="eastAsia"/>
                <w:sz w:val="24"/>
              </w:rPr>
              <w:t>5.80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ESE</w:t>
            </w:r>
          </w:p>
        </w:tc>
        <w:tc>
          <w:tcPr>
            <w:tcW w:w="1420" w:type="dxa"/>
          </w:tcPr>
          <w:p>
            <w:pPr>
              <w:pStyle w:val="Normal0"/>
              <w:snapToGrid w:val="0"/>
              <w:jc w:val="center"/>
              <w:rPr>
                <w:rFonts w:hint="eastAsia"/>
                <w:sz w:val="24"/>
              </w:rPr>
            </w:pPr>
            <w:r>
              <w:rPr>
                <w:rFonts w:hint="eastAsia"/>
                <w:sz w:val="24"/>
              </w:rPr>
              <w:t>4.30</w:t>
            </w:r>
          </w:p>
        </w:tc>
        <w:tc>
          <w:tcPr>
            <w:tcW w:w="1420" w:type="dxa"/>
          </w:tcPr>
          <w:p>
            <w:pPr>
              <w:pStyle w:val="Normal0"/>
              <w:snapToGrid w:val="0"/>
              <w:jc w:val="center"/>
              <w:rPr>
                <w:rFonts w:hint="eastAsia"/>
                <w:sz w:val="24"/>
              </w:rPr>
            </w:pPr>
            <w:r>
              <w:rPr>
                <w:rFonts w:hint="eastAsia"/>
                <w:sz w:val="24"/>
              </w:rPr>
              <w:t>6.67</w:t>
            </w:r>
          </w:p>
        </w:tc>
        <w:tc>
          <w:tcPr>
            <w:tcW w:w="1420" w:type="dxa"/>
          </w:tcPr>
          <w:p>
            <w:pPr>
              <w:pStyle w:val="Normal0"/>
              <w:snapToGrid w:val="0"/>
              <w:jc w:val="center"/>
              <w:rPr>
                <w:rFonts w:hint="eastAsia"/>
                <w:sz w:val="24"/>
              </w:rPr>
            </w:pPr>
            <w:r>
              <w:rPr>
                <w:rFonts w:hint="eastAsia"/>
                <w:sz w:val="24"/>
              </w:rPr>
              <w:t>5.91</w:t>
            </w:r>
          </w:p>
        </w:tc>
        <w:tc>
          <w:tcPr>
            <w:tcW w:w="1421" w:type="dxa"/>
          </w:tcPr>
          <w:p>
            <w:pPr>
              <w:pStyle w:val="Normal0"/>
              <w:snapToGrid w:val="0"/>
              <w:jc w:val="center"/>
              <w:rPr>
                <w:rFonts w:hint="eastAsia"/>
                <w:sz w:val="24"/>
              </w:rPr>
            </w:pPr>
            <w:r>
              <w:rPr>
                <w:rFonts w:hint="eastAsia"/>
                <w:sz w:val="24"/>
              </w:rPr>
              <w:t>6.99</w:t>
            </w:r>
          </w:p>
        </w:tc>
        <w:tc>
          <w:tcPr>
            <w:tcW w:w="1421" w:type="dxa"/>
            <w:tcBorders>
              <w:right w:val="single" w:sz="4" w:space="0" w:color="auto"/>
            </w:tcBorders>
          </w:tcPr>
          <w:p>
            <w:pPr>
              <w:pStyle w:val="Normal0"/>
              <w:snapToGrid w:val="0"/>
              <w:jc w:val="center"/>
              <w:rPr>
                <w:rFonts w:hint="eastAsia"/>
                <w:sz w:val="24"/>
              </w:rPr>
            </w:pPr>
            <w:r>
              <w:rPr>
                <w:rFonts w:hint="eastAsia"/>
                <w:sz w:val="24"/>
              </w:rPr>
              <w:t>6.26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SE</w:t>
            </w:r>
          </w:p>
        </w:tc>
        <w:tc>
          <w:tcPr>
            <w:tcW w:w="1420" w:type="dxa"/>
          </w:tcPr>
          <w:p>
            <w:pPr>
              <w:pStyle w:val="Normal0"/>
              <w:snapToGrid w:val="0"/>
              <w:jc w:val="center"/>
              <w:rPr>
                <w:rFonts w:hint="eastAsia"/>
                <w:sz w:val="24"/>
              </w:rPr>
            </w:pPr>
            <w:r>
              <w:rPr>
                <w:rFonts w:hint="eastAsia"/>
                <w:sz w:val="24"/>
              </w:rPr>
              <w:t>2.96</w:t>
            </w:r>
          </w:p>
        </w:tc>
        <w:tc>
          <w:tcPr>
            <w:tcW w:w="1420" w:type="dxa"/>
          </w:tcPr>
          <w:p>
            <w:pPr>
              <w:pStyle w:val="Normal0"/>
              <w:snapToGrid w:val="0"/>
              <w:jc w:val="center"/>
              <w:rPr>
                <w:rFonts w:hint="eastAsia"/>
                <w:sz w:val="24"/>
              </w:rPr>
            </w:pPr>
            <w:r>
              <w:rPr>
                <w:rFonts w:hint="eastAsia"/>
                <w:sz w:val="24"/>
              </w:rPr>
              <w:t>2.50</w:t>
            </w:r>
          </w:p>
        </w:tc>
        <w:tc>
          <w:tcPr>
            <w:tcW w:w="1420" w:type="dxa"/>
          </w:tcPr>
          <w:p>
            <w:pPr>
              <w:pStyle w:val="Normal0"/>
              <w:snapToGrid w:val="0"/>
              <w:jc w:val="center"/>
              <w:rPr>
                <w:rFonts w:hint="eastAsia"/>
                <w:sz w:val="24"/>
              </w:rPr>
            </w:pPr>
            <w:r>
              <w:rPr>
                <w:rFonts w:hint="eastAsia"/>
                <w:sz w:val="24"/>
              </w:rPr>
              <w:t>3.49</w:t>
            </w:r>
          </w:p>
        </w:tc>
        <w:tc>
          <w:tcPr>
            <w:tcW w:w="1421" w:type="dxa"/>
          </w:tcPr>
          <w:p>
            <w:pPr>
              <w:pStyle w:val="Normal0"/>
              <w:snapToGrid w:val="0"/>
              <w:jc w:val="center"/>
              <w:rPr>
                <w:rFonts w:hint="eastAsia"/>
                <w:sz w:val="24"/>
              </w:rPr>
            </w:pPr>
            <w:r>
              <w:rPr>
                <w:rFonts w:hint="eastAsia"/>
                <w:sz w:val="24"/>
              </w:rPr>
              <w:t>0.81</w:t>
            </w:r>
          </w:p>
        </w:tc>
        <w:tc>
          <w:tcPr>
            <w:tcW w:w="1421" w:type="dxa"/>
            <w:tcBorders>
              <w:right w:val="single" w:sz="4" w:space="0" w:color="auto"/>
            </w:tcBorders>
          </w:tcPr>
          <w:p>
            <w:pPr>
              <w:pStyle w:val="Normal0"/>
              <w:snapToGrid w:val="0"/>
              <w:jc w:val="center"/>
              <w:rPr>
                <w:rFonts w:hint="eastAsia"/>
                <w:sz w:val="24"/>
              </w:rPr>
            </w:pPr>
            <w:r>
              <w:rPr>
                <w:rFonts w:hint="eastAsia"/>
                <w:sz w:val="24"/>
              </w:rPr>
              <w:t>2.56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SSE</w:t>
            </w:r>
          </w:p>
        </w:tc>
        <w:tc>
          <w:tcPr>
            <w:tcW w:w="1420" w:type="dxa"/>
          </w:tcPr>
          <w:p>
            <w:pPr>
              <w:pStyle w:val="Normal0"/>
              <w:snapToGrid w:val="0"/>
              <w:jc w:val="center"/>
              <w:rPr>
                <w:rFonts w:hint="eastAsia"/>
                <w:sz w:val="24"/>
              </w:rPr>
            </w:pPr>
            <w:r>
              <w:rPr>
                <w:rFonts w:hint="eastAsia"/>
                <w:sz w:val="24"/>
              </w:rPr>
              <w:t>2.42</w:t>
            </w:r>
          </w:p>
        </w:tc>
        <w:tc>
          <w:tcPr>
            <w:tcW w:w="1420" w:type="dxa"/>
          </w:tcPr>
          <w:p>
            <w:pPr>
              <w:pStyle w:val="Normal0"/>
              <w:snapToGrid w:val="0"/>
              <w:jc w:val="center"/>
              <w:rPr>
                <w:rFonts w:hint="eastAsia"/>
                <w:sz w:val="24"/>
              </w:rPr>
            </w:pPr>
            <w:r>
              <w:rPr>
                <w:rFonts w:hint="eastAsia"/>
                <w:sz w:val="24"/>
              </w:rPr>
              <w:t>6.67</w:t>
            </w:r>
          </w:p>
        </w:tc>
        <w:tc>
          <w:tcPr>
            <w:tcW w:w="1420" w:type="dxa"/>
          </w:tcPr>
          <w:p>
            <w:pPr>
              <w:pStyle w:val="Normal0"/>
              <w:snapToGrid w:val="0"/>
              <w:jc w:val="center"/>
              <w:rPr>
                <w:rFonts w:hint="eastAsia"/>
                <w:sz w:val="24"/>
              </w:rPr>
            </w:pPr>
            <w:r>
              <w:rPr>
                <w:rFonts w:hint="eastAsia"/>
                <w:sz w:val="24"/>
              </w:rPr>
              <w:t>7.26</w:t>
            </w:r>
          </w:p>
        </w:tc>
        <w:tc>
          <w:tcPr>
            <w:tcW w:w="1421" w:type="dxa"/>
          </w:tcPr>
          <w:p>
            <w:pPr>
              <w:pStyle w:val="Normal0"/>
              <w:snapToGrid w:val="0"/>
              <w:jc w:val="center"/>
              <w:rPr>
                <w:rFonts w:hint="eastAsia"/>
                <w:sz w:val="24"/>
              </w:rPr>
            </w:pPr>
            <w:r>
              <w:rPr>
                <w:rFonts w:hint="eastAsia"/>
                <w:sz w:val="24"/>
              </w:rPr>
              <w:t>2.42</w:t>
            </w:r>
          </w:p>
        </w:tc>
        <w:tc>
          <w:tcPr>
            <w:tcW w:w="1421" w:type="dxa"/>
            <w:tcBorders>
              <w:right w:val="single" w:sz="4" w:space="0" w:color="auto"/>
            </w:tcBorders>
          </w:tcPr>
          <w:p>
            <w:pPr>
              <w:pStyle w:val="Normal0"/>
              <w:snapToGrid w:val="0"/>
              <w:jc w:val="center"/>
              <w:rPr>
                <w:rFonts w:hint="eastAsia"/>
                <w:sz w:val="24"/>
              </w:rPr>
            </w:pPr>
            <w:r>
              <w:rPr>
                <w:rFonts w:hint="eastAsia"/>
                <w:sz w:val="24"/>
              </w:rPr>
              <w:t>4.38</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S</w:t>
            </w:r>
          </w:p>
        </w:tc>
        <w:tc>
          <w:tcPr>
            <w:tcW w:w="1420" w:type="dxa"/>
          </w:tcPr>
          <w:p>
            <w:pPr>
              <w:pStyle w:val="Normal0"/>
              <w:snapToGrid w:val="0"/>
              <w:jc w:val="center"/>
              <w:rPr>
                <w:rFonts w:hint="eastAsia"/>
                <w:sz w:val="24"/>
              </w:rPr>
            </w:pPr>
            <w:r>
              <w:rPr>
                <w:rFonts w:hint="eastAsia"/>
                <w:sz w:val="24"/>
              </w:rPr>
              <w:t>3.49</w:t>
            </w:r>
          </w:p>
        </w:tc>
        <w:tc>
          <w:tcPr>
            <w:tcW w:w="1420" w:type="dxa"/>
          </w:tcPr>
          <w:p>
            <w:pPr>
              <w:pStyle w:val="Normal0"/>
              <w:snapToGrid w:val="0"/>
              <w:jc w:val="center"/>
              <w:rPr>
                <w:rFonts w:hint="eastAsia"/>
                <w:sz w:val="24"/>
              </w:rPr>
            </w:pPr>
            <w:r>
              <w:rPr>
                <w:rFonts w:hint="eastAsia"/>
                <w:sz w:val="24"/>
              </w:rPr>
              <w:t>9.44</w:t>
            </w:r>
          </w:p>
        </w:tc>
        <w:tc>
          <w:tcPr>
            <w:tcW w:w="1420" w:type="dxa"/>
          </w:tcPr>
          <w:p>
            <w:pPr>
              <w:pStyle w:val="Normal0"/>
              <w:snapToGrid w:val="0"/>
              <w:jc w:val="center"/>
              <w:rPr>
                <w:rFonts w:hint="eastAsia"/>
                <w:sz w:val="24"/>
              </w:rPr>
            </w:pPr>
            <w:r>
              <w:rPr>
                <w:rFonts w:hint="eastAsia"/>
                <w:sz w:val="24"/>
              </w:rPr>
              <w:t>10.48</w:t>
            </w:r>
          </w:p>
        </w:tc>
        <w:tc>
          <w:tcPr>
            <w:tcW w:w="1421" w:type="dxa"/>
          </w:tcPr>
          <w:p>
            <w:pPr>
              <w:pStyle w:val="Normal0"/>
              <w:snapToGrid w:val="0"/>
              <w:jc w:val="center"/>
              <w:rPr>
                <w:rFonts w:hint="eastAsia"/>
                <w:sz w:val="24"/>
              </w:rPr>
            </w:pPr>
            <w:r>
              <w:rPr>
                <w:rFonts w:hint="eastAsia"/>
                <w:sz w:val="24"/>
              </w:rPr>
              <w:t>3.76</w:t>
            </w:r>
          </w:p>
        </w:tc>
        <w:tc>
          <w:tcPr>
            <w:tcW w:w="1421" w:type="dxa"/>
            <w:tcBorders>
              <w:right w:val="single" w:sz="4" w:space="0" w:color="auto"/>
            </w:tcBorders>
          </w:tcPr>
          <w:p>
            <w:pPr>
              <w:pStyle w:val="Normal0"/>
              <w:snapToGrid w:val="0"/>
              <w:jc w:val="center"/>
              <w:rPr>
                <w:rFonts w:hint="eastAsia"/>
                <w:sz w:val="24"/>
              </w:rPr>
            </w:pPr>
            <w:r>
              <w:rPr>
                <w:rFonts w:hint="eastAsia"/>
                <w:sz w:val="24"/>
              </w:rPr>
              <w:t>6.87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SSW</w:t>
            </w:r>
          </w:p>
        </w:tc>
        <w:tc>
          <w:tcPr>
            <w:tcW w:w="1420" w:type="dxa"/>
          </w:tcPr>
          <w:p>
            <w:pPr>
              <w:pStyle w:val="Normal0"/>
              <w:snapToGrid w:val="0"/>
              <w:jc w:val="center"/>
              <w:rPr>
                <w:rFonts w:hint="eastAsia"/>
                <w:sz w:val="24"/>
              </w:rPr>
            </w:pPr>
            <w:r>
              <w:rPr>
                <w:rFonts w:hint="eastAsia"/>
                <w:sz w:val="24"/>
              </w:rPr>
              <w:t>6.18</w:t>
            </w:r>
          </w:p>
        </w:tc>
        <w:tc>
          <w:tcPr>
            <w:tcW w:w="1420" w:type="dxa"/>
          </w:tcPr>
          <w:p>
            <w:pPr>
              <w:pStyle w:val="Normal0"/>
              <w:snapToGrid w:val="0"/>
              <w:jc w:val="center"/>
              <w:rPr>
                <w:rFonts w:hint="eastAsia"/>
                <w:sz w:val="24"/>
              </w:rPr>
            </w:pPr>
            <w:r>
              <w:rPr>
                <w:rFonts w:hint="eastAsia"/>
                <w:sz w:val="24"/>
              </w:rPr>
              <w:t>13.61</w:t>
            </w:r>
          </w:p>
        </w:tc>
        <w:tc>
          <w:tcPr>
            <w:tcW w:w="1420" w:type="dxa"/>
          </w:tcPr>
          <w:p>
            <w:pPr>
              <w:pStyle w:val="Normal0"/>
              <w:snapToGrid w:val="0"/>
              <w:jc w:val="center"/>
              <w:rPr>
                <w:rFonts w:hint="eastAsia"/>
                <w:sz w:val="24"/>
              </w:rPr>
            </w:pPr>
            <w:r>
              <w:rPr>
                <w:rFonts w:hint="eastAsia"/>
                <w:sz w:val="24"/>
              </w:rPr>
              <w:t>23.39</w:t>
            </w:r>
          </w:p>
        </w:tc>
        <w:tc>
          <w:tcPr>
            <w:tcW w:w="1421" w:type="dxa"/>
          </w:tcPr>
          <w:p>
            <w:pPr>
              <w:pStyle w:val="Normal0"/>
              <w:snapToGrid w:val="0"/>
              <w:jc w:val="center"/>
              <w:rPr>
                <w:rFonts w:hint="eastAsia"/>
                <w:sz w:val="24"/>
              </w:rPr>
            </w:pPr>
            <w:r>
              <w:rPr>
                <w:rFonts w:hint="eastAsia"/>
                <w:sz w:val="24"/>
              </w:rPr>
              <w:t>4.84</w:t>
            </w:r>
          </w:p>
        </w:tc>
        <w:tc>
          <w:tcPr>
            <w:tcW w:w="1421" w:type="dxa"/>
            <w:tcBorders>
              <w:right w:val="single" w:sz="4" w:space="0" w:color="auto"/>
            </w:tcBorders>
          </w:tcPr>
          <w:p>
            <w:pPr>
              <w:pStyle w:val="Normal0"/>
              <w:snapToGrid w:val="0"/>
              <w:jc w:val="center"/>
              <w:rPr>
                <w:rFonts w:hint="eastAsia"/>
                <w:sz w:val="24"/>
              </w:rPr>
            </w:pPr>
            <w:r>
              <w:rPr>
                <w:rFonts w:hint="eastAsia"/>
                <w:sz w:val="24"/>
              </w:rPr>
              <w:t>12.71</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SW</w:t>
            </w:r>
          </w:p>
        </w:tc>
        <w:tc>
          <w:tcPr>
            <w:tcW w:w="1420" w:type="dxa"/>
          </w:tcPr>
          <w:p>
            <w:pPr>
              <w:pStyle w:val="Normal0"/>
              <w:snapToGrid w:val="0"/>
              <w:jc w:val="center"/>
              <w:rPr>
                <w:rFonts w:hint="eastAsia"/>
                <w:sz w:val="24"/>
              </w:rPr>
            </w:pPr>
            <w:r>
              <w:rPr>
                <w:rFonts w:hint="eastAsia"/>
                <w:sz w:val="24"/>
              </w:rPr>
              <w:t>3.23</w:t>
            </w:r>
          </w:p>
        </w:tc>
        <w:tc>
          <w:tcPr>
            <w:tcW w:w="1420" w:type="dxa"/>
          </w:tcPr>
          <w:p>
            <w:pPr>
              <w:pStyle w:val="Normal0"/>
              <w:snapToGrid w:val="0"/>
              <w:jc w:val="center"/>
              <w:rPr>
                <w:rFonts w:hint="eastAsia"/>
                <w:sz w:val="24"/>
              </w:rPr>
            </w:pPr>
            <w:r>
              <w:rPr>
                <w:rFonts w:hint="eastAsia"/>
                <w:sz w:val="24"/>
              </w:rPr>
              <w:t>3.33</w:t>
            </w:r>
          </w:p>
        </w:tc>
        <w:tc>
          <w:tcPr>
            <w:tcW w:w="1420" w:type="dxa"/>
          </w:tcPr>
          <w:p>
            <w:pPr>
              <w:pStyle w:val="Normal0"/>
              <w:snapToGrid w:val="0"/>
              <w:jc w:val="center"/>
              <w:rPr>
                <w:rFonts w:hint="eastAsia"/>
                <w:sz w:val="24"/>
              </w:rPr>
            </w:pPr>
            <w:r>
              <w:rPr>
                <w:rFonts w:hint="eastAsia"/>
                <w:sz w:val="24"/>
              </w:rPr>
              <w:t>9.14</w:t>
            </w:r>
          </w:p>
        </w:tc>
        <w:tc>
          <w:tcPr>
            <w:tcW w:w="1421" w:type="dxa"/>
          </w:tcPr>
          <w:p>
            <w:pPr>
              <w:pStyle w:val="Normal0"/>
              <w:snapToGrid w:val="0"/>
              <w:jc w:val="center"/>
              <w:rPr>
                <w:rFonts w:hint="eastAsia"/>
                <w:sz w:val="24"/>
              </w:rPr>
            </w:pPr>
            <w:r>
              <w:rPr>
                <w:rFonts w:hint="eastAsia"/>
                <w:sz w:val="24"/>
              </w:rPr>
              <w:t>1.88</w:t>
            </w:r>
          </w:p>
        </w:tc>
        <w:tc>
          <w:tcPr>
            <w:tcW w:w="1421" w:type="dxa"/>
            <w:tcBorders>
              <w:right w:val="single" w:sz="4" w:space="0" w:color="auto"/>
            </w:tcBorders>
          </w:tcPr>
          <w:p>
            <w:pPr>
              <w:pStyle w:val="Normal0"/>
              <w:snapToGrid w:val="0"/>
              <w:jc w:val="center"/>
              <w:rPr>
                <w:rFonts w:hint="eastAsia"/>
                <w:sz w:val="24"/>
              </w:rPr>
            </w:pPr>
            <w:r>
              <w:rPr>
                <w:rFonts w:hint="eastAsia"/>
                <w:sz w:val="24"/>
              </w:rPr>
              <w:t>4.36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WSW</w:t>
            </w:r>
          </w:p>
        </w:tc>
        <w:tc>
          <w:tcPr>
            <w:tcW w:w="1420" w:type="dxa"/>
          </w:tcPr>
          <w:p>
            <w:pPr>
              <w:pStyle w:val="Normal0"/>
              <w:snapToGrid w:val="0"/>
              <w:jc w:val="center"/>
              <w:rPr>
                <w:rFonts w:hint="eastAsia"/>
                <w:sz w:val="24"/>
              </w:rPr>
            </w:pPr>
            <w:r>
              <w:rPr>
                <w:rFonts w:hint="eastAsia"/>
                <w:sz w:val="24"/>
              </w:rPr>
              <w:t>0.81</w:t>
            </w:r>
          </w:p>
        </w:tc>
        <w:tc>
          <w:tcPr>
            <w:tcW w:w="1420" w:type="dxa"/>
          </w:tcPr>
          <w:p>
            <w:pPr>
              <w:pStyle w:val="Normal0"/>
              <w:snapToGrid w:val="0"/>
              <w:jc w:val="center"/>
              <w:rPr>
                <w:rFonts w:hint="eastAsia"/>
                <w:sz w:val="24"/>
              </w:rPr>
            </w:pPr>
            <w:r>
              <w:rPr>
                <w:rFonts w:hint="eastAsia"/>
                <w:sz w:val="24"/>
              </w:rPr>
              <w:t>1.94</w:t>
            </w:r>
          </w:p>
        </w:tc>
        <w:tc>
          <w:tcPr>
            <w:tcW w:w="1420" w:type="dxa"/>
          </w:tcPr>
          <w:p>
            <w:pPr>
              <w:pStyle w:val="Normal0"/>
              <w:snapToGrid w:val="0"/>
              <w:jc w:val="center"/>
              <w:rPr>
                <w:rFonts w:hint="eastAsia"/>
                <w:sz w:val="24"/>
              </w:rPr>
            </w:pPr>
            <w:r>
              <w:rPr>
                <w:rFonts w:hint="eastAsia"/>
                <w:sz w:val="24"/>
              </w:rPr>
              <w:t>2.42</w:t>
            </w:r>
          </w:p>
        </w:tc>
        <w:tc>
          <w:tcPr>
            <w:tcW w:w="1421" w:type="dxa"/>
          </w:tcPr>
          <w:p>
            <w:pPr>
              <w:pStyle w:val="Normal0"/>
              <w:snapToGrid w:val="0"/>
              <w:jc w:val="center"/>
              <w:rPr>
                <w:rFonts w:hint="eastAsia"/>
                <w:sz w:val="24"/>
              </w:rPr>
            </w:pPr>
            <w:r>
              <w:rPr>
                <w:rFonts w:hint="eastAsia"/>
                <w:sz w:val="24"/>
              </w:rPr>
              <w:t>0.27</w:t>
            </w:r>
          </w:p>
        </w:tc>
        <w:tc>
          <w:tcPr>
            <w:tcW w:w="1421" w:type="dxa"/>
            <w:tcBorders>
              <w:right w:val="single" w:sz="4" w:space="0" w:color="auto"/>
            </w:tcBorders>
          </w:tcPr>
          <w:p>
            <w:pPr>
              <w:pStyle w:val="Normal0"/>
              <w:snapToGrid w:val="0"/>
              <w:jc w:val="center"/>
              <w:rPr>
                <w:rFonts w:hint="eastAsia"/>
                <w:sz w:val="24"/>
              </w:rPr>
            </w:pPr>
            <w:r>
              <w:rPr>
                <w:rFonts w:hint="eastAsia"/>
                <w:sz w:val="24"/>
              </w:rPr>
              <w:t>1.41</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W</w:t>
            </w:r>
          </w:p>
        </w:tc>
        <w:tc>
          <w:tcPr>
            <w:tcW w:w="1420" w:type="dxa"/>
          </w:tcPr>
          <w:p>
            <w:pPr>
              <w:pStyle w:val="Normal0"/>
              <w:snapToGrid w:val="0"/>
              <w:jc w:val="center"/>
              <w:rPr>
                <w:rFonts w:hint="eastAsia"/>
                <w:sz w:val="24"/>
              </w:rPr>
            </w:pPr>
            <w:r>
              <w:rPr>
                <w:rFonts w:hint="eastAsia"/>
                <w:sz w:val="24"/>
              </w:rPr>
              <w:t>1.08</w:t>
            </w:r>
          </w:p>
        </w:tc>
        <w:tc>
          <w:tcPr>
            <w:tcW w:w="1420" w:type="dxa"/>
          </w:tcPr>
          <w:p>
            <w:pPr>
              <w:pStyle w:val="Normal0"/>
              <w:snapToGrid w:val="0"/>
              <w:jc w:val="center"/>
              <w:rPr>
                <w:rFonts w:hint="eastAsia"/>
                <w:sz w:val="24"/>
              </w:rPr>
            </w:pPr>
            <w:r>
              <w:rPr>
                <w:rFonts w:hint="eastAsia"/>
                <w:sz w:val="24"/>
              </w:rPr>
              <w:t>0.83</w:t>
            </w:r>
          </w:p>
        </w:tc>
        <w:tc>
          <w:tcPr>
            <w:tcW w:w="1420" w:type="dxa"/>
          </w:tcPr>
          <w:p>
            <w:pPr>
              <w:pStyle w:val="Normal0"/>
              <w:snapToGrid w:val="0"/>
              <w:jc w:val="center"/>
              <w:rPr>
                <w:rFonts w:hint="eastAsia"/>
                <w:sz w:val="24"/>
              </w:rPr>
            </w:pPr>
            <w:r>
              <w:rPr>
                <w:rFonts w:hint="eastAsia"/>
                <w:sz w:val="24"/>
              </w:rPr>
              <w:t>0.81</w:t>
            </w:r>
          </w:p>
        </w:tc>
        <w:tc>
          <w:tcPr>
            <w:tcW w:w="1421" w:type="dxa"/>
          </w:tcPr>
          <w:p>
            <w:pPr>
              <w:pStyle w:val="Normal0"/>
              <w:snapToGrid w:val="0"/>
              <w:jc w:val="center"/>
              <w:rPr>
                <w:rFonts w:hint="eastAsia"/>
                <w:sz w:val="24"/>
              </w:rPr>
            </w:pPr>
            <w:r>
              <w:rPr>
                <w:rFonts w:hint="eastAsia"/>
                <w:sz w:val="24"/>
              </w:rPr>
              <w:t>0.81</w:t>
            </w:r>
          </w:p>
        </w:tc>
        <w:tc>
          <w:tcPr>
            <w:tcW w:w="1421" w:type="dxa"/>
            <w:tcBorders>
              <w:right w:val="single" w:sz="4" w:space="0" w:color="auto"/>
            </w:tcBorders>
          </w:tcPr>
          <w:p>
            <w:pPr>
              <w:pStyle w:val="Normal0"/>
              <w:snapToGrid w:val="0"/>
              <w:jc w:val="center"/>
              <w:rPr>
                <w:rFonts w:hint="eastAsia"/>
                <w:sz w:val="24"/>
              </w:rPr>
            </w:pPr>
            <w:r>
              <w:rPr>
                <w:rFonts w:hint="eastAsia"/>
                <w:sz w:val="24"/>
              </w:rPr>
              <w:t>1.12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WNW</w:t>
            </w:r>
          </w:p>
        </w:tc>
        <w:tc>
          <w:tcPr>
            <w:tcW w:w="1420" w:type="dxa"/>
          </w:tcPr>
          <w:p>
            <w:pPr>
              <w:pStyle w:val="Normal0"/>
              <w:snapToGrid w:val="0"/>
              <w:jc w:val="center"/>
              <w:rPr>
                <w:rFonts w:hint="eastAsia"/>
                <w:sz w:val="24"/>
              </w:rPr>
            </w:pPr>
            <w:r>
              <w:rPr>
                <w:rFonts w:hint="eastAsia"/>
                <w:sz w:val="24"/>
              </w:rPr>
              <w:t>3.23</w:t>
            </w:r>
          </w:p>
        </w:tc>
        <w:tc>
          <w:tcPr>
            <w:tcW w:w="1420" w:type="dxa"/>
          </w:tcPr>
          <w:p>
            <w:pPr>
              <w:pStyle w:val="Normal0"/>
              <w:snapToGrid w:val="0"/>
              <w:jc w:val="center"/>
              <w:rPr>
                <w:rFonts w:hint="eastAsia"/>
                <w:sz w:val="24"/>
              </w:rPr>
            </w:pPr>
            <w:r>
              <w:rPr>
                <w:rFonts w:hint="eastAsia"/>
                <w:sz w:val="24"/>
              </w:rPr>
              <w:t>1.67</w:t>
            </w:r>
          </w:p>
        </w:tc>
        <w:tc>
          <w:tcPr>
            <w:tcW w:w="1420" w:type="dxa"/>
          </w:tcPr>
          <w:p>
            <w:pPr>
              <w:pStyle w:val="Normal0"/>
              <w:snapToGrid w:val="0"/>
              <w:jc w:val="center"/>
              <w:rPr>
                <w:rFonts w:hint="eastAsia"/>
                <w:sz w:val="24"/>
              </w:rPr>
            </w:pPr>
            <w:r>
              <w:rPr>
                <w:rFonts w:hint="eastAsia"/>
                <w:sz w:val="24"/>
              </w:rPr>
              <w:t>1.88</w:t>
            </w:r>
          </w:p>
        </w:tc>
        <w:tc>
          <w:tcPr>
            <w:tcW w:w="1421" w:type="dxa"/>
          </w:tcPr>
          <w:p>
            <w:pPr>
              <w:pStyle w:val="Normal0"/>
              <w:snapToGrid w:val="0"/>
              <w:jc w:val="center"/>
              <w:rPr>
                <w:rFonts w:hint="eastAsia"/>
                <w:sz w:val="24"/>
              </w:rPr>
            </w:pPr>
            <w:r>
              <w:rPr>
                <w:rFonts w:hint="eastAsia"/>
                <w:sz w:val="24"/>
              </w:rPr>
              <w:t>4.03</w:t>
            </w:r>
          </w:p>
        </w:tc>
        <w:tc>
          <w:tcPr>
            <w:tcW w:w="1421" w:type="dxa"/>
            <w:tcBorders>
              <w:right w:val="single" w:sz="4" w:space="0" w:color="auto"/>
            </w:tcBorders>
          </w:tcPr>
          <w:p>
            <w:pPr>
              <w:pStyle w:val="Normal0"/>
              <w:snapToGrid w:val="0"/>
              <w:jc w:val="center"/>
              <w:rPr>
                <w:rFonts w:hint="eastAsia"/>
                <w:sz w:val="24"/>
              </w:rPr>
            </w:pPr>
            <w:r>
              <w:rPr>
                <w:rFonts w:hint="eastAsia"/>
                <w:sz w:val="24"/>
              </w:rPr>
              <w:t>3.10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NW</w:t>
            </w:r>
          </w:p>
        </w:tc>
        <w:tc>
          <w:tcPr>
            <w:tcW w:w="1420" w:type="dxa"/>
          </w:tcPr>
          <w:p>
            <w:pPr>
              <w:pStyle w:val="Normal0"/>
              <w:snapToGrid w:val="0"/>
              <w:jc w:val="center"/>
              <w:rPr>
                <w:rFonts w:hint="eastAsia"/>
                <w:sz w:val="24"/>
              </w:rPr>
            </w:pPr>
            <w:r>
              <w:rPr>
                <w:rFonts w:hint="eastAsia"/>
                <w:sz w:val="24"/>
              </w:rPr>
              <w:t>12.90</w:t>
            </w:r>
          </w:p>
        </w:tc>
        <w:tc>
          <w:tcPr>
            <w:tcW w:w="1420" w:type="dxa"/>
          </w:tcPr>
          <w:p>
            <w:pPr>
              <w:pStyle w:val="Normal0"/>
              <w:snapToGrid w:val="0"/>
              <w:jc w:val="center"/>
              <w:rPr>
                <w:rFonts w:hint="eastAsia"/>
                <w:sz w:val="24"/>
              </w:rPr>
            </w:pPr>
            <w:r>
              <w:rPr>
                <w:rFonts w:hint="eastAsia"/>
                <w:sz w:val="24"/>
              </w:rPr>
              <w:t>6.11</w:t>
            </w:r>
          </w:p>
        </w:tc>
        <w:tc>
          <w:tcPr>
            <w:tcW w:w="1420" w:type="dxa"/>
          </w:tcPr>
          <w:p>
            <w:pPr>
              <w:pStyle w:val="Normal0"/>
              <w:snapToGrid w:val="0"/>
              <w:jc w:val="center"/>
              <w:rPr>
                <w:rFonts w:hint="eastAsia"/>
                <w:sz w:val="24"/>
              </w:rPr>
            </w:pPr>
            <w:r>
              <w:rPr>
                <w:rFonts w:hint="eastAsia"/>
                <w:sz w:val="24"/>
              </w:rPr>
              <w:t>2.42</w:t>
            </w:r>
          </w:p>
        </w:tc>
        <w:tc>
          <w:tcPr>
            <w:tcW w:w="1421" w:type="dxa"/>
          </w:tcPr>
          <w:p>
            <w:pPr>
              <w:pStyle w:val="Normal0"/>
              <w:snapToGrid w:val="0"/>
              <w:jc w:val="center"/>
              <w:rPr>
                <w:rFonts w:hint="eastAsia"/>
                <w:sz w:val="24"/>
              </w:rPr>
            </w:pPr>
            <w:r>
              <w:rPr>
                <w:rFonts w:hint="eastAsia"/>
                <w:sz w:val="24"/>
              </w:rPr>
              <w:t>12.63</w:t>
            </w:r>
          </w:p>
        </w:tc>
        <w:tc>
          <w:tcPr>
            <w:tcW w:w="1421" w:type="dxa"/>
            <w:tcBorders>
              <w:right w:val="single" w:sz="4" w:space="0" w:color="auto"/>
            </w:tcBorders>
          </w:tcPr>
          <w:p>
            <w:pPr>
              <w:pStyle w:val="Normal0"/>
              <w:snapToGrid w:val="0"/>
              <w:jc w:val="center"/>
              <w:rPr>
                <w:rFonts w:hint="eastAsia"/>
                <w:sz w:val="24"/>
              </w:rPr>
            </w:pPr>
            <w:r>
              <w:rPr>
                <w:rFonts w:hint="eastAsia"/>
                <w:sz w:val="24"/>
              </w:rPr>
              <w:t>8.10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snapToGrid w:val="0"/>
              <w:jc w:val="center"/>
              <w:rPr>
                <w:rFonts w:hint="eastAsia"/>
                <w:sz w:val="24"/>
              </w:rPr>
            </w:pPr>
            <w:r>
              <w:rPr>
                <w:rFonts w:hint="eastAsia"/>
                <w:sz w:val="24"/>
              </w:rPr>
              <w:t>NNW</w:t>
            </w:r>
          </w:p>
        </w:tc>
        <w:tc>
          <w:tcPr>
            <w:tcW w:w="1420" w:type="dxa"/>
          </w:tcPr>
          <w:p>
            <w:pPr>
              <w:pStyle w:val="Normal0"/>
              <w:snapToGrid w:val="0"/>
              <w:jc w:val="center"/>
              <w:rPr>
                <w:rFonts w:hint="eastAsia"/>
                <w:sz w:val="24"/>
              </w:rPr>
            </w:pPr>
            <w:r>
              <w:rPr>
                <w:rFonts w:hint="eastAsia"/>
                <w:sz w:val="24"/>
              </w:rPr>
              <w:t>16.67</w:t>
            </w:r>
          </w:p>
        </w:tc>
        <w:tc>
          <w:tcPr>
            <w:tcW w:w="1420" w:type="dxa"/>
          </w:tcPr>
          <w:p>
            <w:pPr>
              <w:pStyle w:val="Normal0"/>
              <w:snapToGrid w:val="0"/>
              <w:jc w:val="center"/>
              <w:rPr>
                <w:rFonts w:hint="eastAsia"/>
                <w:sz w:val="24"/>
              </w:rPr>
            </w:pPr>
            <w:r>
              <w:rPr>
                <w:rFonts w:hint="eastAsia"/>
                <w:sz w:val="24"/>
              </w:rPr>
              <w:t>8.89</w:t>
            </w:r>
          </w:p>
        </w:tc>
        <w:tc>
          <w:tcPr>
            <w:tcW w:w="1420" w:type="dxa"/>
          </w:tcPr>
          <w:p>
            <w:pPr>
              <w:pStyle w:val="Normal0"/>
              <w:snapToGrid w:val="0"/>
              <w:jc w:val="center"/>
              <w:rPr>
                <w:rFonts w:hint="eastAsia"/>
                <w:sz w:val="24"/>
              </w:rPr>
            </w:pPr>
            <w:r>
              <w:rPr>
                <w:rFonts w:hint="eastAsia"/>
                <w:sz w:val="24"/>
              </w:rPr>
              <w:t>2.96</w:t>
            </w:r>
          </w:p>
        </w:tc>
        <w:tc>
          <w:tcPr>
            <w:tcW w:w="1421" w:type="dxa"/>
          </w:tcPr>
          <w:p>
            <w:pPr>
              <w:pStyle w:val="Normal0"/>
              <w:snapToGrid w:val="0"/>
              <w:jc w:val="center"/>
              <w:rPr>
                <w:rFonts w:hint="eastAsia"/>
                <w:sz w:val="24"/>
              </w:rPr>
            </w:pPr>
            <w:r>
              <w:rPr>
                <w:rFonts w:hint="eastAsia"/>
                <w:sz w:val="24"/>
              </w:rPr>
              <w:t>13.17</w:t>
            </w:r>
          </w:p>
        </w:tc>
        <w:tc>
          <w:tcPr>
            <w:tcW w:w="1421" w:type="dxa"/>
            <w:tcBorders>
              <w:right w:val="single" w:sz="4" w:space="0" w:color="auto"/>
            </w:tcBorders>
          </w:tcPr>
          <w:p>
            <w:pPr>
              <w:pStyle w:val="Normal0"/>
              <w:snapToGrid w:val="0"/>
              <w:jc w:val="center"/>
              <w:rPr>
                <w:rFonts w:hint="eastAsia"/>
                <w:sz w:val="24"/>
              </w:rPr>
            </w:pPr>
            <w:r>
              <w:rPr>
                <w:rFonts w:hint="eastAsia"/>
                <w:sz w:val="24"/>
              </w:rPr>
              <w:t>10.34</w:t>
            </w:r>
          </w:p>
        </w:tc>
      </w:tr>
    </w:tbl>
    <w:p>
      <w:pPr>
        <w:pStyle w:val="Normal0"/>
        <w:spacing w:line="480" w:lineRule="auto"/>
        <w:jc w:val="center"/>
        <w:rPr>
          <w:rFonts w:hint="eastAsia"/>
          <w:sz w:val="24"/>
        </w:rPr>
      </w:pPr>
    </w:p>
    <w:p>
      <w:pPr>
        <w:pStyle w:val="Normal0"/>
        <w:spacing w:line="480" w:lineRule="auto"/>
        <w:jc w:val="center"/>
        <w:rPr>
          <w:rFonts w:hint="eastAsia"/>
          <w:sz w:val="28"/>
        </w:rPr>
      </w:pPr>
      <w:r>
        <w:rPr>
          <w:rFonts w:hint="eastAsia"/>
          <w:sz w:val="28"/>
        </w:rPr>
        <w:t>表2-4   杭州市气象站1998-2000年各风向风速（</w:t>
      </w:r>
      <w:r>
        <w:rPr>
          <w:sz w:val="28"/>
        </w:rPr>
        <w:t>m/s</w:t>
      </w:r>
      <w:r>
        <w:rPr>
          <w:rFonts w:hint="eastAsia"/>
          <w:sz w:val="28"/>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风向</w:t>
            </w:r>
          </w:p>
        </w:tc>
        <w:tc>
          <w:tcPr>
            <w:tcW w:w="1420" w:type="dxa"/>
          </w:tcPr>
          <w:p>
            <w:pPr>
              <w:pStyle w:val="Normal0"/>
              <w:jc w:val="center"/>
              <w:rPr>
                <w:rFonts w:hint="eastAsia"/>
                <w:sz w:val="24"/>
              </w:rPr>
            </w:pPr>
            <w:r>
              <w:rPr>
                <w:rFonts w:hint="eastAsia"/>
                <w:sz w:val="24"/>
              </w:rPr>
              <w:t>一月</w:t>
            </w:r>
          </w:p>
        </w:tc>
        <w:tc>
          <w:tcPr>
            <w:tcW w:w="1420" w:type="dxa"/>
          </w:tcPr>
          <w:p>
            <w:pPr>
              <w:pStyle w:val="Normal0"/>
              <w:jc w:val="center"/>
              <w:rPr>
                <w:rFonts w:hint="eastAsia"/>
                <w:sz w:val="24"/>
              </w:rPr>
            </w:pPr>
            <w:r>
              <w:rPr>
                <w:rFonts w:hint="eastAsia"/>
                <w:sz w:val="24"/>
              </w:rPr>
              <w:t>四月</w:t>
            </w:r>
          </w:p>
        </w:tc>
        <w:tc>
          <w:tcPr>
            <w:tcW w:w="1420" w:type="dxa"/>
          </w:tcPr>
          <w:p>
            <w:pPr>
              <w:pStyle w:val="Normal0"/>
              <w:jc w:val="center"/>
              <w:rPr>
                <w:rFonts w:hint="eastAsia"/>
                <w:sz w:val="24"/>
              </w:rPr>
            </w:pPr>
            <w:r>
              <w:rPr>
                <w:rFonts w:hint="eastAsia"/>
                <w:sz w:val="24"/>
              </w:rPr>
              <w:t>七月</w:t>
            </w:r>
          </w:p>
        </w:tc>
        <w:tc>
          <w:tcPr>
            <w:tcW w:w="1421" w:type="dxa"/>
          </w:tcPr>
          <w:p>
            <w:pPr>
              <w:pStyle w:val="Normal0"/>
              <w:jc w:val="center"/>
              <w:rPr>
                <w:rFonts w:hint="eastAsia"/>
                <w:sz w:val="24"/>
              </w:rPr>
            </w:pPr>
            <w:r>
              <w:rPr>
                <w:rFonts w:hint="eastAsia"/>
                <w:sz w:val="24"/>
              </w:rPr>
              <w:t>十月</w:t>
            </w:r>
          </w:p>
        </w:tc>
        <w:tc>
          <w:tcPr>
            <w:tcW w:w="1421" w:type="dxa"/>
            <w:tcBorders>
              <w:right w:val="single" w:sz="4" w:space="0" w:color="auto"/>
            </w:tcBorders>
          </w:tcPr>
          <w:p>
            <w:pPr>
              <w:pStyle w:val="Normal0"/>
              <w:jc w:val="center"/>
              <w:rPr>
                <w:rFonts w:hint="eastAsia"/>
                <w:sz w:val="24"/>
              </w:rPr>
            </w:pPr>
            <w:r>
              <w:rPr>
                <w:rFonts w:hint="eastAsia"/>
                <w:sz w:val="24"/>
              </w:rPr>
              <w:t>全年</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w:t>
            </w:r>
          </w:p>
        </w:tc>
        <w:tc>
          <w:tcPr>
            <w:tcW w:w="1420" w:type="dxa"/>
          </w:tcPr>
          <w:p>
            <w:pPr>
              <w:pStyle w:val="Normal0"/>
              <w:jc w:val="center"/>
              <w:rPr>
                <w:rFonts w:hint="eastAsia"/>
                <w:sz w:val="24"/>
              </w:rPr>
            </w:pPr>
            <w:r>
              <w:rPr>
                <w:rFonts w:hint="eastAsia"/>
                <w:sz w:val="24"/>
              </w:rPr>
              <w:t>3.18</w:t>
            </w:r>
          </w:p>
        </w:tc>
        <w:tc>
          <w:tcPr>
            <w:tcW w:w="1420" w:type="dxa"/>
          </w:tcPr>
          <w:p>
            <w:pPr>
              <w:pStyle w:val="Normal0"/>
              <w:jc w:val="center"/>
              <w:rPr>
                <w:rFonts w:hint="eastAsia"/>
                <w:sz w:val="24"/>
              </w:rPr>
            </w:pPr>
            <w:r>
              <w:rPr>
                <w:rFonts w:hint="eastAsia"/>
                <w:sz w:val="24"/>
              </w:rPr>
              <w:t>2.67</w:t>
            </w:r>
          </w:p>
        </w:tc>
        <w:tc>
          <w:tcPr>
            <w:tcW w:w="1420" w:type="dxa"/>
          </w:tcPr>
          <w:p>
            <w:pPr>
              <w:pStyle w:val="Normal0"/>
              <w:jc w:val="center"/>
              <w:rPr>
                <w:rFonts w:hint="eastAsia"/>
                <w:sz w:val="24"/>
              </w:rPr>
            </w:pPr>
            <w:r>
              <w:rPr>
                <w:rFonts w:hint="eastAsia"/>
                <w:sz w:val="24"/>
              </w:rPr>
              <w:t>1.27</w:t>
            </w:r>
          </w:p>
        </w:tc>
        <w:tc>
          <w:tcPr>
            <w:tcW w:w="1421" w:type="dxa"/>
          </w:tcPr>
          <w:p>
            <w:pPr>
              <w:pStyle w:val="Normal0"/>
              <w:jc w:val="center"/>
              <w:rPr>
                <w:rFonts w:hint="eastAsia"/>
                <w:sz w:val="24"/>
              </w:rPr>
            </w:pPr>
            <w:r>
              <w:rPr>
                <w:rFonts w:hint="eastAsia"/>
                <w:sz w:val="24"/>
              </w:rPr>
              <w:t>2.54</w:t>
            </w:r>
          </w:p>
        </w:tc>
        <w:tc>
          <w:tcPr>
            <w:tcW w:w="1421" w:type="dxa"/>
            <w:tcBorders>
              <w:right w:val="single" w:sz="4" w:space="0" w:color="auto"/>
            </w:tcBorders>
          </w:tcPr>
          <w:p>
            <w:pPr>
              <w:pStyle w:val="Normal0"/>
              <w:jc w:val="center"/>
              <w:rPr>
                <w:rFonts w:hint="eastAsia"/>
                <w:sz w:val="24"/>
              </w:rPr>
            </w:pPr>
            <w:r>
              <w:rPr>
                <w:rFonts w:hint="eastAsia"/>
                <w:sz w:val="24"/>
              </w:rPr>
              <w:t>2.76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NNE</w:t>
            </w:r>
          </w:p>
        </w:tc>
        <w:tc>
          <w:tcPr>
            <w:tcW w:w="1420" w:type="dxa"/>
          </w:tcPr>
          <w:p>
            <w:pPr>
              <w:pStyle w:val="Normal0"/>
              <w:jc w:val="center"/>
              <w:rPr>
                <w:rFonts w:hint="eastAsia"/>
                <w:sz w:val="24"/>
              </w:rPr>
            </w:pPr>
            <w:r>
              <w:rPr>
                <w:rFonts w:hint="eastAsia"/>
                <w:sz w:val="24"/>
              </w:rPr>
              <w:t>2.74</w:t>
            </w:r>
          </w:p>
        </w:tc>
        <w:tc>
          <w:tcPr>
            <w:tcW w:w="1420" w:type="dxa"/>
          </w:tcPr>
          <w:p>
            <w:pPr>
              <w:pStyle w:val="Normal0"/>
              <w:jc w:val="center"/>
              <w:rPr>
                <w:rFonts w:hint="eastAsia"/>
                <w:sz w:val="24"/>
              </w:rPr>
            </w:pPr>
            <w:r>
              <w:rPr>
                <w:rFonts w:hint="eastAsia"/>
                <w:sz w:val="24"/>
              </w:rPr>
              <w:t>2.02</w:t>
            </w:r>
          </w:p>
        </w:tc>
        <w:tc>
          <w:tcPr>
            <w:tcW w:w="1420" w:type="dxa"/>
          </w:tcPr>
          <w:p>
            <w:pPr>
              <w:pStyle w:val="a"/>
              <w:rPr>
                <w:rFonts w:hint="eastAsia"/>
              </w:rPr>
            </w:pPr>
            <w:r>
              <w:rPr>
                <w:rFonts w:hint="eastAsia"/>
              </w:rPr>
              <w:t>2.13</w:t>
            </w:r>
          </w:p>
        </w:tc>
        <w:tc>
          <w:tcPr>
            <w:tcW w:w="1421" w:type="dxa"/>
          </w:tcPr>
          <w:p>
            <w:pPr>
              <w:pStyle w:val="Normal0"/>
              <w:jc w:val="center"/>
              <w:rPr>
                <w:rFonts w:hint="eastAsia"/>
                <w:sz w:val="24"/>
              </w:rPr>
            </w:pPr>
            <w:r>
              <w:rPr>
                <w:rFonts w:hint="eastAsia"/>
                <w:sz w:val="24"/>
              </w:rPr>
              <w:t>2.62</w:t>
            </w:r>
          </w:p>
        </w:tc>
        <w:tc>
          <w:tcPr>
            <w:tcW w:w="1421" w:type="dxa"/>
            <w:tcBorders>
              <w:right w:val="single" w:sz="4" w:space="0" w:color="auto"/>
            </w:tcBorders>
          </w:tcPr>
          <w:p>
            <w:pPr>
              <w:pStyle w:val="Normal0"/>
              <w:jc w:val="center"/>
              <w:rPr>
                <w:rFonts w:hint="eastAsia"/>
                <w:sz w:val="24"/>
              </w:rPr>
            </w:pPr>
            <w:r>
              <w:rPr>
                <w:rFonts w:hint="eastAsia"/>
                <w:sz w:val="24"/>
              </w:rPr>
              <w:t>2.59</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NE</w:t>
            </w:r>
          </w:p>
        </w:tc>
        <w:tc>
          <w:tcPr>
            <w:tcW w:w="1420" w:type="dxa"/>
          </w:tcPr>
          <w:p>
            <w:pPr>
              <w:pStyle w:val="Normal0"/>
              <w:jc w:val="center"/>
              <w:rPr>
                <w:rFonts w:hint="eastAsia"/>
                <w:sz w:val="24"/>
              </w:rPr>
            </w:pPr>
            <w:r>
              <w:rPr>
                <w:rFonts w:hint="eastAsia"/>
                <w:sz w:val="24"/>
              </w:rPr>
              <w:t>1.88</w:t>
            </w:r>
          </w:p>
        </w:tc>
        <w:tc>
          <w:tcPr>
            <w:tcW w:w="1420" w:type="dxa"/>
          </w:tcPr>
          <w:p>
            <w:pPr>
              <w:pStyle w:val="Normal0"/>
              <w:jc w:val="center"/>
              <w:rPr>
                <w:rFonts w:hint="eastAsia"/>
                <w:sz w:val="24"/>
              </w:rPr>
            </w:pPr>
            <w:r>
              <w:rPr>
                <w:rFonts w:hint="eastAsia"/>
                <w:sz w:val="24"/>
              </w:rPr>
              <w:t>2.30</w:t>
            </w:r>
          </w:p>
        </w:tc>
        <w:tc>
          <w:tcPr>
            <w:tcW w:w="1420" w:type="dxa"/>
          </w:tcPr>
          <w:p>
            <w:pPr>
              <w:pStyle w:val="Normal0"/>
              <w:jc w:val="center"/>
              <w:rPr>
                <w:rFonts w:hint="eastAsia"/>
                <w:sz w:val="24"/>
              </w:rPr>
            </w:pPr>
            <w:r>
              <w:rPr>
                <w:rFonts w:hint="eastAsia"/>
                <w:sz w:val="24"/>
              </w:rPr>
              <w:t>2.07</w:t>
            </w:r>
          </w:p>
        </w:tc>
        <w:tc>
          <w:tcPr>
            <w:tcW w:w="1421" w:type="dxa"/>
          </w:tcPr>
          <w:p>
            <w:pPr>
              <w:pStyle w:val="Normal0"/>
              <w:jc w:val="center"/>
              <w:rPr>
                <w:rFonts w:hint="eastAsia"/>
                <w:sz w:val="24"/>
              </w:rPr>
            </w:pPr>
            <w:r>
              <w:rPr>
                <w:rFonts w:hint="eastAsia"/>
                <w:sz w:val="24"/>
              </w:rPr>
              <w:t>2.02</w:t>
            </w:r>
          </w:p>
        </w:tc>
        <w:tc>
          <w:tcPr>
            <w:tcW w:w="1421" w:type="dxa"/>
            <w:tcBorders>
              <w:right w:val="single" w:sz="4" w:space="0" w:color="auto"/>
            </w:tcBorders>
          </w:tcPr>
          <w:p>
            <w:pPr>
              <w:pStyle w:val="Normal0"/>
              <w:jc w:val="center"/>
              <w:rPr>
                <w:rFonts w:hint="eastAsia"/>
                <w:sz w:val="24"/>
              </w:rPr>
            </w:pPr>
            <w:r>
              <w:rPr>
                <w:rFonts w:hint="eastAsia"/>
                <w:sz w:val="24"/>
              </w:rPr>
              <w:t>2.17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ENE</w:t>
            </w:r>
          </w:p>
        </w:tc>
        <w:tc>
          <w:tcPr>
            <w:tcW w:w="1420" w:type="dxa"/>
          </w:tcPr>
          <w:p>
            <w:pPr>
              <w:pStyle w:val="Normal0"/>
              <w:jc w:val="center"/>
              <w:rPr>
                <w:rFonts w:hint="eastAsia"/>
                <w:sz w:val="24"/>
              </w:rPr>
            </w:pPr>
            <w:r>
              <w:rPr>
                <w:rFonts w:hint="eastAsia"/>
                <w:sz w:val="24"/>
              </w:rPr>
              <w:t>1.58</w:t>
            </w:r>
          </w:p>
        </w:tc>
        <w:tc>
          <w:tcPr>
            <w:tcW w:w="1420" w:type="dxa"/>
          </w:tcPr>
          <w:p>
            <w:pPr>
              <w:pStyle w:val="Normal0"/>
              <w:jc w:val="center"/>
              <w:rPr>
                <w:rFonts w:hint="eastAsia"/>
                <w:sz w:val="24"/>
              </w:rPr>
            </w:pPr>
            <w:r>
              <w:rPr>
                <w:rFonts w:hint="eastAsia"/>
                <w:sz w:val="24"/>
              </w:rPr>
              <w:t>2.46</w:t>
            </w:r>
          </w:p>
        </w:tc>
        <w:tc>
          <w:tcPr>
            <w:tcW w:w="1420" w:type="dxa"/>
          </w:tcPr>
          <w:p>
            <w:pPr>
              <w:pStyle w:val="Normal0"/>
              <w:jc w:val="center"/>
              <w:rPr>
                <w:rFonts w:hint="eastAsia"/>
                <w:sz w:val="24"/>
              </w:rPr>
            </w:pPr>
            <w:r>
              <w:rPr>
                <w:rFonts w:hint="eastAsia"/>
                <w:sz w:val="24"/>
              </w:rPr>
              <w:t>2.32</w:t>
            </w:r>
          </w:p>
        </w:tc>
        <w:tc>
          <w:tcPr>
            <w:tcW w:w="1421" w:type="dxa"/>
          </w:tcPr>
          <w:p>
            <w:pPr>
              <w:pStyle w:val="Normal0"/>
              <w:jc w:val="center"/>
              <w:rPr>
                <w:rFonts w:hint="eastAsia"/>
                <w:sz w:val="24"/>
              </w:rPr>
            </w:pPr>
            <w:r>
              <w:rPr>
                <w:rFonts w:hint="eastAsia"/>
                <w:sz w:val="24"/>
              </w:rPr>
              <w:t>2.18</w:t>
            </w:r>
          </w:p>
        </w:tc>
        <w:tc>
          <w:tcPr>
            <w:tcW w:w="1421" w:type="dxa"/>
            <w:tcBorders>
              <w:right w:val="single" w:sz="4" w:space="0" w:color="auto"/>
            </w:tcBorders>
          </w:tcPr>
          <w:p>
            <w:pPr>
              <w:pStyle w:val="Normal0"/>
              <w:jc w:val="center"/>
              <w:rPr>
                <w:rFonts w:hint="eastAsia"/>
                <w:sz w:val="24"/>
              </w:rPr>
            </w:pPr>
            <w:r>
              <w:rPr>
                <w:rFonts w:hint="eastAsia"/>
                <w:sz w:val="24"/>
              </w:rPr>
              <w:t>2.33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w:t>
            </w:r>
          </w:p>
        </w:tc>
        <w:tc>
          <w:tcPr>
            <w:tcW w:w="1420" w:type="dxa"/>
          </w:tcPr>
          <w:p>
            <w:pPr>
              <w:pStyle w:val="Normal0"/>
              <w:jc w:val="center"/>
              <w:rPr>
                <w:rFonts w:hint="eastAsia"/>
                <w:sz w:val="24"/>
              </w:rPr>
            </w:pPr>
            <w:r>
              <w:rPr>
                <w:rFonts w:hint="eastAsia"/>
                <w:sz w:val="24"/>
              </w:rPr>
              <w:t>1.83</w:t>
            </w:r>
          </w:p>
        </w:tc>
        <w:tc>
          <w:tcPr>
            <w:tcW w:w="1420" w:type="dxa"/>
          </w:tcPr>
          <w:p>
            <w:pPr>
              <w:pStyle w:val="Normal0"/>
              <w:jc w:val="center"/>
              <w:rPr>
                <w:rFonts w:hint="eastAsia"/>
                <w:sz w:val="24"/>
              </w:rPr>
            </w:pPr>
            <w:r>
              <w:rPr>
                <w:rFonts w:hint="eastAsia"/>
                <w:sz w:val="24"/>
              </w:rPr>
              <w:t>2.06</w:t>
            </w:r>
          </w:p>
        </w:tc>
        <w:tc>
          <w:tcPr>
            <w:tcW w:w="1420" w:type="dxa"/>
          </w:tcPr>
          <w:p>
            <w:pPr>
              <w:pStyle w:val="Normal0"/>
              <w:jc w:val="center"/>
              <w:rPr>
                <w:rFonts w:hint="eastAsia"/>
                <w:sz w:val="24"/>
              </w:rPr>
            </w:pPr>
            <w:r>
              <w:rPr>
                <w:rFonts w:hint="eastAsia"/>
                <w:sz w:val="24"/>
              </w:rPr>
              <w:t>2.53</w:t>
            </w:r>
          </w:p>
        </w:tc>
        <w:tc>
          <w:tcPr>
            <w:tcW w:w="1421" w:type="dxa"/>
          </w:tcPr>
          <w:p>
            <w:pPr>
              <w:pStyle w:val="Normal0"/>
              <w:jc w:val="center"/>
              <w:rPr>
                <w:rFonts w:hint="eastAsia"/>
                <w:sz w:val="24"/>
              </w:rPr>
            </w:pPr>
            <w:r>
              <w:rPr>
                <w:rFonts w:hint="eastAsia"/>
                <w:sz w:val="24"/>
              </w:rPr>
              <w:t>1.86</w:t>
            </w:r>
          </w:p>
        </w:tc>
        <w:tc>
          <w:tcPr>
            <w:tcW w:w="1421" w:type="dxa"/>
            <w:tcBorders>
              <w:right w:val="single" w:sz="4" w:space="0" w:color="auto"/>
            </w:tcBorders>
          </w:tcPr>
          <w:p>
            <w:pPr>
              <w:pStyle w:val="Normal0"/>
              <w:jc w:val="center"/>
              <w:rPr>
                <w:rFonts w:hint="eastAsia"/>
                <w:sz w:val="24"/>
              </w:rPr>
            </w:pPr>
            <w:r>
              <w:rPr>
                <w:rFonts w:hint="eastAsia"/>
                <w:sz w:val="24"/>
              </w:rPr>
              <w:t>2.07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ESE</w:t>
            </w:r>
          </w:p>
        </w:tc>
        <w:tc>
          <w:tcPr>
            <w:tcW w:w="1420" w:type="dxa"/>
          </w:tcPr>
          <w:p>
            <w:pPr>
              <w:pStyle w:val="Normal0"/>
              <w:jc w:val="center"/>
              <w:rPr>
                <w:rFonts w:hint="eastAsia"/>
                <w:sz w:val="24"/>
              </w:rPr>
            </w:pPr>
            <w:r>
              <w:rPr>
                <w:rFonts w:hint="eastAsia"/>
                <w:sz w:val="24"/>
              </w:rPr>
              <w:t>1.74</w:t>
            </w:r>
          </w:p>
        </w:tc>
        <w:tc>
          <w:tcPr>
            <w:tcW w:w="1420" w:type="dxa"/>
          </w:tcPr>
          <w:p>
            <w:pPr>
              <w:pStyle w:val="Normal0"/>
              <w:jc w:val="center"/>
              <w:rPr>
                <w:rFonts w:hint="eastAsia"/>
                <w:sz w:val="24"/>
              </w:rPr>
            </w:pPr>
            <w:r>
              <w:rPr>
                <w:rFonts w:hint="eastAsia"/>
                <w:sz w:val="24"/>
              </w:rPr>
              <w:t>1.84</w:t>
            </w:r>
          </w:p>
        </w:tc>
        <w:tc>
          <w:tcPr>
            <w:tcW w:w="1420" w:type="dxa"/>
          </w:tcPr>
          <w:p>
            <w:pPr>
              <w:pStyle w:val="Normal0"/>
              <w:jc w:val="center"/>
              <w:rPr>
                <w:rFonts w:hint="eastAsia"/>
                <w:sz w:val="24"/>
              </w:rPr>
            </w:pPr>
            <w:r>
              <w:rPr>
                <w:rFonts w:hint="eastAsia"/>
                <w:sz w:val="24"/>
              </w:rPr>
              <w:t>1.94</w:t>
            </w:r>
          </w:p>
        </w:tc>
        <w:tc>
          <w:tcPr>
            <w:tcW w:w="1421" w:type="dxa"/>
          </w:tcPr>
          <w:p>
            <w:pPr>
              <w:pStyle w:val="Normal0"/>
              <w:jc w:val="center"/>
              <w:rPr>
                <w:rFonts w:hint="eastAsia"/>
                <w:sz w:val="24"/>
              </w:rPr>
            </w:pPr>
            <w:r>
              <w:rPr>
                <w:rFonts w:hint="eastAsia"/>
                <w:sz w:val="24"/>
              </w:rPr>
              <w:t>1.53</w:t>
            </w:r>
          </w:p>
        </w:tc>
        <w:tc>
          <w:tcPr>
            <w:tcW w:w="1421" w:type="dxa"/>
            <w:tcBorders>
              <w:right w:val="single" w:sz="4" w:space="0" w:color="auto"/>
            </w:tcBorders>
          </w:tcPr>
          <w:p>
            <w:pPr>
              <w:pStyle w:val="Normal0"/>
              <w:jc w:val="center"/>
              <w:rPr>
                <w:rFonts w:hint="eastAsia"/>
                <w:sz w:val="24"/>
              </w:rPr>
            </w:pPr>
            <w:r>
              <w:rPr>
                <w:rFonts w:hint="eastAsia"/>
                <w:sz w:val="24"/>
              </w:rPr>
              <w:t>1.70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SE</w:t>
            </w:r>
          </w:p>
        </w:tc>
        <w:tc>
          <w:tcPr>
            <w:tcW w:w="1420" w:type="dxa"/>
          </w:tcPr>
          <w:p>
            <w:pPr>
              <w:pStyle w:val="Normal0"/>
              <w:jc w:val="center"/>
              <w:rPr>
                <w:rFonts w:hint="eastAsia"/>
                <w:sz w:val="24"/>
              </w:rPr>
            </w:pPr>
            <w:r>
              <w:rPr>
                <w:rFonts w:hint="eastAsia"/>
                <w:sz w:val="24"/>
              </w:rPr>
              <w:t>1.22</w:t>
            </w:r>
          </w:p>
        </w:tc>
        <w:tc>
          <w:tcPr>
            <w:tcW w:w="1420" w:type="dxa"/>
          </w:tcPr>
          <w:p>
            <w:pPr>
              <w:pStyle w:val="Normal0"/>
              <w:jc w:val="center"/>
              <w:rPr>
                <w:rFonts w:hint="eastAsia"/>
                <w:sz w:val="24"/>
              </w:rPr>
            </w:pPr>
            <w:r>
              <w:rPr>
                <w:rFonts w:hint="eastAsia"/>
                <w:sz w:val="24"/>
              </w:rPr>
              <w:t>1.40</w:t>
            </w:r>
          </w:p>
        </w:tc>
        <w:tc>
          <w:tcPr>
            <w:tcW w:w="1420" w:type="dxa"/>
          </w:tcPr>
          <w:p>
            <w:pPr>
              <w:pStyle w:val="Normal0"/>
              <w:jc w:val="center"/>
              <w:rPr>
                <w:rFonts w:hint="eastAsia"/>
                <w:sz w:val="24"/>
              </w:rPr>
            </w:pPr>
            <w:r>
              <w:rPr>
                <w:rFonts w:hint="eastAsia"/>
                <w:sz w:val="24"/>
              </w:rPr>
              <w:t>1.64</w:t>
            </w:r>
          </w:p>
        </w:tc>
        <w:tc>
          <w:tcPr>
            <w:tcW w:w="1421" w:type="dxa"/>
          </w:tcPr>
          <w:p>
            <w:pPr>
              <w:pStyle w:val="Normal0"/>
              <w:jc w:val="center"/>
              <w:rPr>
                <w:rFonts w:hint="eastAsia"/>
                <w:sz w:val="24"/>
              </w:rPr>
            </w:pPr>
            <w:r>
              <w:rPr>
                <w:rFonts w:hint="eastAsia"/>
                <w:sz w:val="24"/>
              </w:rPr>
              <w:t>0.30</w:t>
            </w:r>
          </w:p>
        </w:tc>
        <w:tc>
          <w:tcPr>
            <w:tcW w:w="1421" w:type="dxa"/>
            <w:tcBorders>
              <w:right w:val="single" w:sz="4" w:space="0" w:color="auto"/>
            </w:tcBorders>
          </w:tcPr>
          <w:p>
            <w:pPr>
              <w:pStyle w:val="Normal0"/>
              <w:jc w:val="center"/>
              <w:rPr>
                <w:rFonts w:hint="eastAsia"/>
                <w:sz w:val="24"/>
              </w:rPr>
            </w:pPr>
            <w:r>
              <w:rPr>
                <w:rFonts w:hint="eastAsia"/>
                <w:sz w:val="24"/>
              </w:rPr>
              <w:t>1.37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SSE</w:t>
            </w:r>
          </w:p>
        </w:tc>
        <w:tc>
          <w:tcPr>
            <w:tcW w:w="1420" w:type="dxa"/>
          </w:tcPr>
          <w:p>
            <w:pPr>
              <w:pStyle w:val="Normal0"/>
              <w:jc w:val="center"/>
              <w:rPr>
                <w:rFonts w:hint="eastAsia"/>
                <w:sz w:val="24"/>
              </w:rPr>
            </w:pPr>
            <w:r>
              <w:rPr>
                <w:rFonts w:hint="eastAsia"/>
                <w:sz w:val="24"/>
              </w:rPr>
              <w:t>0.77</w:t>
            </w:r>
          </w:p>
        </w:tc>
        <w:tc>
          <w:tcPr>
            <w:tcW w:w="1420" w:type="dxa"/>
          </w:tcPr>
          <w:p>
            <w:pPr>
              <w:pStyle w:val="Normal0"/>
              <w:jc w:val="center"/>
              <w:rPr>
                <w:rFonts w:hint="eastAsia"/>
                <w:sz w:val="24"/>
              </w:rPr>
            </w:pPr>
            <w:r>
              <w:rPr>
                <w:rFonts w:hint="eastAsia"/>
                <w:sz w:val="24"/>
              </w:rPr>
              <w:t>1.93</w:t>
            </w:r>
          </w:p>
        </w:tc>
        <w:tc>
          <w:tcPr>
            <w:tcW w:w="1420" w:type="dxa"/>
          </w:tcPr>
          <w:p>
            <w:pPr>
              <w:pStyle w:val="Normal0"/>
              <w:jc w:val="center"/>
              <w:rPr>
                <w:rFonts w:hint="eastAsia"/>
                <w:sz w:val="24"/>
              </w:rPr>
            </w:pPr>
            <w:r>
              <w:rPr>
                <w:rFonts w:hint="eastAsia"/>
                <w:sz w:val="24"/>
              </w:rPr>
              <w:t>1.81</w:t>
            </w:r>
          </w:p>
        </w:tc>
        <w:tc>
          <w:tcPr>
            <w:tcW w:w="1421" w:type="dxa"/>
          </w:tcPr>
          <w:p>
            <w:pPr>
              <w:pStyle w:val="Normal0"/>
              <w:jc w:val="center"/>
              <w:rPr>
                <w:rFonts w:hint="eastAsia"/>
                <w:sz w:val="24"/>
              </w:rPr>
            </w:pPr>
            <w:r>
              <w:rPr>
                <w:rFonts w:hint="eastAsia"/>
                <w:sz w:val="24"/>
              </w:rPr>
              <w:t>0.50</w:t>
            </w:r>
          </w:p>
        </w:tc>
        <w:tc>
          <w:tcPr>
            <w:tcW w:w="1421" w:type="dxa"/>
            <w:tcBorders>
              <w:right w:val="single" w:sz="4" w:space="0" w:color="auto"/>
            </w:tcBorders>
          </w:tcPr>
          <w:p>
            <w:pPr>
              <w:pStyle w:val="Normal0"/>
              <w:jc w:val="center"/>
              <w:rPr>
                <w:rFonts w:hint="eastAsia"/>
                <w:sz w:val="24"/>
              </w:rPr>
            </w:pPr>
            <w:r>
              <w:rPr>
                <w:rFonts w:hint="eastAsia"/>
                <w:sz w:val="24"/>
              </w:rPr>
              <w:t>1.57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w:t>
            </w:r>
          </w:p>
        </w:tc>
        <w:tc>
          <w:tcPr>
            <w:tcW w:w="1420" w:type="dxa"/>
          </w:tcPr>
          <w:p>
            <w:pPr>
              <w:pStyle w:val="Normal0"/>
              <w:jc w:val="center"/>
              <w:rPr>
                <w:rFonts w:hint="eastAsia"/>
                <w:sz w:val="24"/>
              </w:rPr>
            </w:pPr>
            <w:r>
              <w:rPr>
                <w:rFonts w:hint="eastAsia"/>
                <w:sz w:val="24"/>
              </w:rPr>
              <w:t>1.36</w:t>
            </w:r>
          </w:p>
        </w:tc>
        <w:tc>
          <w:tcPr>
            <w:tcW w:w="1420" w:type="dxa"/>
          </w:tcPr>
          <w:p>
            <w:pPr>
              <w:pStyle w:val="Normal0"/>
              <w:jc w:val="center"/>
              <w:rPr>
                <w:rFonts w:hint="eastAsia"/>
                <w:sz w:val="24"/>
              </w:rPr>
            </w:pPr>
            <w:r>
              <w:rPr>
                <w:rFonts w:hint="eastAsia"/>
                <w:sz w:val="24"/>
              </w:rPr>
              <w:t>1.78</w:t>
            </w:r>
          </w:p>
        </w:tc>
        <w:tc>
          <w:tcPr>
            <w:tcW w:w="1420" w:type="dxa"/>
          </w:tcPr>
          <w:p>
            <w:pPr>
              <w:pStyle w:val="Normal0"/>
              <w:jc w:val="center"/>
              <w:rPr>
                <w:rFonts w:hint="eastAsia"/>
                <w:sz w:val="24"/>
              </w:rPr>
            </w:pPr>
            <w:r>
              <w:rPr>
                <w:rFonts w:hint="eastAsia"/>
                <w:sz w:val="24"/>
              </w:rPr>
              <w:t>2.18</w:t>
            </w:r>
          </w:p>
        </w:tc>
        <w:tc>
          <w:tcPr>
            <w:tcW w:w="1421" w:type="dxa"/>
          </w:tcPr>
          <w:p>
            <w:pPr>
              <w:pStyle w:val="Normal0"/>
              <w:jc w:val="center"/>
              <w:rPr>
                <w:rFonts w:hint="eastAsia"/>
                <w:sz w:val="24"/>
              </w:rPr>
            </w:pPr>
            <w:r>
              <w:rPr>
                <w:rFonts w:hint="eastAsia"/>
                <w:sz w:val="24"/>
              </w:rPr>
              <w:t>1.08</w:t>
            </w:r>
          </w:p>
        </w:tc>
        <w:tc>
          <w:tcPr>
            <w:tcW w:w="1421" w:type="dxa"/>
            <w:tcBorders>
              <w:right w:val="single" w:sz="4" w:space="0" w:color="auto"/>
            </w:tcBorders>
          </w:tcPr>
          <w:p>
            <w:pPr>
              <w:pStyle w:val="Normal0"/>
              <w:jc w:val="center"/>
              <w:rPr>
                <w:rFonts w:hint="eastAsia"/>
                <w:sz w:val="24"/>
              </w:rPr>
            </w:pPr>
            <w:r>
              <w:rPr>
                <w:rFonts w:hint="eastAsia"/>
                <w:sz w:val="24"/>
              </w:rPr>
              <w:t>1.59</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SSW</w:t>
            </w:r>
          </w:p>
        </w:tc>
        <w:tc>
          <w:tcPr>
            <w:tcW w:w="1420" w:type="dxa"/>
          </w:tcPr>
          <w:p>
            <w:pPr>
              <w:pStyle w:val="Normal0"/>
              <w:jc w:val="center"/>
              <w:rPr>
                <w:rFonts w:hint="eastAsia"/>
                <w:sz w:val="24"/>
              </w:rPr>
            </w:pPr>
            <w:r>
              <w:rPr>
                <w:rFonts w:hint="eastAsia"/>
                <w:sz w:val="24"/>
              </w:rPr>
              <w:t>1.40</w:t>
            </w:r>
          </w:p>
        </w:tc>
        <w:tc>
          <w:tcPr>
            <w:tcW w:w="1420" w:type="dxa"/>
          </w:tcPr>
          <w:p>
            <w:pPr>
              <w:pStyle w:val="Normal0"/>
              <w:jc w:val="center"/>
              <w:rPr>
                <w:rFonts w:hint="eastAsia"/>
                <w:sz w:val="24"/>
              </w:rPr>
            </w:pPr>
            <w:r>
              <w:rPr>
                <w:rFonts w:hint="eastAsia"/>
                <w:sz w:val="24"/>
              </w:rPr>
              <w:t>2.31</w:t>
            </w:r>
          </w:p>
        </w:tc>
        <w:tc>
          <w:tcPr>
            <w:tcW w:w="1420" w:type="dxa"/>
          </w:tcPr>
          <w:p>
            <w:pPr>
              <w:pStyle w:val="Normal0"/>
              <w:jc w:val="center"/>
              <w:rPr>
                <w:rFonts w:hint="eastAsia"/>
                <w:sz w:val="24"/>
              </w:rPr>
            </w:pPr>
            <w:r>
              <w:rPr>
                <w:rFonts w:hint="eastAsia"/>
                <w:sz w:val="24"/>
              </w:rPr>
              <w:t>2.39</w:t>
            </w:r>
          </w:p>
        </w:tc>
        <w:tc>
          <w:tcPr>
            <w:tcW w:w="1421" w:type="dxa"/>
          </w:tcPr>
          <w:p>
            <w:pPr>
              <w:pStyle w:val="Normal0"/>
              <w:jc w:val="center"/>
              <w:rPr>
                <w:rFonts w:hint="eastAsia"/>
                <w:sz w:val="24"/>
              </w:rPr>
            </w:pPr>
            <w:r>
              <w:rPr>
                <w:rFonts w:hint="eastAsia"/>
                <w:sz w:val="24"/>
              </w:rPr>
              <w:t>1.93</w:t>
            </w:r>
          </w:p>
        </w:tc>
        <w:tc>
          <w:tcPr>
            <w:tcW w:w="1421" w:type="dxa"/>
            <w:tcBorders>
              <w:right w:val="single" w:sz="4" w:space="0" w:color="auto"/>
            </w:tcBorders>
          </w:tcPr>
          <w:p>
            <w:pPr>
              <w:pStyle w:val="Normal0"/>
              <w:jc w:val="center"/>
              <w:rPr>
                <w:rFonts w:hint="eastAsia"/>
                <w:sz w:val="24"/>
              </w:rPr>
            </w:pPr>
            <w:r>
              <w:rPr>
                <w:rFonts w:hint="eastAsia"/>
                <w:sz w:val="24"/>
              </w:rPr>
              <w:t>2.11</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SW</w:t>
            </w:r>
          </w:p>
        </w:tc>
        <w:tc>
          <w:tcPr>
            <w:tcW w:w="1420" w:type="dxa"/>
          </w:tcPr>
          <w:p>
            <w:pPr>
              <w:pStyle w:val="Normal0"/>
              <w:jc w:val="center"/>
              <w:rPr>
                <w:rFonts w:hint="eastAsia"/>
                <w:sz w:val="24"/>
              </w:rPr>
            </w:pPr>
            <w:r>
              <w:rPr>
                <w:rFonts w:hint="eastAsia"/>
                <w:sz w:val="24"/>
              </w:rPr>
              <w:t>1.11</w:t>
            </w:r>
          </w:p>
        </w:tc>
        <w:tc>
          <w:tcPr>
            <w:tcW w:w="1420" w:type="dxa"/>
          </w:tcPr>
          <w:p>
            <w:pPr>
              <w:pStyle w:val="Normal0"/>
              <w:jc w:val="center"/>
              <w:rPr>
                <w:rFonts w:hint="eastAsia"/>
                <w:sz w:val="24"/>
              </w:rPr>
            </w:pPr>
            <w:r>
              <w:rPr>
                <w:rFonts w:hint="eastAsia"/>
                <w:sz w:val="24"/>
              </w:rPr>
              <w:t>1.95</w:t>
            </w:r>
          </w:p>
        </w:tc>
        <w:tc>
          <w:tcPr>
            <w:tcW w:w="1420" w:type="dxa"/>
          </w:tcPr>
          <w:p>
            <w:pPr>
              <w:pStyle w:val="Normal0"/>
              <w:jc w:val="center"/>
              <w:rPr>
                <w:rFonts w:hint="eastAsia"/>
                <w:sz w:val="24"/>
              </w:rPr>
            </w:pPr>
            <w:r>
              <w:rPr>
                <w:rFonts w:hint="eastAsia"/>
                <w:sz w:val="24"/>
              </w:rPr>
              <w:t>2.16</w:t>
            </w:r>
          </w:p>
        </w:tc>
        <w:tc>
          <w:tcPr>
            <w:tcW w:w="1421" w:type="dxa"/>
          </w:tcPr>
          <w:p>
            <w:pPr>
              <w:pStyle w:val="Normal0"/>
              <w:jc w:val="center"/>
              <w:rPr>
                <w:rFonts w:hint="eastAsia"/>
                <w:sz w:val="24"/>
              </w:rPr>
            </w:pPr>
            <w:r>
              <w:rPr>
                <w:rFonts w:hint="eastAsia"/>
                <w:sz w:val="24"/>
              </w:rPr>
              <w:t>0.69</w:t>
            </w:r>
          </w:p>
        </w:tc>
        <w:tc>
          <w:tcPr>
            <w:tcW w:w="1421" w:type="dxa"/>
            <w:tcBorders>
              <w:right w:val="single" w:sz="4" w:space="0" w:color="auto"/>
            </w:tcBorders>
          </w:tcPr>
          <w:p>
            <w:pPr>
              <w:pStyle w:val="Normal0"/>
              <w:jc w:val="center"/>
              <w:rPr>
                <w:rFonts w:hint="eastAsia"/>
                <w:sz w:val="24"/>
              </w:rPr>
            </w:pPr>
            <w:r>
              <w:rPr>
                <w:rFonts w:hint="eastAsia"/>
                <w:sz w:val="24"/>
              </w:rPr>
              <w:t>1.78</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WSW</w:t>
            </w:r>
          </w:p>
        </w:tc>
        <w:tc>
          <w:tcPr>
            <w:tcW w:w="1420" w:type="dxa"/>
          </w:tcPr>
          <w:p>
            <w:pPr>
              <w:pStyle w:val="Normal0"/>
              <w:jc w:val="center"/>
              <w:rPr>
                <w:rFonts w:hint="eastAsia"/>
                <w:sz w:val="24"/>
              </w:rPr>
            </w:pPr>
            <w:r>
              <w:rPr>
                <w:rFonts w:hint="eastAsia"/>
                <w:sz w:val="24"/>
              </w:rPr>
              <w:t>0.87</w:t>
            </w:r>
          </w:p>
        </w:tc>
        <w:tc>
          <w:tcPr>
            <w:tcW w:w="1420" w:type="dxa"/>
          </w:tcPr>
          <w:p>
            <w:pPr>
              <w:pStyle w:val="Normal0"/>
              <w:jc w:val="center"/>
              <w:rPr>
                <w:rFonts w:hint="eastAsia"/>
                <w:sz w:val="24"/>
              </w:rPr>
            </w:pPr>
            <w:r>
              <w:rPr>
                <w:rFonts w:hint="eastAsia"/>
                <w:sz w:val="24"/>
              </w:rPr>
              <w:t>1.60</w:t>
            </w:r>
          </w:p>
        </w:tc>
        <w:tc>
          <w:tcPr>
            <w:tcW w:w="1420" w:type="dxa"/>
          </w:tcPr>
          <w:p>
            <w:pPr>
              <w:pStyle w:val="Normal0"/>
              <w:jc w:val="center"/>
              <w:rPr>
                <w:rFonts w:hint="eastAsia"/>
                <w:sz w:val="24"/>
              </w:rPr>
            </w:pPr>
            <w:r>
              <w:rPr>
                <w:rFonts w:hint="eastAsia"/>
                <w:sz w:val="24"/>
              </w:rPr>
              <w:t>1.96</w:t>
            </w:r>
          </w:p>
        </w:tc>
        <w:tc>
          <w:tcPr>
            <w:tcW w:w="1421" w:type="dxa"/>
          </w:tcPr>
          <w:p>
            <w:pPr>
              <w:pStyle w:val="Normal0"/>
              <w:jc w:val="center"/>
              <w:rPr>
                <w:rFonts w:hint="eastAsia"/>
                <w:sz w:val="24"/>
              </w:rPr>
            </w:pPr>
            <w:r>
              <w:rPr>
                <w:rFonts w:hint="eastAsia"/>
                <w:sz w:val="24"/>
              </w:rPr>
              <w:t>0.70</w:t>
            </w:r>
          </w:p>
        </w:tc>
        <w:tc>
          <w:tcPr>
            <w:tcW w:w="1421" w:type="dxa"/>
            <w:tcBorders>
              <w:right w:val="single" w:sz="4" w:space="0" w:color="auto"/>
            </w:tcBorders>
          </w:tcPr>
          <w:p>
            <w:pPr>
              <w:pStyle w:val="Normal0"/>
              <w:jc w:val="center"/>
              <w:rPr>
                <w:rFonts w:hint="eastAsia"/>
                <w:sz w:val="24"/>
              </w:rPr>
            </w:pPr>
            <w:r>
              <w:rPr>
                <w:rFonts w:hint="eastAsia"/>
                <w:sz w:val="24"/>
              </w:rPr>
              <w:t>1.50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w:t>
            </w:r>
          </w:p>
        </w:tc>
        <w:tc>
          <w:tcPr>
            <w:tcW w:w="1420" w:type="dxa"/>
          </w:tcPr>
          <w:p>
            <w:pPr>
              <w:pStyle w:val="Normal0"/>
              <w:jc w:val="center"/>
              <w:rPr>
                <w:rFonts w:hint="eastAsia"/>
                <w:sz w:val="24"/>
              </w:rPr>
            </w:pPr>
            <w:r>
              <w:rPr>
                <w:rFonts w:hint="eastAsia"/>
                <w:sz w:val="24"/>
              </w:rPr>
              <w:t>1.33</w:t>
            </w:r>
          </w:p>
        </w:tc>
        <w:tc>
          <w:tcPr>
            <w:tcW w:w="1420" w:type="dxa"/>
          </w:tcPr>
          <w:p>
            <w:pPr>
              <w:pStyle w:val="Normal0"/>
              <w:jc w:val="center"/>
              <w:rPr>
                <w:rFonts w:hint="eastAsia"/>
                <w:sz w:val="24"/>
              </w:rPr>
            </w:pPr>
            <w:r>
              <w:rPr>
                <w:rFonts w:hint="eastAsia"/>
                <w:sz w:val="24"/>
              </w:rPr>
              <w:t>0.63</w:t>
            </w:r>
          </w:p>
        </w:tc>
        <w:tc>
          <w:tcPr>
            <w:tcW w:w="1420" w:type="dxa"/>
          </w:tcPr>
          <w:p>
            <w:pPr>
              <w:pStyle w:val="a"/>
              <w:rPr>
                <w:rFonts w:hint="eastAsia"/>
              </w:rPr>
            </w:pPr>
            <w:r>
              <w:rPr>
                <w:rFonts w:hint="eastAsia"/>
              </w:rPr>
              <w:t>1.00</w:t>
            </w:r>
          </w:p>
        </w:tc>
        <w:tc>
          <w:tcPr>
            <w:tcW w:w="1421" w:type="dxa"/>
          </w:tcPr>
          <w:p>
            <w:pPr>
              <w:pStyle w:val="Normal0"/>
              <w:jc w:val="center"/>
              <w:rPr>
                <w:rFonts w:hint="eastAsia"/>
                <w:sz w:val="24"/>
              </w:rPr>
            </w:pPr>
            <w:r>
              <w:rPr>
                <w:rFonts w:hint="eastAsia"/>
                <w:sz w:val="24"/>
              </w:rPr>
              <w:t>0.90</w:t>
            </w:r>
          </w:p>
        </w:tc>
        <w:tc>
          <w:tcPr>
            <w:tcW w:w="1421" w:type="dxa"/>
            <w:tcBorders>
              <w:right w:val="single" w:sz="4" w:space="0" w:color="auto"/>
            </w:tcBorders>
          </w:tcPr>
          <w:p>
            <w:pPr>
              <w:pStyle w:val="Normal0"/>
              <w:jc w:val="center"/>
              <w:rPr>
                <w:rFonts w:hint="eastAsia"/>
                <w:sz w:val="24"/>
              </w:rPr>
            </w:pPr>
            <w:r>
              <w:rPr>
                <w:rFonts w:hint="eastAsia"/>
                <w:sz w:val="24"/>
              </w:rPr>
              <w:t>1.14</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WNW</w:t>
            </w:r>
          </w:p>
        </w:tc>
        <w:tc>
          <w:tcPr>
            <w:tcW w:w="1420" w:type="dxa"/>
          </w:tcPr>
          <w:p>
            <w:pPr>
              <w:pStyle w:val="Normal0"/>
              <w:jc w:val="center"/>
              <w:rPr>
                <w:rFonts w:hint="eastAsia"/>
                <w:sz w:val="24"/>
              </w:rPr>
            </w:pPr>
            <w:r>
              <w:rPr>
                <w:rFonts w:hint="eastAsia"/>
                <w:sz w:val="24"/>
              </w:rPr>
              <w:t>1.69</w:t>
            </w:r>
          </w:p>
        </w:tc>
        <w:tc>
          <w:tcPr>
            <w:tcW w:w="1420" w:type="dxa"/>
          </w:tcPr>
          <w:p>
            <w:pPr>
              <w:pStyle w:val="Normal0"/>
              <w:jc w:val="center"/>
              <w:rPr>
                <w:rFonts w:hint="eastAsia"/>
                <w:sz w:val="24"/>
              </w:rPr>
            </w:pPr>
            <w:r>
              <w:rPr>
                <w:rFonts w:hint="eastAsia"/>
                <w:sz w:val="24"/>
              </w:rPr>
              <w:t>1.90</w:t>
            </w:r>
          </w:p>
        </w:tc>
        <w:tc>
          <w:tcPr>
            <w:tcW w:w="1420" w:type="dxa"/>
          </w:tcPr>
          <w:p>
            <w:pPr>
              <w:pStyle w:val="Normal0"/>
              <w:jc w:val="center"/>
              <w:rPr>
                <w:rFonts w:hint="eastAsia"/>
                <w:sz w:val="24"/>
              </w:rPr>
            </w:pPr>
            <w:r>
              <w:rPr>
                <w:rFonts w:hint="eastAsia"/>
                <w:sz w:val="24"/>
              </w:rPr>
              <w:t>2.10</w:t>
            </w:r>
          </w:p>
        </w:tc>
        <w:tc>
          <w:tcPr>
            <w:tcW w:w="1421" w:type="dxa"/>
          </w:tcPr>
          <w:p>
            <w:pPr>
              <w:pStyle w:val="Normal0"/>
              <w:jc w:val="center"/>
              <w:rPr>
                <w:rFonts w:hint="eastAsia"/>
                <w:sz w:val="24"/>
              </w:rPr>
            </w:pPr>
            <w:r>
              <w:rPr>
                <w:rFonts w:hint="eastAsia"/>
                <w:sz w:val="24"/>
              </w:rPr>
              <w:t>1.04</w:t>
            </w:r>
          </w:p>
        </w:tc>
        <w:tc>
          <w:tcPr>
            <w:tcW w:w="1421" w:type="dxa"/>
            <w:tcBorders>
              <w:right w:val="single" w:sz="4" w:space="0" w:color="auto"/>
            </w:tcBorders>
          </w:tcPr>
          <w:p>
            <w:pPr>
              <w:pStyle w:val="Normal0"/>
              <w:jc w:val="center"/>
              <w:rPr>
                <w:rFonts w:hint="eastAsia"/>
                <w:sz w:val="24"/>
              </w:rPr>
            </w:pPr>
            <w:r>
              <w:rPr>
                <w:rFonts w:hint="eastAsia"/>
                <w:sz w:val="24"/>
              </w:rPr>
              <w:t>1.51</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NW</w:t>
            </w:r>
          </w:p>
        </w:tc>
        <w:tc>
          <w:tcPr>
            <w:tcW w:w="1420" w:type="dxa"/>
          </w:tcPr>
          <w:p>
            <w:pPr>
              <w:pStyle w:val="Normal0"/>
              <w:jc w:val="center"/>
              <w:rPr>
                <w:rFonts w:hint="eastAsia"/>
                <w:sz w:val="24"/>
              </w:rPr>
            </w:pPr>
            <w:r>
              <w:rPr>
                <w:rFonts w:hint="eastAsia"/>
                <w:sz w:val="24"/>
              </w:rPr>
              <w:t>2.02</w:t>
            </w:r>
          </w:p>
        </w:tc>
        <w:tc>
          <w:tcPr>
            <w:tcW w:w="1420" w:type="dxa"/>
          </w:tcPr>
          <w:p>
            <w:pPr>
              <w:pStyle w:val="Normal0"/>
              <w:jc w:val="center"/>
              <w:rPr>
                <w:rFonts w:hint="eastAsia"/>
                <w:sz w:val="24"/>
              </w:rPr>
            </w:pPr>
            <w:r>
              <w:rPr>
                <w:rFonts w:hint="eastAsia"/>
                <w:sz w:val="24"/>
              </w:rPr>
              <w:t>2.29</w:t>
            </w:r>
          </w:p>
        </w:tc>
        <w:tc>
          <w:tcPr>
            <w:tcW w:w="1420" w:type="dxa"/>
          </w:tcPr>
          <w:p>
            <w:pPr>
              <w:pStyle w:val="Normal0"/>
              <w:jc w:val="center"/>
              <w:rPr>
                <w:rFonts w:hint="eastAsia"/>
                <w:sz w:val="24"/>
              </w:rPr>
            </w:pPr>
            <w:r>
              <w:rPr>
                <w:rFonts w:hint="eastAsia"/>
                <w:sz w:val="24"/>
              </w:rPr>
              <w:t>1.44</w:t>
            </w:r>
          </w:p>
        </w:tc>
        <w:tc>
          <w:tcPr>
            <w:tcW w:w="1421" w:type="dxa"/>
          </w:tcPr>
          <w:p>
            <w:pPr>
              <w:pStyle w:val="Normal0"/>
              <w:jc w:val="center"/>
              <w:rPr>
                <w:rFonts w:hint="eastAsia"/>
                <w:sz w:val="24"/>
              </w:rPr>
            </w:pPr>
            <w:r>
              <w:rPr>
                <w:rFonts w:hint="eastAsia"/>
                <w:sz w:val="24"/>
              </w:rPr>
              <w:t>1.54</w:t>
            </w:r>
          </w:p>
        </w:tc>
        <w:tc>
          <w:tcPr>
            <w:tcW w:w="1421" w:type="dxa"/>
            <w:tcBorders>
              <w:right w:val="single" w:sz="4" w:space="0" w:color="auto"/>
            </w:tcBorders>
          </w:tcPr>
          <w:p>
            <w:pPr>
              <w:pStyle w:val="Normal0"/>
              <w:jc w:val="center"/>
              <w:rPr>
                <w:rFonts w:hint="eastAsia"/>
                <w:sz w:val="24"/>
              </w:rPr>
            </w:pPr>
            <w:r>
              <w:rPr>
                <w:rFonts w:hint="eastAsia"/>
                <w:sz w:val="24"/>
              </w:rPr>
              <w:t>1.70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NNW</w:t>
            </w:r>
          </w:p>
        </w:tc>
        <w:tc>
          <w:tcPr>
            <w:tcW w:w="1420" w:type="dxa"/>
          </w:tcPr>
          <w:p>
            <w:pPr>
              <w:pStyle w:val="Normal0"/>
              <w:jc w:val="center"/>
              <w:rPr>
                <w:rFonts w:hint="eastAsia"/>
                <w:sz w:val="24"/>
              </w:rPr>
            </w:pPr>
            <w:r>
              <w:rPr>
                <w:rFonts w:hint="eastAsia"/>
                <w:sz w:val="24"/>
              </w:rPr>
              <w:t>2.63</w:t>
            </w:r>
          </w:p>
        </w:tc>
        <w:tc>
          <w:tcPr>
            <w:tcW w:w="1420" w:type="dxa"/>
          </w:tcPr>
          <w:p>
            <w:pPr>
              <w:pStyle w:val="Normal0"/>
              <w:jc w:val="center"/>
              <w:rPr>
                <w:rFonts w:hint="eastAsia"/>
                <w:sz w:val="24"/>
              </w:rPr>
            </w:pPr>
            <w:r>
              <w:rPr>
                <w:rFonts w:hint="eastAsia"/>
                <w:sz w:val="24"/>
              </w:rPr>
              <w:t>2.66</w:t>
            </w:r>
          </w:p>
        </w:tc>
        <w:tc>
          <w:tcPr>
            <w:tcW w:w="1420" w:type="dxa"/>
          </w:tcPr>
          <w:p>
            <w:pPr>
              <w:pStyle w:val="Normal0"/>
              <w:jc w:val="center"/>
              <w:rPr>
                <w:rFonts w:hint="eastAsia"/>
                <w:sz w:val="24"/>
              </w:rPr>
            </w:pPr>
            <w:r>
              <w:rPr>
                <w:rFonts w:hint="eastAsia"/>
                <w:sz w:val="24"/>
              </w:rPr>
              <w:t>1.77</w:t>
            </w:r>
          </w:p>
        </w:tc>
        <w:tc>
          <w:tcPr>
            <w:tcW w:w="1421" w:type="dxa"/>
          </w:tcPr>
          <w:p>
            <w:pPr>
              <w:pStyle w:val="Normal0"/>
              <w:jc w:val="center"/>
              <w:rPr>
                <w:rFonts w:hint="eastAsia"/>
                <w:sz w:val="24"/>
              </w:rPr>
            </w:pPr>
            <w:r>
              <w:rPr>
                <w:rFonts w:hint="eastAsia"/>
                <w:sz w:val="24"/>
              </w:rPr>
              <w:t>1.93</w:t>
            </w:r>
          </w:p>
        </w:tc>
        <w:tc>
          <w:tcPr>
            <w:tcW w:w="1421" w:type="dxa"/>
            <w:tcBorders>
              <w:right w:val="single" w:sz="4" w:space="0" w:color="auto"/>
            </w:tcBorders>
          </w:tcPr>
          <w:p>
            <w:pPr>
              <w:pStyle w:val="Normal0"/>
              <w:jc w:val="center"/>
              <w:rPr>
                <w:rFonts w:hint="eastAsia"/>
                <w:sz w:val="24"/>
              </w:rPr>
            </w:pPr>
            <w:r>
              <w:rPr>
                <w:rFonts w:hint="eastAsia"/>
                <w:sz w:val="24"/>
              </w:rPr>
              <w:t>2.35</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全方位</w:t>
            </w:r>
          </w:p>
        </w:tc>
        <w:tc>
          <w:tcPr>
            <w:tcW w:w="1420" w:type="dxa"/>
          </w:tcPr>
          <w:p>
            <w:pPr>
              <w:pStyle w:val="Normal0"/>
              <w:jc w:val="center"/>
              <w:rPr>
                <w:rFonts w:hint="eastAsia"/>
                <w:sz w:val="24"/>
              </w:rPr>
            </w:pPr>
            <w:r>
              <w:rPr>
                <w:rFonts w:hint="eastAsia"/>
                <w:sz w:val="24"/>
              </w:rPr>
              <w:t>2.05</w:t>
            </w:r>
          </w:p>
        </w:tc>
        <w:tc>
          <w:tcPr>
            <w:tcW w:w="1420" w:type="dxa"/>
          </w:tcPr>
          <w:p>
            <w:pPr>
              <w:pStyle w:val="Normal0"/>
              <w:jc w:val="center"/>
              <w:rPr>
                <w:rFonts w:hint="eastAsia"/>
                <w:sz w:val="24"/>
              </w:rPr>
            </w:pPr>
            <w:r>
              <w:rPr>
                <w:rFonts w:hint="eastAsia"/>
                <w:sz w:val="24"/>
              </w:rPr>
              <w:t>2.09</w:t>
            </w:r>
          </w:p>
        </w:tc>
        <w:tc>
          <w:tcPr>
            <w:tcW w:w="1420" w:type="dxa"/>
          </w:tcPr>
          <w:p>
            <w:pPr>
              <w:pStyle w:val="Normal0"/>
              <w:jc w:val="center"/>
              <w:rPr>
                <w:rFonts w:hint="eastAsia"/>
                <w:sz w:val="24"/>
              </w:rPr>
            </w:pPr>
            <w:r>
              <w:rPr>
                <w:rFonts w:hint="eastAsia"/>
                <w:sz w:val="24"/>
              </w:rPr>
              <w:t>2.07</w:t>
            </w:r>
          </w:p>
        </w:tc>
        <w:tc>
          <w:tcPr>
            <w:tcW w:w="1421" w:type="dxa"/>
          </w:tcPr>
          <w:p>
            <w:pPr>
              <w:pStyle w:val="Normal0"/>
              <w:jc w:val="center"/>
              <w:rPr>
                <w:rFonts w:hint="eastAsia"/>
                <w:sz w:val="24"/>
              </w:rPr>
            </w:pPr>
            <w:r>
              <w:rPr>
                <w:rFonts w:hint="eastAsia"/>
                <w:sz w:val="24"/>
              </w:rPr>
              <w:t>1.74</w:t>
            </w:r>
          </w:p>
        </w:tc>
        <w:tc>
          <w:tcPr>
            <w:tcW w:w="1421" w:type="dxa"/>
            <w:tcBorders>
              <w:right w:val="single" w:sz="4" w:space="0" w:color="auto"/>
            </w:tcBorders>
          </w:tcPr>
          <w:p>
            <w:pPr>
              <w:pStyle w:val="Normal0"/>
              <w:jc w:val="center"/>
              <w:rPr>
                <w:rFonts w:hint="eastAsia"/>
                <w:sz w:val="24"/>
              </w:rPr>
            </w:pPr>
            <w:r>
              <w:rPr>
                <w:rFonts w:hint="eastAsia"/>
                <w:sz w:val="24"/>
              </w:rPr>
              <w:t>1.95</w:t>
            </w:r>
          </w:p>
        </w:tc>
      </w:tr>
    </w:tbl>
    <w:p>
      <w:pPr>
        <w:pStyle w:val="Normal0"/>
        <w:snapToGrid w:val="0"/>
        <w:spacing w:line="480" w:lineRule="auto"/>
        <w:rPr>
          <w:rFonts w:hint="eastAsia"/>
          <w:sz w:val="24"/>
        </w:rPr>
      </w:pPr>
    </w:p>
    <w:p>
      <w:pPr>
        <w:pStyle w:val="Normal0"/>
        <w:snapToGrid w:val="0"/>
        <w:spacing w:line="480" w:lineRule="auto"/>
        <w:rPr>
          <w:rFonts w:hint="eastAsia"/>
          <w:sz w:val="24"/>
        </w:rPr>
        <w:sectPr>
          <w:type w:val="nextPage"/>
          <w:pgSz w:w="11906" w:h="16838"/>
          <w:pgMar w:top="1440" w:right="1800" w:bottom="1440" w:left="1800" w:header="851" w:footer="992" w:gutter="0"/>
          <w:pgNumType w:start="16"/>
          <w:cols w:num="1" w:space="425"/>
          <w:titlePg w:val="0"/>
          <w:docGrid w:type="lines" w:linePitch="312" w:charSpace="0"/>
        </w:sectPr>
      </w:pPr>
    </w:p>
    <w:p>
      <w:pPr>
        <w:pStyle w:val="Normal0"/>
        <w:snapToGrid w:val="0"/>
        <w:spacing w:line="480" w:lineRule="auto"/>
        <w:rPr>
          <w:rFonts w:hint="eastAsia"/>
          <w:sz w:val="24"/>
        </w:rPr>
      </w:pPr>
    </w:p>
    <w:p>
      <w:pPr>
        <w:pStyle w:val="Normal0"/>
        <w:spacing w:line="360" w:lineRule="auto"/>
        <w:jc w:val="center"/>
        <w:outlineLvl w:val="0"/>
        <w:rPr>
          <w:rFonts w:hint="eastAsia"/>
          <w:sz w:val="28"/>
        </w:rPr>
      </w:pPr>
      <w:r>
        <w:rPr>
          <w:rFonts w:hint="eastAsia"/>
          <w:sz w:val="28"/>
        </w:rPr>
        <w:t>表2-5  杭州市气象站1998-2000年各风向污染系数（%）</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风向</w:t>
            </w:r>
          </w:p>
        </w:tc>
        <w:tc>
          <w:tcPr>
            <w:tcW w:w="1420" w:type="dxa"/>
          </w:tcPr>
          <w:p>
            <w:pPr>
              <w:pStyle w:val="Normal0"/>
              <w:jc w:val="center"/>
              <w:rPr>
                <w:rFonts w:hint="eastAsia"/>
                <w:sz w:val="24"/>
              </w:rPr>
            </w:pPr>
            <w:r>
              <w:rPr>
                <w:rFonts w:hint="eastAsia"/>
                <w:sz w:val="24"/>
              </w:rPr>
              <w:t>一月</w:t>
            </w:r>
          </w:p>
        </w:tc>
        <w:tc>
          <w:tcPr>
            <w:tcW w:w="1420" w:type="dxa"/>
          </w:tcPr>
          <w:p>
            <w:pPr>
              <w:pStyle w:val="Normal0"/>
              <w:jc w:val="center"/>
              <w:rPr>
                <w:rFonts w:hint="eastAsia"/>
                <w:sz w:val="24"/>
              </w:rPr>
            </w:pPr>
            <w:r>
              <w:rPr>
                <w:rFonts w:hint="eastAsia"/>
                <w:sz w:val="24"/>
              </w:rPr>
              <w:t>四月</w:t>
            </w:r>
          </w:p>
        </w:tc>
        <w:tc>
          <w:tcPr>
            <w:tcW w:w="1420" w:type="dxa"/>
          </w:tcPr>
          <w:p>
            <w:pPr>
              <w:pStyle w:val="Normal0"/>
              <w:jc w:val="center"/>
              <w:rPr>
                <w:rFonts w:hint="eastAsia"/>
                <w:sz w:val="24"/>
              </w:rPr>
            </w:pPr>
            <w:r>
              <w:rPr>
                <w:rFonts w:hint="eastAsia"/>
                <w:sz w:val="24"/>
              </w:rPr>
              <w:t>七月</w:t>
            </w:r>
          </w:p>
        </w:tc>
        <w:tc>
          <w:tcPr>
            <w:tcW w:w="1421" w:type="dxa"/>
          </w:tcPr>
          <w:p>
            <w:pPr>
              <w:pStyle w:val="Normal0"/>
              <w:jc w:val="center"/>
              <w:rPr>
                <w:rFonts w:hint="eastAsia"/>
                <w:sz w:val="24"/>
              </w:rPr>
            </w:pPr>
            <w:r>
              <w:rPr>
                <w:rFonts w:hint="eastAsia"/>
                <w:sz w:val="24"/>
              </w:rPr>
              <w:t>十月</w:t>
            </w:r>
          </w:p>
        </w:tc>
        <w:tc>
          <w:tcPr>
            <w:tcW w:w="1421" w:type="dxa"/>
            <w:tcBorders>
              <w:right w:val="single" w:sz="4" w:space="0" w:color="auto"/>
            </w:tcBorders>
          </w:tcPr>
          <w:p>
            <w:pPr>
              <w:pStyle w:val="Normal0"/>
              <w:jc w:val="center"/>
              <w:rPr>
                <w:rFonts w:hint="eastAsia"/>
                <w:sz w:val="24"/>
              </w:rPr>
            </w:pPr>
            <w:r>
              <w:rPr>
                <w:rFonts w:hint="eastAsia"/>
                <w:sz w:val="24"/>
              </w:rPr>
              <w:t>全年</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w:t>
            </w:r>
          </w:p>
        </w:tc>
        <w:tc>
          <w:tcPr>
            <w:tcW w:w="1420" w:type="dxa"/>
          </w:tcPr>
          <w:p>
            <w:pPr>
              <w:pStyle w:val="Normal0"/>
              <w:jc w:val="center"/>
              <w:rPr>
                <w:rFonts w:hint="eastAsia"/>
                <w:sz w:val="24"/>
              </w:rPr>
            </w:pPr>
            <w:r>
              <w:rPr>
                <w:rFonts w:hint="eastAsia"/>
                <w:sz w:val="24"/>
              </w:rPr>
              <w:t>10.72</w:t>
            </w:r>
          </w:p>
        </w:tc>
        <w:tc>
          <w:tcPr>
            <w:tcW w:w="1420" w:type="dxa"/>
          </w:tcPr>
          <w:p>
            <w:pPr>
              <w:pStyle w:val="Normal0"/>
              <w:jc w:val="center"/>
              <w:rPr>
                <w:rFonts w:hint="eastAsia"/>
                <w:sz w:val="24"/>
              </w:rPr>
            </w:pPr>
            <w:r>
              <w:rPr>
                <w:rFonts w:hint="eastAsia"/>
                <w:sz w:val="24"/>
              </w:rPr>
              <w:t>6.07</w:t>
            </w:r>
          </w:p>
        </w:tc>
        <w:tc>
          <w:tcPr>
            <w:tcW w:w="1420" w:type="dxa"/>
          </w:tcPr>
          <w:p>
            <w:pPr>
              <w:pStyle w:val="Normal0"/>
              <w:jc w:val="center"/>
              <w:rPr>
                <w:rFonts w:hint="eastAsia"/>
                <w:sz w:val="24"/>
              </w:rPr>
            </w:pPr>
            <w:r>
              <w:rPr>
                <w:rFonts w:hint="eastAsia"/>
                <w:sz w:val="24"/>
              </w:rPr>
              <w:t>4.51</w:t>
            </w:r>
          </w:p>
        </w:tc>
        <w:tc>
          <w:tcPr>
            <w:tcW w:w="1421" w:type="dxa"/>
          </w:tcPr>
          <w:p>
            <w:pPr>
              <w:pStyle w:val="Normal0"/>
              <w:jc w:val="center"/>
              <w:rPr>
                <w:rFonts w:hint="eastAsia"/>
                <w:sz w:val="24"/>
              </w:rPr>
            </w:pPr>
            <w:r>
              <w:rPr>
                <w:rFonts w:hint="eastAsia"/>
                <w:sz w:val="24"/>
              </w:rPr>
              <w:t>10.14</w:t>
            </w:r>
          </w:p>
        </w:tc>
        <w:tc>
          <w:tcPr>
            <w:tcW w:w="1421" w:type="dxa"/>
            <w:tcBorders>
              <w:right w:val="single" w:sz="4" w:space="0" w:color="auto"/>
            </w:tcBorders>
          </w:tcPr>
          <w:p>
            <w:pPr>
              <w:pStyle w:val="Normal0"/>
              <w:jc w:val="center"/>
              <w:rPr>
                <w:rFonts w:hint="eastAsia"/>
                <w:sz w:val="24"/>
              </w:rPr>
            </w:pPr>
            <w:r>
              <w:rPr>
                <w:rFonts w:hint="eastAsia"/>
                <w:sz w:val="24"/>
              </w:rPr>
              <w:t>7.87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NNE</w:t>
            </w:r>
          </w:p>
        </w:tc>
        <w:tc>
          <w:tcPr>
            <w:tcW w:w="1420" w:type="dxa"/>
          </w:tcPr>
          <w:p>
            <w:pPr>
              <w:pStyle w:val="Normal0"/>
              <w:jc w:val="center"/>
              <w:rPr>
                <w:rFonts w:hint="eastAsia"/>
                <w:sz w:val="24"/>
              </w:rPr>
            </w:pPr>
            <w:r>
              <w:rPr>
                <w:rFonts w:hint="eastAsia"/>
                <w:sz w:val="24"/>
              </w:rPr>
              <w:t>4.47</w:t>
            </w:r>
          </w:p>
        </w:tc>
        <w:tc>
          <w:tcPr>
            <w:tcW w:w="1420" w:type="dxa"/>
          </w:tcPr>
          <w:p>
            <w:pPr>
              <w:pStyle w:val="Normal0"/>
              <w:jc w:val="center"/>
              <w:rPr>
                <w:rFonts w:hint="eastAsia"/>
                <w:sz w:val="24"/>
              </w:rPr>
            </w:pPr>
            <w:r>
              <w:rPr>
                <w:rFonts w:hint="eastAsia"/>
                <w:sz w:val="24"/>
              </w:rPr>
              <w:t>6.54</w:t>
            </w:r>
          </w:p>
        </w:tc>
        <w:tc>
          <w:tcPr>
            <w:tcW w:w="1420" w:type="dxa"/>
          </w:tcPr>
          <w:p>
            <w:pPr>
              <w:pStyle w:val="Normal0"/>
              <w:jc w:val="center"/>
              <w:rPr>
                <w:rFonts w:hint="eastAsia"/>
                <w:sz w:val="24"/>
              </w:rPr>
            </w:pPr>
            <w:r>
              <w:rPr>
                <w:rFonts w:hint="eastAsia"/>
                <w:sz w:val="24"/>
              </w:rPr>
              <w:t>2.15</w:t>
            </w:r>
          </w:p>
        </w:tc>
        <w:tc>
          <w:tcPr>
            <w:tcW w:w="1421" w:type="dxa"/>
          </w:tcPr>
          <w:p>
            <w:pPr>
              <w:pStyle w:val="Normal0"/>
              <w:jc w:val="center"/>
              <w:rPr>
                <w:rFonts w:hint="eastAsia"/>
                <w:sz w:val="24"/>
              </w:rPr>
            </w:pPr>
            <w:r>
              <w:rPr>
                <w:rFonts w:hint="eastAsia"/>
                <w:sz w:val="24"/>
              </w:rPr>
              <w:t>4.49</w:t>
            </w:r>
          </w:p>
        </w:tc>
        <w:tc>
          <w:tcPr>
            <w:tcW w:w="1421" w:type="dxa"/>
            <w:tcBorders>
              <w:right w:val="single" w:sz="4" w:space="0" w:color="auto"/>
            </w:tcBorders>
          </w:tcPr>
          <w:p>
            <w:pPr>
              <w:pStyle w:val="Normal0"/>
              <w:jc w:val="center"/>
              <w:rPr>
                <w:rFonts w:hint="eastAsia"/>
                <w:sz w:val="24"/>
              </w:rPr>
            </w:pPr>
            <w:r>
              <w:rPr>
                <w:rFonts w:hint="eastAsia"/>
                <w:sz w:val="24"/>
              </w:rPr>
              <w:t>4.09</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NE</w:t>
            </w:r>
          </w:p>
        </w:tc>
        <w:tc>
          <w:tcPr>
            <w:tcW w:w="1420" w:type="dxa"/>
          </w:tcPr>
          <w:p>
            <w:pPr>
              <w:pStyle w:val="Normal0"/>
              <w:jc w:val="center"/>
              <w:rPr>
                <w:rFonts w:hint="eastAsia"/>
                <w:sz w:val="24"/>
              </w:rPr>
            </w:pPr>
            <w:r>
              <w:rPr>
                <w:rFonts w:hint="eastAsia"/>
                <w:sz w:val="24"/>
              </w:rPr>
              <w:t>4.53</w:t>
            </w:r>
          </w:p>
        </w:tc>
        <w:tc>
          <w:tcPr>
            <w:tcW w:w="1420" w:type="dxa"/>
          </w:tcPr>
          <w:p>
            <w:pPr>
              <w:pStyle w:val="Normal0"/>
              <w:jc w:val="center"/>
              <w:rPr>
                <w:rFonts w:hint="eastAsia"/>
                <w:sz w:val="24"/>
              </w:rPr>
            </w:pPr>
            <w:r>
              <w:rPr>
                <w:rFonts w:hint="eastAsia"/>
                <w:sz w:val="24"/>
              </w:rPr>
              <w:t>5.48</w:t>
            </w:r>
          </w:p>
        </w:tc>
        <w:tc>
          <w:tcPr>
            <w:tcW w:w="1420" w:type="dxa"/>
          </w:tcPr>
          <w:p>
            <w:pPr>
              <w:pStyle w:val="Normal0"/>
              <w:jc w:val="center"/>
              <w:rPr>
                <w:rFonts w:hint="eastAsia"/>
                <w:sz w:val="24"/>
              </w:rPr>
            </w:pPr>
            <w:r>
              <w:rPr>
                <w:rFonts w:hint="eastAsia"/>
                <w:sz w:val="24"/>
              </w:rPr>
              <w:t>4.97</w:t>
            </w:r>
          </w:p>
        </w:tc>
        <w:tc>
          <w:tcPr>
            <w:tcW w:w="1421" w:type="dxa"/>
          </w:tcPr>
          <w:p>
            <w:pPr>
              <w:pStyle w:val="Normal0"/>
              <w:jc w:val="center"/>
              <w:rPr>
                <w:rFonts w:hint="eastAsia"/>
                <w:sz w:val="24"/>
              </w:rPr>
            </w:pPr>
            <w:r>
              <w:rPr>
                <w:rFonts w:hint="eastAsia"/>
                <w:sz w:val="24"/>
              </w:rPr>
              <w:t>7.39</w:t>
            </w:r>
          </w:p>
        </w:tc>
        <w:tc>
          <w:tcPr>
            <w:tcW w:w="1421" w:type="dxa"/>
            <w:tcBorders>
              <w:right w:val="single" w:sz="4" w:space="0" w:color="auto"/>
            </w:tcBorders>
          </w:tcPr>
          <w:p>
            <w:pPr>
              <w:pStyle w:val="Normal0"/>
              <w:jc w:val="center"/>
              <w:rPr>
                <w:rFonts w:hint="eastAsia"/>
                <w:sz w:val="24"/>
              </w:rPr>
            </w:pPr>
            <w:r>
              <w:rPr>
                <w:rFonts w:hint="eastAsia"/>
                <w:sz w:val="24"/>
              </w:rPr>
              <w:t>5.60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ENE</w:t>
            </w:r>
          </w:p>
        </w:tc>
        <w:tc>
          <w:tcPr>
            <w:tcW w:w="1420" w:type="dxa"/>
          </w:tcPr>
          <w:p>
            <w:pPr>
              <w:pStyle w:val="Normal0"/>
              <w:jc w:val="center"/>
              <w:rPr>
                <w:rFonts w:hint="eastAsia"/>
                <w:sz w:val="24"/>
              </w:rPr>
            </w:pPr>
            <w:r>
              <w:rPr>
                <w:rFonts w:hint="eastAsia"/>
                <w:sz w:val="24"/>
              </w:rPr>
              <w:t>6.41</w:t>
            </w:r>
          </w:p>
        </w:tc>
        <w:tc>
          <w:tcPr>
            <w:tcW w:w="1420" w:type="dxa"/>
          </w:tcPr>
          <w:p>
            <w:pPr>
              <w:pStyle w:val="Normal0"/>
              <w:jc w:val="center"/>
              <w:rPr>
                <w:rFonts w:hint="eastAsia"/>
                <w:sz w:val="24"/>
              </w:rPr>
            </w:pPr>
            <w:r>
              <w:rPr>
                <w:rFonts w:hint="eastAsia"/>
                <w:sz w:val="24"/>
              </w:rPr>
              <w:t>7.81</w:t>
            </w:r>
          </w:p>
        </w:tc>
        <w:tc>
          <w:tcPr>
            <w:tcW w:w="1420" w:type="dxa"/>
          </w:tcPr>
          <w:p>
            <w:pPr>
              <w:pStyle w:val="Normal0"/>
              <w:jc w:val="center"/>
              <w:rPr>
                <w:rFonts w:hint="eastAsia"/>
                <w:sz w:val="24"/>
              </w:rPr>
            </w:pPr>
            <w:r>
              <w:rPr>
                <w:rFonts w:hint="eastAsia"/>
                <w:sz w:val="24"/>
              </w:rPr>
              <w:t>8.38</w:t>
            </w:r>
          </w:p>
        </w:tc>
        <w:tc>
          <w:tcPr>
            <w:tcW w:w="1421" w:type="dxa"/>
          </w:tcPr>
          <w:p>
            <w:pPr>
              <w:pStyle w:val="Normal0"/>
              <w:jc w:val="center"/>
              <w:rPr>
                <w:rFonts w:hint="eastAsia"/>
                <w:sz w:val="24"/>
              </w:rPr>
            </w:pPr>
            <w:r>
              <w:rPr>
                <w:rFonts w:hint="eastAsia"/>
                <w:sz w:val="24"/>
              </w:rPr>
              <w:t>4.15</w:t>
            </w:r>
          </w:p>
        </w:tc>
        <w:tc>
          <w:tcPr>
            <w:tcW w:w="1421" w:type="dxa"/>
            <w:tcBorders>
              <w:right w:val="single" w:sz="4" w:space="0" w:color="auto"/>
            </w:tcBorders>
          </w:tcPr>
          <w:p>
            <w:pPr>
              <w:pStyle w:val="Normal0"/>
              <w:jc w:val="center"/>
              <w:rPr>
                <w:rFonts w:hint="eastAsia"/>
                <w:sz w:val="24"/>
              </w:rPr>
            </w:pPr>
            <w:r>
              <w:rPr>
                <w:rFonts w:hint="eastAsia"/>
                <w:sz w:val="24"/>
              </w:rPr>
              <w:t>5.90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w:t>
            </w:r>
          </w:p>
        </w:tc>
        <w:tc>
          <w:tcPr>
            <w:tcW w:w="1420" w:type="dxa"/>
          </w:tcPr>
          <w:p>
            <w:pPr>
              <w:pStyle w:val="Normal0"/>
              <w:jc w:val="center"/>
              <w:rPr>
                <w:rFonts w:hint="eastAsia"/>
                <w:sz w:val="24"/>
              </w:rPr>
            </w:pPr>
            <w:r>
              <w:rPr>
                <w:rFonts w:hint="eastAsia"/>
                <w:sz w:val="24"/>
              </w:rPr>
              <w:t>5.83</w:t>
            </w:r>
          </w:p>
        </w:tc>
        <w:tc>
          <w:tcPr>
            <w:tcW w:w="1420" w:type="dxa"/>
          </w:tcPr>
          <w:p>
            <w:pPr>
              <w:pStyle w:val="Normal0"/>
              <w:jc w:val="center"/>
              <w:rPr>
                <w:rFonts w:hint="eastAsia"/>
                <w:sz w:val="24"/>
              </w:rPr>
            </w:pPr>
            <w:r>
              <w:rPr>
                <w:rFonts w:hint="eastAsia"/>
                <w:sz w:val="24"/>
              </w:rPr>
              <w:t>6.70</w:t>
            </w:r>
          </w:p>
        </w:tc>
        <w:tc>
          <w:tcPr>
            <w:tcW w:w="1420" w:type="dxa"/>
          </w:tcPr>
          <w:p>
            <w:pPr>
              <w:pStyle w:val="Normal0"/>
              <w:jc w:val="center"/>
              <w:rPr>
                <w:rFonts w:hint="eastAsia"/>
                <w:sz w:val="24"/>
              </w:rPr>
            </w:pPr>
            <w:r>
              <w:rPr>
                <w:rFonts w:hint="eastAsia"/>
                <w:sz w:val="24"/>
              </w:rPr>
              <w:t>7.01</w:t>
            </w:r>
          </w:p>
        </w:tc>
        <w:tc>
          <w:tcPr>
            <w:tcW w:w="1421" w:type="dxa"/>
          </w:tcPr>
          <w:p>
            <w:pPr>
              <w:pStyle w:val="Normal0"/>
              <w:jc w:val="center"/>
              <w:rPr>
                <w:rFonts w:hint="eastAsia"/>
                <w:sz w:val="24"/>
              </w:rPr>
            </w:pPr>
            <w:r>
              <w:rPr>
                <w:rFonts w:hint="eastAsia"/>
                <w:sz w:val="24"/>
              </w:rPr>
              <w:t>4.86</w:t>
            </w:r>
          </w:p>
        </w:tc>
        <w:tc>
          <w:tcPr>
            <w:tcW w:w="1421" w:type="dxa"/>
            <w:tcBorders>
              <w:right w:val="single" w:sz="4" w:space="0" w:color="auto"/>
            </w:tcBorders>
          </w:tcPr>
          <w:p>
            <w:pPr>
              <w:pStyle w:val="Normal0"/>
              <w:jc w:val="center"/>
              <w:rPr>
                <w:rFonts w:hint="eastAsia"/>
                <w:sz w:val="24"/>
              </w:rPr>
            </w:pPr>
            <w:r>
              <w:rPr>
                <w:rFonts w:hint="eastAsia"/>
                <w:sz w:val="24"/>
              </w:rPr>
              <w:t>5.78</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ESE</w:t>
            </w:r>
          </w:p>
        </w:tc>
        <w:tc>
          <w:tcPr>
            <w:tcW w:w="1420" w:type="dxa"/>
          </w:tcPr>
          <w:p>
            <w:pPr>
              <w:pStyle w:val="Normal0"/>
              <w:jc w:val="center"/>
              <w:rPr>
                <w:rFonts w:hint="eastAsia"/>
                <w:sz w:val="24"/>
              </w:rPr>
            </w:pPr>
            <w:r>
              <w:rPr>
                <w:rFonts w:hint="eastAsia"/>
                <w:sz w:val="24"/>
              </w:rPr>
              <w:t>4.90</w:t>
            </w:r>
          </w:p>
        </w:tc>
        <w:tc>
          <w:tcPr>
            <w:tcW w:w="1420" w:type="dxa"/>
          </w:tcPr>
          <w:p>
            <w:pPr>
              <w:pStyle w:val="Normal0"/>
              <w:jc w:val="center"/>
              <w:rPr>
                <w:rFonts w:hint="eastAsia"/>
                <w:sz w:val="24"/>
              </w:rPr>
            </w:pPr>
            <w:r>
              <w:rPr>
                <w:rFonts w:hint="eastAsia"/>
                <w:sz w:val="24"/>
              </w:rPr>
              <w:t>7.83</w:t>
            </w:r>
          </w:p>
        </w:tc>
        <w:tc>
          <w:tcPr>
            <w:tcW w:w="1420" w:type="dxa"/>
          </w:tcPr>
          <w:p>
            <w:pPr>
              <w:pStyle w:val="Normal0"/>
              <w:jc w:val="center"/>
              <w:rPr>
                <w:rFonts w:hint="eastAsia"/>
                <w:sz w:val="24"/>
              </w:rPr>
            </w:pPr>
            <w:r>
              <w:rPr>
                <w:rFonts w:hint="eastAsia"/>
                <w:sz w:val="24"/>
              </w:rPr>
              <w:t>6.48</w:t>
            </w:r>
          </w:p>
        </w:tc>
        <w:tc>
          <w:tcPr>
            <w:tcW w:w="1421" w:type="dxa"/>
          </w:tcPr>
          <w:p>
            <w:pPr>
              <w:pStyle w:val="Normal0"/>
              <w:jc w:val="center"/>
              <w:rPr>
                <w:rFonts w:hint="eastAsia"/>
                <w:sz w:val="24"/>
              </w:rPr>
            </w:pPr>
            <w:r>
              <w:rPr>
                <w:rFonts w:hint="eastAsia"/>
                <w:sz w:val="24"/>
              </w:rPr>
              <w:t>7.68</w:t>
            </w:r>
          </w:p>
        </w:tc>
        <w:tc>
          <w:tcPr>
            <w:tcW w:w="1421" w:type="dxa"/>
            <w:tcBorders>
              <w:right w:val="single" w:sz="4" w:space="0" w:color="auto"/>
            </w:tcBorders>
          </w:tcPr>
          <w:p>
            <w:pPr>
              <w:pStyle w:val="Normal0"/>
              <w:jc w:val="center"/>
              <w:rPr>
                <w:rFonts w:hint="eastAsia"/>
                <w:sz w:val="24"/>
              </w:rPr>
            </w:pPr>
            <w:r>
              <w:rPr>
                <w:rFonts w:hint="eastAsia"/>
                <w:sz w:val="24"/>
              </w:rPr>
              <w:t>7.62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SE</w:t>
            </w:r>
          </w:p>
        </w:tc>
        <w:tc>
          <w:tcPr>
            <w:tcW w:w="1420" w:type="dxa"/>
          </w:tcPr>
          <w:p>
            <w:pPr>
              <w:pStyle w:val="Normal0"/>
              <w:jc w:val="center"/>
              <w:rPr>
                <w:rFonts w:hint="eastAsia"/>
                <w:sz w:val="24"/>
              </w:rPr>
            </w:pPr>
            <w:r>
              <w:rPr>
                <w:rFonts w:hint="eastAsia"/>
                <w:sz w:val="24"/>
              </w:rPr>
              <w:t>4.81</w:t>
            </w:r>
          </w:p>
        </w:tc>
        <w:tc>
          <w:tcPr>
            <w:tcW w:w="1420" w:type="dxa"/>
          </w:tcPr>
          <w:p>
            <w:pPr>
              <w:pStyle w:val="Normal0"/>
              <w:jc w:val="center"/>
              <w:rPr>
                <w:rFonts w:hint="eastAsia"/>
                <w:sz w:val="24"/>
              </w:rPr>
            </w:pPr>
            <w:r>
              <w:rPr>
                <w:rFonts w:hint="eastAsia"/>
                <w:sz w:val="24"/>
              </w:rPr>
              <w:t>3.86</w:t>
            </w:r>
          </w:p>
        </w:tc>
        <w:tc>
          <w:tcPr>
            <w:tcW w:w="1420" w:type="dxa"/>
          </w:tcPr>
          <w:p>
            <w:pPr>
              <w:pStyle w:val="Normal0"/>
              <w:jc w:val="center"/>
              <w:rPr>
                <w:rFonts w:hint="eastAsia"/>
                <w:sz w:val="24"/>
              </w:rPr>
            </w:pPr>
            <w:r>
              <w:rPr>
                <w:rFonts w:hint="eastAsia"/>
                <w:sz w:val="24"/>
              </w:rPr>
              <w:t>4.53</w:t>
            </w:r>
          </w:p>
        </w:tc>
        <w:tc>
          <w:tcPr>
            <w:tcW w:w="1421" w:type="dxa"/>
          </w:tcPr>
          <w:p>
            <w:pPr>
              <w:pStyle w:val="Normal0"/>
              <w:jc w:val="center"/>
              <w:rPr>
                <w:rFonts w:hint="eastAsia"/>
                <w:sz w:val="24"/>
              </w:rPr>
            </w:pPr>
            <w:r>
              <w:rPr>
                <w:rFonts w:hint="eastAsia"/>
                <w:sz w:val="24"/>
              </w:rPr>
              <w:t>4.54</w:t>
            </w:r>
          </w:p>
        </w:tc>
        <w:tc>
          <w:tcPr>
            <w:tcW w:w="1421" w:type="dxa"/>
            <w:tcBorders>
              <w:right w:val="single" w:sz="4" w:space="0" w:color="auto"/>
            </w:tcBorders>
          </w:tcPr>
          <w:p>
            <w:pPr>
              <w:pStyle w:val="Normal0"/>
              <w:jc w:val="center"/>
              <w:rPr>
                <w:rFonts w:hint="eastAsia"/>
                <w:sz w:val="24"/>
              </w:rPr>
            </w:pPr>
            <w:r>
              <w:rPr>
                <w:rFonts w:hint="eastAsia"/>
                <w:sz w:val="24"/>
              </w:rPr>
              <w:t>3.86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SSE</w:t>
            </w:r>
          </w:p>
        </w:tc>
        <w:tc>
          <w:tcPr>
            <w:tcW w:w="1420" w:type="dxa"/>
          </w:tcPr>
          <w:p>
            <w:pPr>
              <w:pStyle w:val="Normal0"/>
              <w:jc w:val="center"/>
              <w:rPr>
                <w:rFonts w:hint="eastAsia"/>
                <w:sz w:val="24"/>
              </w:rPr>
            </w:pPr>
            <w:r>
              <w:rPr>
                <w:rFonts w:hint="eastAsia"/>
                <w:sz w:val="24"/>
              </w:rPr>
              <w:t>6.23</w:t>
            </w:r>
          </w:p>
        </w:tc>
        <w:tc>
          <w:tcPr>
            <w:tcW w:w="1420" w:type="dxa"/>
          </w:tcPr>
          <w:p>
            <w:pPr>
              <w:pStyle w:val="Normal0"/>
              <w:jc w:val="center"/>
              <w:rPr>
                <w:rFonts w:hint="eastAsia"/>
                <w:sz w:val="24"/>
              </w:rPr>
            </w:pPr>
            <w:r>
              <w:rPr>
                <w:rFonts w:hint="eastAsia"/>
                <w:sz w:val="24"/>
              </w:rPr>
              <w:t>7.47</w:t>
            </w:r>
          </w:p>
        </w:tc>
        <w:tc>
          <w:tcPr>
            <w:tcW w:w="1420" w:type="dxa"/>
          </w:tcPr>
          <w:p>
            <w:pPr>
              <w:pStyle w:val="Normal0"/>
              <w:jc w:val="center"/>
              <w:rPr>
                <w:rFonts w:hint="eastAsia"/>
                <w:sz w:val="24"/>
              </w:rPr>
            </w:pPr>
            <w:r>
              <w:rPr>
                <w:rFonts w:hint="eastAsia"/>
                <w:sz w:val="24"/>
              </w:rPr>
              <w:t>8.53</w:t>
            </w:r>
          </w:p>
        </w:tc>
        <w:tc>
          <w:tcPr>
            <w:tcW w:w="1421" w:type="dxa"/>
          </w:tcPr>
          <w:p>
            <w:pPr>
              <w:pStyle w:val="Normal0"/>
              <w:jc w:val="center"/>
              <w:rPr>
                <w:rFonts w:hint="eastAsia"/>
                <w:sz w:val="24"/>
              </w:rPr>
            </w:pPr>
            <w:r>
              <w:rPr>
                <w:rFonts w:hint="eastAsia"/>
                <w:sz w:val="24"/>
              </w:rPr>
              <w:t>8.14</w:t>
            </w:r>
          </w:p>
        </w:tc>
        <w:tc>
          <w:tcPr>
            <w:tcW w:w="1421" w:type="dxa"/>
            <w:tcBorders>
              <w:right w:val="single" w:sz="4" w:space="0" w:color="auto"/>
            </w:tcBorders>
          </w:tcPr>
          <w:p>
            <w:pPr>
              <w:pStyle w:val="Normal0"/>
              <w:jc w:val="center"/>
              <w:rPr>
                <w:rFonts w:hint="eastAsia"/>
                <w:sz w:val="24"/>
              </w:rPr>
            </w:pPr>
            <w:r>
              <w:rPr>
                <w:rFonts w:hint="eastAsia"/>
                <w:sz w:val="24"/>
              </w:rPr>
              <w:t>5.76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w:t>
            </w:r>
          </w:p>
        </w:tc>
        <w:tc>
          <w:tcPr>
            <w:tcW w:w="1420" w:type="dxa"/>
          </w:tcPr>
          <w:p>
            <w:pPr>
              <w:pStyle w:val="Normal0"/>
              <w:jc w:val="center"/>
              <w:rPr>
                <w:rFonts w:hint="eastAsia"/>
                <w:sz w:val="24"/>
              </w:rPr>
            </w:pPr>
            <w:r>
              <w:rPr>
                <w:rFonts w:hint="eastAsia"/>
                <w:sz w:val="24"/>
              </w:rPr>
              <w:t>5.09</w:t>
            </w:r>
          </w:p>
        </w:tc>
        <w:tc>
          <w:tcPr>
            <w:tcW w:w="1420" w:type="dxa"/>
          </w:tcPr>
          <w:p>
            <w:pPr>
              <w:pStyle w:val="Normal0"/>
              <w:jc w:val="center"/>
              <w:rPr>
                <w:rFonts w:hint="eastAsia"/>
                <w:sz w:val="24"/>
              </w:rPr>
            </w:pPr>
            <w:r>
              <w:rPr>
                <w:rFonts w:hint="eastAsia"/>
                <w:sz w:val="24"/>
              </w:rPr>
              <w:t>11.46</w:t>
            </w:r>
          </w:p>
        </w:tc>
        <w:tc>
          <w:tcPr>
            <w:tcW w:w="1420" w:type="dxa"/>
          </w:tcPr>
          <w:p>
            <w:pPr>
              <w:pStyle w:val="Normal0"/>
              <w:jc w:val="center"/>
              <w:rPr>
                <w:rFonts w:hint="eastAsia"/>
                <w:sz w:val="24"/>
              </w:rPr>
            </w:pPr>
            <w:r>
              <w:rPr>
                <w:rFonts w:hint="eastAsia"/>
                <w:sz w:val="24"/>
              </w:rPr>
              <w:t>10.23</w:t>
            </w:r>
          </w:p>
        </w:tc>
        <w:tc>
          <w:tcPr>
            <w:tcW w:w="1421" w:type="dxa"/>
          </w:tcPr>
          <w:p>
            <w:pPr>
              <w:pStyle w:val="Normal0"/>
              <w:jc w:val="center"/>
              <w:rPr>
                <w:rFonts w:hint="eastAsia"/>
                <w:sz w:val="24"/>
              </w:rPr>
            </w:pPr>
            <w:r>
              <w:rPr>
                <w:rFonts w:hint="eastAsia"/>
                <w:sz w:val="24"/>
              </w:rPr>
              <w:t>5.86</w:t>
            </w:r>
          </w:p>
        </w:tc>
        <w:tc>
          <w:tcPr>
            <w:tcW w:w="1421" w:type="dxa"/>
            <w:tcBorders>
              <w:right w:val="single" w:sz="4" w:space="0" w:color="auto"/>
            </w:tcBorders>
          </w:tcPr>
          <w:p>
            <w:pPr>
              <w:pStyle w:val="Normal0"/>
              <w:jc w:val="center"/>
              <w:rPr>
                <w:rFonts w:hint="eastAsia"/>
                <w:sz w:val="24"/>
              </w:rPr>
            </w:pPr>
            <w:r>
              <w:rPr>
                <w:rFonts w:hint="eastAsia"/>
                <w:sz w:val="24"/>
              </w:rPr>
              <w:t>8.92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SSW</w:t>
            </w:r>
          </w:p>
        </w:tc>
        <w:tc>
          <w:tcPr>
            <w:tcW w:w="1420" w:type="dxa"/>
          </w:tcPr>
          <w:p>
            <w:pPr>
              <w:pStyle w:val="Normal0"/>
              <w:jc w:val="center"/>
              <w:rPr>
                <w:rFonts w:hint="eastAsia"/>
                <w:sz w:val="24"/>
              </w:rPr>
            </w:pPr>
            <w:r>
              <w:rPr>
                <w:rFonts w:hint="eastAsia"/>
                <w:sz w:val="24"/>
              </w:rPr>
              <w:t>8.75</w:t>
            </w:r>
          </w:p>
        </w:tc>
        <w:tc>
          <w:tcPr>
            <w:tcW w:w="1420" w:type="dxa"/>
          </w:tcPr>
          <w:p>
            <w:pPr>
              <w:pStyle w:val="Normal0"/>
              <w:jc w:val="center"/>
              <w:rPr>
                <w:rFonts w:hint="eastAsia"/>
                <w:sz w:val="24"/>
              </w:rPr>
            </w:pPr>
            <w:r>
              <w:rPr>
                <w:rFonts w:hint="eastAsia"/>
                <w:sz w:val="24"/>
              </w:rPr>
              <w:t>12.73</w:t>
            </w:r>
          </w:p>
        </w:tc>
        <w:tc>
          <w:tcPr>
            <w:tcW w:w="1420" w:type="dxa"/>
          </w:tcPr>
          <w:p>
            <w:pPr>
              <w:pStyle w:val="Normal0"/>
              <w:jc w:val="center"/>
              <w:rPr>
                <w:rFonts w:hint="eastAsia"/>
                <w:sz w:val="24"/>
              </w:rPr>
            </w:pPr>
            <w:r>
              <w:rPr>
                <w:rFonts w:hint="eastAsia"/>
                <w:sz w:val="24"/>
              </w:rPr>
              <w:t>20.82</w:t>
            </w:r>
          </w:p>
        </w:tc>
        <w:tc>
          <w:tcPr>
            <w:tcW w:w="1421" w:type="dxa"/>
          </w:tcPr>
          <w:p>
            <w:pPr>
              <w:pStyle w:val="Normal0"/>
              <w:jc w:val="center"/>
              <w:rPr>
                <w:rFonts w:hint="eastAsia"/>
                <w:sz w:val="24"/>
              </w:rPr>
            </w:pPr>
            <w:r>
              <w:rPr>
                <w:rFonts w:hint="eastAsia"/>
                <w:sz w:val="24"/>
              </w:rPr>
              <w:t>4.22</w:t>
            </w:r>
          </w:p>
        </w:tc>
        <w:tc>
          <w:tcPr>
            <w:tcW w:w="1421" w:type="dxa"/>
            <w:tcBorders>
              <w:right w:val="single" w:sz="4" w:space="0" w:color="auto"/>
            </w:tcBorders>
          </w:tcPr>
          <w:p>
            <w:pPr>
              <w:pStyle w:val="Normal0"/>
              <w:jc w:val="center"/>
              <w:rPr>
                <w:rFonts w:hint="eastAsia"/>
                <w:sz w:val="24"/>
              </w:rPr>
            </w:pPr>
            <w:r>
              <w:rPr>
                <w:rFonts w:hint="eastAsia"/>
                <w:sz w:val="24"/>
              </w:rPr>
              <w:t>12.43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SW</w:t>
            </w:r>
          </w:p>
        </w:tc>
        <w:tc>
          <w:tcPr>
            <w:tcW w:w="1420" w:type="dxa"/>
          </w:tcPr>
          <w:p>
            <w:pPr>
              <w:pStyle w:val="Normal0"/>
              <w:jc w:val="center"/>
              <w:rPr>
                <w:rFonts w:hint="eastAsia"/>
                <w:sz w:val="24"/>
              </w:rPr>
            </w:pPr>
            <w:r>
              <w:rPr>
                <w:rFonts w:hint="eastAsia"/>
                <w:sz w:val="24"/>
              </w:rPr>
              <w:t>5.77</w:t>
            </w:r>
          </w:p>
        </w:tc>
        <w:tc>
          <w:tcPr>
            <w:tcW w:w="1420" w:type="dxa"/>
          </w:tcPr>
          <w:p>
            <w:pPr>
              <w:pStyle w:val="Normal0"/>
              <w:jc w:val="center"/>
              <w:rPr>
                <w:rFonts w:hint="eastAsia"/>
                <w:sz w:val="24"/>
              </w:rPr>
            </w:pPr>
            <w:r>
              <w:rPr>
                <w:rFonts w:hint="eastAsia"/>
                <w:sz w:val="24"/>
              </w:rPr>
              <w:t>3.69</w:t>
            </w:r>
          </w:p>
        </w:tc>
        <w:tc>
          <w:tcPr>
            <w:tcW w:w="1420" w:type="dxa"/>
          </w:tcPr>
          <w:p>
            <w:pPr>
              <w:pStyle w:val="Normal0"/>
              <w:jc w:val="center"/>
              <w:rPr>
                <w:rFonts w:hint="eastAsia"/>
                <w:sz w:val="24"/>
              </w:rPr>
            </w:pPr>
            <w:r>
              <w:rPr>
                <w:rFonts w:hint="eastAsia"/>
                <w:sz w:val="24"/>
              </w:rPr>
              <w:t>9.00</w:t>
            </w:r>
          </w:p>
        </w:tc>
        <w:tc>
          <w:tcPr>
            <w:tcW w:w="1421" w:type="dxa"/>
          </w:tcPr>
          <w:p>
            <w:pPr>
              <w:pStyle w:val="Normal0"/>
              <w:jc w:val="center"/>
              <w:rPr>
                <w:rFonts w:hint="eastAsia"/>
                <w:sz w:val="24"/>
              </w:rPr>
            </w:pPr>
            <w:r>
              <w:rPr>
                <w:rFonts w:hint="eastAsia"/>
                <w:sz w:val="24"/>
              </w:rPr>
              <w:t>4.58</w:t>
            </w:r>
          </w:p>
        </w:tc>
        <w:tc>
          <w:tcPr>
            <w:tcW w:w="1421" w:type="dxa"/>
            <w:tcBorders>
              <w:right w:val="single" w:sz="4" w:space="0" w:color="auto"/>
            </w:tcBorders>
          </w:tcPr>
          <w:p>
            <w:pPr>
              <w:pStyle w:val="Normal0"/>
              <w:jc w:val="center"/>
              <w:rPr>
                <w:rFonts w:hint="eastAsia"/>
                <w:sz w:val="24"/>
              </w:rPr>
            </w:pPr>
            <w:r>
              <w:rPr>
                <w:rFonts w:hint="eastAsia"/>
                <w:sz w:val="24"/>
              </w:rPr>
              <w:t>5.06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WSW</w:t>
            </w:r>
          </w:p>
        </w:tc>
        <w:tc>
          <w:tcPr>
            <w:tcW w:w="1420" w:type="dxa"/>
          </w:tcPr>
          <w:p>
            <w:pPr>
              <w:pStyle w:val="Normal0"/>
              <w:jc w:val="center"/>
              <w:rPr>
                <w:rFonts w:hint="eastAsia"/>
                <w:sz w:val="24"/>
              </w:rPr>
            </w:pPr>
            <w:r>
              <w:rPr>
                <w:rFonts w:hint="eastAsia"/>
                <w:sz w:val="24"/>
              </w:rPr>
              <w:t>1.85</w:t>
            </w:r>
          </w:p>
        </w:tc>
        <w:tc>
          <w:tcPr>
            <w:tcW w:w="1420" w:type="dxa"/>
          </w:tcPr>
          <w:p>
            <w:pPr>
              <w:pStyle w:val="Normal0"/>
              <w:jc w:val="center"/>
              <w:rPr>
                <w:rFonts w:hint="eastAsia"/>
                <w:sz w:val="24"/>
              </w:rPr>
            </w:pPr>
            <w:r>
              <w:rPr>
                <w:rFonts w:hint="eastAsia"/>
                <w:sz w:val="24"/>
              </w:rPr>
              <w:t>2.62</w:t>
            </w:r>
          </w:p>
        </w:tc>
        <w:tc>
          <w:tcPr>
            <w:tcW w:w="1420" w:type="dxa"/>
          </w:tcPr>
          <w:p>
            <w:pPr>
              <w:pStyle w:val="Normal0"/>
              <w:jc w:val="center"/>
              <w:rPr>
                <w:rFonts w:hint="eastAsia"/>
                <w:sz w:val="24"/>
              </w:rPr>
            </w:pPr>
            <w:r>
              <w:rPr>
                <w:rFonts w:hint="eastAsia"/>
                <w:sz w:val="24"/>
              </w:rPr>
              <w:t>2.63</w:t>
            </w:r>
          </w:p>
        </w:tc>
        <w:tc>
          <w:tcPr>
            <w:tcW w:w="1421" w:type="dxa"/>
          </w:tcPr>
          <w:p>
            <w:pPr>
              <w:pStyle w:val="Normal0"/>
              <w:jc w:val="center"/>
              <w:rPr>
                <w:rFonts w:hint="eastAsia"/>
                <w:sz w:val="24"/>
              </w:rPr>
            </w:pPr>
            <w:r>
              <w:rPr>
                <w:rFonts w:hint="eastAsia"/>
                <w:sz w:val="24"/>
              </w:rPr>
              <w:t>0.65</w:t>
            </w:r>
          </w:p>
        </w:tc>
        <w:tc>
          <w:tcPr>
            <w:tcW w:w="1421" w:type="dxa"/>
            <w:tcBorders>
              <w:right w:val="single" w:sz="4" w:space="0" w:color="auto"/>
            </w:tcBorders>
          </w:tcPr>
          <w:p>
            <w:pPr>
              <w:pStyle w:val="Normal0"/>
              <w:jc w:val="center"/>
              <w:rPr>
                <w:rFonts w:hint="eastAsia"/>
                <w:sz w:val="24"/>
              </w:rPr>
            </w:pPr>
            <w:r>
              <w:rPr>
                <w:rFonts w:hint="eastAsia"/>
                <w:sz w:val="24"/>
              </w:rPr>
              <w:t>1.94</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w:t>
            </w:r>
          </w:p>
        </w:tc>
        <w:tc>
          <w:tcPr>
            <w:tcW w:w="1420" w:type="dxa"/>
          </w:tcPr>
          <w:p>
            <w:pPr>
              <w:pStyle w:val="Normal0"/>
              <w:jc w:val="center"/>
              <w:rPr>
                <w:rFonts w:hint="eastAsia"/>
                <w:sz w:val="24"/>
              </w:rPr>
            </w:pPr>
            <w:r>
              <w:rPr>
                <w:rFonts w:hint="eastAsia"/>
                <w:sz w:val="24"/>
              </w:rPr>
              <w:t>1.61</w:t>
            </w:r>
          </w:p>
        </w:tc>
        <w:tc>
          <w:tcPr>
            <w:tcW w:w="1420" w:type="dxa"/>
          </w:tcPr>
          <w:p>
            <w:pPr>
              <w:pStyle w:val="Normal0"/>
              <w:jc w:val="center"/>
              <w:rPr>
                <w:rFonts w:hint="eastAsia"/>
                <w:sz w:val="24"/>
              </w:rPr>
            </w:pPr>
            <w:r>
              <w:rPr>
                <w:rFonts w:hint="eastAsia"/>
                <w:sz w:val="24"/>
              </w:rPr>
              <w:t>2.85</w:t>
            </w:r>
          </w:p>
        </w:tc>
        <w:tc>
          <w:tcPr>
            <w:tcW w:w="1420" w:type="dxa"/>
          </w:tcPr>
          <w:p>
            <w:pPr>
              <w:pStyle w:val="Normal0"/>
              <w:jc w:val="center"/>
              <w:rPr>
                <w:rFonts w:hint="eastAsia"/>
                <w:sz w:val="24"/>
              </w:rPr>
            </w:pPr>
            <w:r>
              <w:rPr>
                <w:rFonts w:hint="eastAsia"/>
                <w:sz w:val="24"/>
              </w:rPr>
              <w:t>1.72</w:t>
            </w:r>
          </w:p>
        </w:tc>
        <w:tc>
          <w:tcPr>
            <w:tcW w:w="1421" w:type="dxa"/>
          </w:tcPr>
          <w:p>
            <w:pPr>
              <w:pStyle w:val="Normal0"/>
              <w:jc w:val="center"/>
              <w:rPr>
                <w:rFonts w:hint="eastAsia"/>
                <w:sz w:val="24"/>
              </w:rPr>
            </w:pPr>
            <w:r>
              <w:rPr>
                <w:rFonts w:hint="eastAsia"/>
                <w:sz w:val="24"/>
              </w:rPr>
              <w:t>1.51</w:t>
            </w:r>
          </w:p>
        </w:tc>
        <w:tc>
          <w:tcPr>
            <w:tcW w:w="1421" w:type="dxa"/>
            <w:tcBorders>
              <w:right w:val="single" w:sz="4" w:space="0" w:color="auto"/>
            </w:tcBorders>
          </w:tcPr>
          <w:p>
            <w:pPr>
              <w:pStyle w:val="Normal0"/>
              <w:jc w:val="center"/>
              <w:rPr>
                <w:rFonts w:hint="eastAsia"/>
                <w:sz w:val="24"/>
              </w:rPr>
            </w:pPr>
            <w:r>
              <w:rPr>
                <w:rFonts w:hint="eastAsia"/>
                <w:sz w:val="24"/>
              </w:rPr>
              <w:t>2.03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WNW</w:t>
            </w:r>
          </w:p>
        </w:tc>
        <w:tc>
          <w:tcPr>
            <w:tcW w:w="1420" w:type="dxa"/>
          </w:tcPr>
          <w:p>
            <w:pPr>
              <w:pStyle w:val="Normal0"/>
              <w:jc w:val="center"/>
              <w:rPr>
                <w:rFonts w:hint="eastAsia"/>
                <w:sz w:val="24"/>
              </w:rPr>
            </w:pPr>
            <w:r>
              <w:rPr>
                <w:rFonts w:hint="eastAsia"/>
                <w:sz w:val="24"/>
              </w:rPr>
              <w:t>3.79</w:t>
            </w:r>
          </w:p>
        </w:tc>
        <w:tc>
          <w:tcPr>
            <w:tcW w:w="1420" w:type="dxa"/>
          </w:tcPr>
          <w:p>
            <w:pPr>
              <w:pStyle w:val="Normal0"/>
              <w:jc w:val="center"/>
              <w:rPr>
                <w:rFonts w:hint="eastAsia"/>
                <w:sz w:val="24"/>
              </w:rPr>
            </w:pPr>
            <w:r>
              <w:rPr>
                <w:rFonts w:hint="eastAsia"/>
                <w:sz w:val="24"/>
              </w:rPr>
              <w:t>1.90</w:t>
            </w:r>
          </w:p>
        </w:tc>
        <w:tc>
          <w:tcPr>
            <w:tcW w:w="1420" w:type="dxa"/>
          </w:tcPr>
          <w:p>
            <w:pPr>
              <w:pStyle w:val="Normal0"/>
              <w:jc w:val="center"/>
              <w:rPr>
                <w:rFonts w:hint="eastAsia"/>
                <w:sz w:val="24"/>
              </w:rPr>
            </w:pPr>
            <w:r>
              <w:rPr>
                <w:rFonts w:hint="eastAsia"/>
                <w:sz w:val="24"/>
              </w:rPr>
              <w:t>1.90</w:t>
            </w:r>
          </w:p>
        </w:tc>
        <w:tc>
          <w:tcPr>
            <w:tcW w:w="1421" w:type="dxa"/>
          </w:tcPr>
          <w:p>
            <w:pPr>
              <w:pStyle w:val="Normal0"/>
              <w:jc w:val="center"/>
              <w:rPr>
                <w:rFonts w:hint="eastAsia"/>
                <w:sz w:val="24"/>
              </w:rPr>
            </w:pPr>
            <w:r>
              <w:rPr>
                <w:rFonts w:hint="eastAsia"/>
                <w:sz w:val="24"/>
              </w:rPr>
              <w:t>6.52</w:t>
            </w:r>
          </w:p>
        </w:tc>
        <w:tc>
          <w:tcPr>
            <w:tcW w:w="1421" w:type="dxa"/>
            <w:tcBorders>
              <w:right w:val="single" w:sz="4" w:space="0" w:color="auto"/>
            </w:tcBorders>
          </w:tcPr>
          <w:p>
            <w:pPr>
              <w:pStyle w:val="Normal0"/>
              <w:jc w:val="center"/>
              <w:rPr>
                <w:rFonts w:hint="eastAsia"/>
                <w:sz w:val="24"/>
              </w:rPr>
            </w:pPr>
            <w:r>
              <w:rPr>
                <w:rFonts w:hint="eastAsia"/>
                <w:sz w:val="24"/>
              </w:rPr>
              <w:t>4.24</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NW</w:t>
            </w:r>
          </w:p>
        </w:tc>
        <w:tc>
          <w:tcPr>
            <w:tcW w:w="1420" w:type="dxa"/>
          </w:tcPr>
          <w:p>
            <w:pPr>
              <w:pStyle w:val="Normal0"/>
              <w:jc w:val="center"/>
              <w:rPr>
                <w:rFonts w:hint="eastAsia"/>
                <w:sz w:val="24"/>
              </w:rPr>
            </w:pPr>
            <w:r>
              <w:rPr>
                <w:rFonts w:hint="eastAsia"/>
                <w:sz w:val="24"/>
              </w:rPr>
              <w:t>12.66</w:t>
            </w:r>
          </w:p>
        </w:tc>
        <w:tc>
          <w:tcPr>
            <w:tcW w:w="1420" w:type="dxa"/>
          </w:tcPr>
          <w:p>
            <w:pPr>
              <w:pStyle w:val="Normal0"/>
              <w:jc w:val="center"/>
              <w:rPr>
                <w:rFonts w:hint="eastAsia"/>
                <w:sz w:val="24"/>
              </w:rPr>
            </w:pPr>
            <w:r>
              <w:rPr>
                <w:rFonts w:hint="eastAsia"/>
                <w:sz w:val="24"/>
              </w:rPr>
              <w:t>5.77</w:t>
            </w:r>
          </w:p>
        </w:tc>
        <w:tc>
          <w:tcPr>
            <w:tcW w:w="1420" w:type="dxa"/>
          </w:tcPr>
          <w:p>
            <w:pPr>
              <w:pStyle w:val="Normal0"/>
              <w:jc w:val="center"/>
              <w:rPr>
                <w:rFonts w:hint="eastAsia"/>
                <w:sz w:val="24"/>
              </w:rPr>
            </w:pPr>
            <w:r>
              <w:rPr>
                <w:rFonts w:hint="eastAsia"/>
                <w:sz w:val="24"/>
              </w:rPr>
              <w:t>3.58</w:t>
            </w:r>
          </w:p>
        </w:tc>
        <w:tc>
          <w:tcPr>
            <w:tcW w:w="1421" w:type="dxa"/>
          </w:tcPr>
          <w:p>
            <w:pPr>
              <w:pStyle w:val="Normal0"/>
              <w:jc w:val="center"/>
              <w:rPr>
                <w:rFonts w:hint="eastAsia"/>
                <w:sz w:val="24"/>
              </w:rPr>
            </w:pPr>
            <w:r>
              <w:rPr>
                <w:rFonts w:hint="eastAsia"/>
                <w:sz w:val="24"/>
              </w:rPr>
              <w:t>13.97</w:t>
            </w:r>
          </w:p>
        </w:tc>
        <w:tc>
          <w:tcPr>
            <w:tcW w:w="1421" w:type="dxa"/>
            <w:tcBorders>
              <w:right w:val="single" w:sz="4" w:space="0" w:color="auto"/>
            </w:tcBorders>
          </w:tcPr>
          <w:p>
            <w:pPr>
              <w:pStyle w:val="Normal0"/>
              <w:jc w:val="center"/>
              <w:rPr>
                <w:rFonts w:hint="eastAsia"/>
                <w:sz w:val="24"/>
              </w:rPr>
            </w:pPr>
            <w:r>
              <w:rPr>
                <w:rFonts w:hint="eastAsia"/>
                <w:sz w:val="24"/>
              </w:rPr>
              <w:t>9.83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tcPr>
          <w:p>
            <w:pPr>
              <w:pStyle w:val="Normal0"/>
              <w:jc w:val="center"/>
              <w:rPr>
                <w:rFonts w:hint="eastAsia"/>
                <w:sz w:val="24"/>
              </w:rPr>
            </w:pPr>
            <w:r>
              <w:rPr>
                <w:rFonts w:hint="eastAsia"/>
                <w:sz w:val="24"/>
              </w:rPr>
              <w:t>NNW</w:t>
            </w:r>
          </w:p>
        </w:tc>
        <w:tc>
          <w:tcPr>
            <w:tcW w:w="1420" w:type="dxa"/>
          </w:tcPr>
          <w:p>
            <w:pPr>
              <w:pStyle w:val="Normal0"/>
              <w:jc w:val="center"/>
              <w:rPr>
                <w:rFonts w:hint="eastAsia"/>
                <w:sz w:val="24"/>
              </w:rPr>
            </w:pPr>
            <w:r>
              <w:rPr>
                <w:rFonts w:hint="eastAsia"/>
                <w:sz w:val="24"/>
              </w:rPr>
              <w:t>12.57</w:t>
            </w:r>
          </w:p>
        </w:tc>
        <w:tc>
          <w:tcPr>
            <w:tcW w:w="1420" w:type="dxa"/>
          </w:tcPr>
          <w:p>
            <w:pPr>
              <w:pStyle w:val="Normal0"/>
              <w:jc w:val="center"/>
              <w:rPr>
                <w:rFonts w:hint="eastAsia"/>
                <w:sz w:val="24"/>
              </w:rPr>
            </w:pPr>
            <w:r>
              <w:rPr>
                <w:rFonts w:hint="eastAsia"/>
                <w:sz w:val="24"/>
              </w:rPr>
              <w:t>7.22</w:t>
            </w:r>
          </w:p>
        </w:tc>
        <w:tc>
          <w:tcPr>
            <w:tcW w:w="1420" w:type="dxa"/>
          </w:tcPr>
          <w:p>
            <w:pPr>
              <w:pStyle w:val="Normal0"/>
              <w:jc w:val="center"/>
              <w:rPr>
                <w:rFonts w:hint="eastAsia"/>
                <w:sz w:val="24"/>
              </w:rPr>
            </w:pPr>
            <w:r>
              <w:rPr>
                <w:rFonts w:hint="eastAsia"/>
                <w:sz w:val="24"/>
              </w:rPr>
              <w:t>3.56</w:t>
            </w:r>
          </w:p>
        </w:tc>
        <w:tc>
          <w:tcPr>
            <w:tcW w:w="1421" w:type="dxa"/>
          </w:tcPr>
          <w:p>
            <w:pPr>
              <w:pStyle w:val="Normal0"/>
              <w:jc w:val="center"/>
              <w:rPr>
                <w:rFonts w:hint="eastAsia"/>
                <w:sz w:val="24"/>
              </w:rPr>
            </w:pPr>
            <w:r>
              <w:rPr>
                <w:rFonts w:hint="eastAsia"/>
                <w:sz w:val="24"/>
              </w:rPr>
              <w:t>11.48</w:t>
            </w:r>
          </w:p>
        </w:tc>
        <w:tc>
          <w:tcPr>
            <w:tcW w:w="1421" w:type="dxa"/>
            <w:tcBorders>
              <w:right w:val="single" w:sz="4" w:space="0" w:color="auto"/>
            </w:tcBorders>
          </w:tcPr>
          <w:p>
            <w:pPr>
              <w:pStyle w:val="Normal0"/>
              <w:jc w:val="center"/>
              <w:rPr>
                <w:rFonts w:hint="eastAsia"/>
                <w:sz w:val="24"/>
              </w:rPr>
            </w:pPr>
            <w:r>
              <w:rPr>
                <w:rFonts w:hint="eastAsia"/>
                <w:sz w:val="24"/>
              </w:rPr>
              <w:t>9.08</w:t>
            </w:r>
          </w:p>
        </w:tc>
      </w:tr>
    </w:tbl>
    <w:p>
      <w:pPr>
        <w:pStyle w:val="Normal0"/>
        <w:spacing w:line="360" w:lineRule="auto"/>
        <w:rPr>
          <w:rFonts w:hint="eastAsia"/>
          <w:sz w:val="24"/>
        </w:rPr>
      </w:pPr>
    </w:p>
    <w:p>
      <w:pPr>
        <w:pStyle w:val="Normal0"/>
        <w:spacing w:line="360" w:lineRule="auto"/>
        <w:rPr>
          <w:rFonts w:hint="eastAsia"/>
          <w:sz w:val="24"/>
        </w:rPr>
      </w:pPr>
    </w:p>
    <w:p>
      <w:pPr>
        <w:pStyle w:val="Normal0"/>
        <w:spacing w:line="360" w:lineRule="auto"/>
        <w:jc w:val="center"/>
        <w:rPr>
          <w:rFonts w:hint="eastAsia"/>
          <w:sz w:val="28"/>
        </w:rPr>
      </w:pPr>
      <w:r>
        <w:rPr>
          <w:rFonts w:hint="eastAsia"/>
          <w:sz w:val="28"/>
        </w:rPr>
        <w:t>2-6 杭州市气象站1998-2000年各风向污染系数（%）</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420" w:type="dxa"/>
            <w:tcBorders>
              <w:left w:val="single" w:sz="4" w:space="0" w:color="auto"/>
              <w:tl2br w:val="single" w:sz="4" w:space="0" w:color="auto"/>
            </w:tcBorders>
            <w:vAlign w:val="center"/>
          </w:tcPr>
          <w:p>
            <w:pPr>
              <w:pStyle w:val="Normal0"/>
              <w:jc w:val="right"/>
              <w:rPr>
                <w:rFonts w:hint="eastAsia"/>
                <w:sz w:val="24"/>
              </w:rPr>
            </w:pPr>
            <w:r>
              <w:rPr>
                <w:rFonts w:hint="eastAsia"/>
                <w:sz w:val="24"/>
              </w:rPr>
              <w:t>月份</w:t>
            </w:r>
          </w:p>
          <w:p>
            <w:pPr>
              <w:pStyle w:val="Normal0"/>
              <w:rPr>
                <w:rFonts w:hint="eastAsia"/>
                <w:sz w:val="24"/>
              </w:rPr>
            </w:pPr>
            <w:r>
              <w:rPr>
                <w:rFonts w:hint="eastAsia"/>
                <w:sz w:val="24"/>
              </w:rPr>
              <w:t>风向</w:t>
            </w:r>
          </w:p>
        </w:tc>
        <w:tc>
          <w:tcPr>
            <w:tcW w:w="1420" w:type="dxa"/>
            <w:vAlign w:val="center"/>
          </w:tcPr>
          <w:p>
            <w:pPr>
              <w:pStyle w:val="Normal0"/>
              <w:jc w:val="center"/>
              <w:rPr>
                <w:rFonts w:hint="eastAsia"/>
                <w:sz w:val="24"/>
              </w:rPr>
            </w:pPr>
            <w:r>
              <w:rPr>
                <w:rFonts w:hint="eastAsia"/>
                <w:sz w:val="24"/>
              </w:rPr>
              <w:t>一月</w:t>
            </w:r>
          </w:p>
        </w:tc>
        <w:tc>
          <w:tcPr>
            <w:tcW w:w="1420" w:type="dxa"/>
            <w:vAlign w:val="center"/>
          </w:tcPr>
          <w:p>
            <w:pPr>
              <w:pStyle w:val="Normal0"/>
              <w:jc w:val="center"/>
              <w:rPr>
                <w:rFonts w:hint="eastAsia"/>
                <w:sz w:val="24"/>
              </w:rPr>
            </w:pPr>
            <w:r>
              <w:rPr>
                <w:rFonts w:hint="eastAsia"/>
                <w:sz w:val="24"/>
              </w:rPr>
              <w:t>四月</w:t>
            </w:r>
          </w:p>
        </w:tc>
        <w:tc>
          <w:tcPr>
            <w:tcW w:w="1420" w:type="dxa"/>
            <w:vAlign w:val="center"/>
          </w:tcPr>
          <w:p>
            <w:pPr>
              <w:pStyle w:val="Normal0"/>
              <w:jc w:val="center"/>
              <w:rPr>
                <w:rFonts w:hint="eastAsia"/>
                <w:sz w:val="24"/>
              </w:rPr>
            </w:pPr>
            <w:r>
              <w:rPr>
                <w:rFonts w:hint="eastAsia"/>
                <w:sz w:val="24"/>
              </w:rPr>
              <w:t>七月</w:t>
            </w:r>
          </w:p>
        </w:tc>
        <w:tc>
          <w:tcPr>
            <w:tcW w:w="1421" w:type="dxa"/>
            <w:vAlign w:val="center"/>
          </w:tcPr>
          <w:p>
            <w:pPr>
              <w:pStyle w:val="Normal0"/>
              <w:jc w:val="center"/>
              <w:rPr>
                <w:rFonts w:hint="eastAsia"/>
                <w:sz w:val="24"/>
              </w:rPr>
            </w:pPr>
            <w:r>
              <w:rPr>
                <w:rFonts w:hint="eastAsia"/>
                <w:sz w:val="24"/>
              </w:rPr>
              <w:t>十月</w:t>
            </w:r>
          </w:p>
        </w:tc>
        <w:tc>
          <w:tcPr>
            <w:tcW w:w="1421" w:type="dxa"/>
            <w:tcBorders>
              <w:right w:val="single" w:sz="4" w:space="0" w:color="auto"/>
            </w:tcBorders>
            <w:vAlign w:val="center"/>
          </w:tcPr>
          <w:p>
            <w:pPr>
              <w:pStyle w:val="Normal0"/>
              <w:jc w:val="center"/>
              <w:rPr>
                <w:rFonts w:hint="eastAsia"/>
                <w:sz w:val="24"/>
              </w:rPr>
            </w:pPr>
            <w:r>
              <w:rPr>
                <w:rFonts w:hint="eastAsia"/>
                <w:sz w:val="24"/>
              </w:rPr>
              <w:t>全年</w:t>
            </w:r>
          </w:p>
        </w:tc>
      </w:tr>
      <w:tr>
        <w:tblPrEx>
          <w:tblW w:w="0" w:type="auto"/>
          <w:tblInd w:w="0" w:type="dxa"/>
          <w:tblLayout w:type="fixed"/>
          <w:tblCellMar>
            <w:top w:w="0" w:type="dxa"/>
            <w:left w:w="108" w:type="dxa"/>
            <w:bottom w:w="0" w:type="dxa"/>
            <w:right w:w="108" w:type="dxa"/>
          </w:tblCellMar>
        </w:tblPrEx>
        <w:trPr>
          <w:trHeight w:val="507"/>
        </w:trPr>
        <w:tc>
          <w:tcPr>
            <w:tcW w:w="1420" w:type="dxa"/>
            <w:tcBorders>
              <w:left w:val="single" w:sz="4" w:space="0" w:color="auto"/>
            </w:tcBorders>
            <w:vAlign w:val="center"/>
          </w:tcPr>
          <w:p>
            <w:pPr>
              <w:pStyle w:val="Normal0"/>
              <w:jc w:val="center"/>
              <w:rPr>
                <w:rFonts w:hint="eastAsia"/>
                <w:sz w:val="24"/>
              </w:rPr>
            </w:pPr>
            <w:r>
              <w:rPr>
                <w:rFonts w:hint="eastAsia"/>
                <w:sz w:val="24"/>
              </w:rPr>
              <w:t>N</w:t>
            </w:r>
          </w:p>
        </w:tc>
        <w:tc>
          <w:tcPr>
            <w:tcW w:w="1420" w:type="dxa"/>
            <w:vAlign w:val="center"/>
          </w:tcPr>
          <w:p>
            <w:pPr>
              <w:pStyle w:val="Normal0"/>
              <w:jc w:val="center"/>
              <w:rPr>
                <w:rFonts w:hint="eastAsia"/>
                <w:sz w:val="24"/>
              </w:rPr>
            </w:pPr>
            <w:r>
              <w:rPr>
                <w:rFonts w:hint="eastAsia"/>
                <w:sz w:val="24"/>
              </w:rPr>
              <w:t>10.72</w:t>
            </w:r>
          </w:p>
        </w:tc>
        <w:tc>
          <w:tcPr>
            <w:tcW w:w="1420" w:type="dxa"/>
            <w:vAlign w:val="center"/>
          </w:tcPr>
          <w:p>
            <w:pPr>
              <w:pStyle w:val="Normal0"/>
              <w:jc w:val="center"/>
              <w:rPr>
                <w:rFonts w:hint="eastAsia"/>
                <w:sz w:val="24"/>
              </w:rPr>
            </w:pPr>
            <w:r>
              <w:rPr>
                <w:rFonts w:hint="eastAsia"/>
                <w:sz w:val="24"/>
              </w:rPr>
              <w:t>6.07</w:t>
            </w:r>
          </w:p>
        </w:tc>
        <w:tc>
          <w:tcPr>
            <w:tcW w:w="1420" w:type="dxa"/>
            <w:vAlign w:val="center"/>
          </w:tcPr>
          <w:p>
            <w:pPr>
              <w:pStyle w:val="Normal0"/>
              <w:jc w:val="center"/>
              <w:rPr>
                <w:rFonts w:hint="eastAsia"/>
                <w:sz w:val="24"/>
              </w:rPr>
            </w:pPr>
            <w:r>
              <w:rPr>
                <w:rFonts w:hint="eastAsia"/>
                <w:sz w:val="24"/>
              </w:rPr>
              <w:t>4.51</w:t>
            </w:r>
          </w:p>
        </w:tc>
        <w:tc>
          <w:tcPr>
            <w:tcW w:w="1421" w:type="dxa"/>
            <w:vAlign w:val="center"/>
          </w:tcPr>
          <w:p>
            <w:pPr>
              <w:pStyle w:val="Normal0"/>
              <w:jc w:val="center"/>
              <w:rPr>
                <w:rFonts w:hint="eastAsia"/>
                <w:sz w:val="24"/>
              </w:rPr>
            </w:pPr>
            <w:r>
              <w:rPr>
                <w:rFonts w:hint="eastAsia"/>
                <w:sz w:val="24"/>
              </w:rPr>
              <w:t>10.14</w:t>
            </w:r>
          </w:p>
        </w:tc>
        <w:tc>
          <w:tcPr>
            <w:tcW w:w="1421" w:type="dxa"/>
            <w:tcBorders>
              <w:right w:val="single" w:sz="4" w:space="0" w:color="auto"/>
            </w:tcBorders>
            <w:vAlign w:val="center"/>
          </w:tcPr>
          <w:p>
            <w:pPr>
              <w:pStyle w:val="Normal0"/>
              <w:jc w:val="center"/>
              <w:rPr>
                <w:rFonts w:hint="eastAsia"/>
                <w:sz w:val="24"/>
              </w:rPr>
            </w:pPr>
            <w:r>
              <w:rPr>
                <w:rFonts w:hint="eastAsia"/>
                <w:sz w:val="24"/>
              </w:rPr>
              <w:t>7.87</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NNE</w:t>
            </w:r>
          </w:p>
        </w:tc>
        <w:tc>
          <w:tcPr>
            <w:tcW w:w="1420" w:type="dxa"/>
            <w:vAlign w:val="center"/>
          </w:tcPr>
          <w:p>
            <w:pPr>
              <w:pStyle w:val="Normal0"/>
              <w:jc w:val="center"/>
              <w:rPr>
                <w:rFonts w:hint="eastAsia"/>
                <w:sz w:val="24"/>
              </w:rPr>
            </w:pPr>
            <w:r>
              <w:rPr>
                <w:rFonts w:hint="eastAsia"/>
                <w:sz w:val="24"/>
              </w:rPr>
              <w:t>4.47</w:t>
            </w:r>
          </w:p>
        </w:tc>
        <w:tc>
          <w:tcPr>
            <w:tcW w:w="1420" w:type="dxa"/>
            <w:vAlign w:val="center"/>
          </w:tcPr>
          <w:p>
            <w:pPr>
              <w:pStyle w:val="Normal0"/>
              <w:jc w:val="center"/>
              <w:rPr>
                <w:rFonts w:hint="eastAsia"/>
                <w:sz w:val="24"/>
              </w:rPr>
            </w:pPr>
            <w:r>
              <w:rPr>
                <w:rFonts w:hint="eastAsia"/>
                <w:sz w:val="24"/>
              </w:rPr>
              <w:t>6.54</w:t>
            </w:r>
          </w:p>
        </w:tc>
        <w:tc>
          <w:tcPr>
            <w:tcW w:w="1420" w:type="dxa"/>
            <w:vAlign w:val="center"/>
          </w:tcPr>
          <w:p>
            <w:pPr>
              <w:pStyle w:val="Normal0"/>
              <w:jc w:val="center"/>
              <w:rPr>
                <w:rFonts w:hint="eastAsia"/>
                <w:sz w:val="24"/>
              </w:rPr>
            </w:pPr>
            <w:r>
              <w:rPr>
                <w:rFonts w:hint="eastAsia"/>
                <w:sz w:val="24"/>
              </w:rPr>
              <w:t>2.15</w:t>
            </w:r>
          </w:p>
        </w:tc>
        <w:tc>
          <w:tcPr>
            <w:tcW w:w="1421" w:type="dxa"/>
            <w:vAlign w:val="center"/>
          </w:tcPr>
          <w:p>
            <w:pPr>
              <w:pStyle w:val="Normal0"/>
              <w:jc w:val="center"/>
              <w:rPr>
                <w:rFonts w:hint="eastAsia"/>
                <w:sz w:val="24"/>
              </w:rPr>
            </w:pPr>
            <w:r>
              <w:rPr>
                <w:rFonts w:hint="eastAsia"/>
                <w:sz w:val="24"/>
              </w:rPr>
              <w:t>4.49</w:t>
            </w:r>
          </w:p>
        </w:tc>
        <w:tc>
          <w:tcPr>
            <w:tcW w:w="1421" w:type="dxa"/>
            <w:tcBorders>
              <w:right w:val="single" w:sz="4" w:space="0" w:color="auto"/>
            </w:tcBorders>
            <w:vAlign w:val="center"/>
          </w:tcPr>
          <w:p>
            <w:pPr>
              <w:pStyle w:val="Normal0"/>
              <w:jc w:val="center"/>
              <w:rPr>
                <w:rFonts w:hint="eastAsia"/>
                <w:sz w:val="24"/>
              </w:rPr>
            </w:pPr>
            <w:r>
              <w:rPr>
                <w:rFonts w:hint="eastAsia"/>
                <w:sz w:val="24"/>
              </w:rPr>
              <w:t>4.09</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NE</w:t>
            </w:r>
          </w:p>
        </w:tc>
        <w:tc>
          <w:tcPr>
            <w:tcW w:w="1420" w:type="dxa"/>
            <w:vAlign w:val="center"/>
          </w:tcPr>
          <w:p>
            <w:pPr>
              <w:pStyle w:val="Normal0"/>
              <w:jc w:val="center"/>
              <w:rPr>
                <w:rFonts w:hint="eastAsia"/>
                <w:sz w:val="24"/>
              </w:rPr>
            </w:pPr>
            <w:r>
              <w:rPr>
                <w:rFonts w:hint="eastAsia"/>
                <w:sz w:val="24"/>
              </w:rPr>
              <w:t>4.53</w:t>
            </w:r>
          </w:p>
        </w:tc>
        <w:tc>
          <w:tcPr>
            <w:tcW w:w="1420" w:type="dxa"/>
            <w:vAlign w:val="center"/>
          </w:tcPr>
          <w:p>
            <w:pPr>
              <w:pStyle w:val="Normal0"/>
              <w:jc w:val="center"/>
              <w:rPr>
                <w:rFonts w:hint="eastAsia"/>
                <w:sz w:val="24"/>
              </w:rPr>
            </w:pPr>
            <w:r>
              <w:rPr>
                <w:rFonts w:hint="eastAsia"/>
                <w:sz w:val="24"/>
              </w:rPr>
              <w:t>5.48</w:t>
            </w:r>
          </w:p>
        </w:tc>
        <w:tc>
          <w:tcPr>
            <w:tcW w:w="1420" w:type="dxa"/>
            <w:vAlign w:val="center"/>
          </w:tcPr>
          <w:p>
            <w:pPr>
              <w:pStyle w:val="Normal0"/>
              <w:jc w:val="center"/>
              <w:rPr>
                <w:rFonts w:hint="eastAsia"/>
                <w:sz w:val="24"/>
              </w:rPr>
            </w:pPr>
            <w:r>
              <w:rPr>
                <w:rFonts w:hint="eastAsia"/>
                <w:sz w:val="24"/>
              </w:rPr>
              <w:t>4.97</w:t>
            </w:r>
          </w:p>
        </w:tc>
        <w:tc>
          <w:tcPr>
            <w:tcW w:w="1421" w:type="dxa"/>
            <w:vAlign w:val="center"/>
          </w:tcPr>
          <w:p>
            <w:pPr>
              <w:pStyle w:val="Normal0"/>
              <w:jc w:val="center"/>
              <w:rPr>
                <w:rFonts w:hint="eastAsia"/>
                <w:sz w:val="24"/>
              </w:rPr>
            </w:pPr>
            <w:r>
              <w:rPr>
                <w:rFonts w:hint="eastAsia"/>
                <w:sz w:val="24"/>
              </w:rPr>
              <w:t>7.39</w:t>
            </w:r>
          </w:p>
        </w:tc>
        <w:tc>
          <w:tcPr>
            <w:tcW w:w="1421" w:type="dxa"/>
            <w:tcBorders>
              <w:right w:val="single" w:sz="4" w:space="0" w:color="auto"/>
            </w:tcBorders>
            <w:vAlign w:val="center"/>
          </w:tcPr>
          <w:p>
            <w:pPr>
              <w:pStyle w:val="Normal0"/>
              <w:jc w:val="center"/>
              <w:rPr>
                <w:rFonts w:hint="eastAsia"/>
                <w:sz w:val="24"/>
              </w:rPr>
            </w:pPr>
            <w:r>
              <w:rPr>
                <w:rFonts w:hint="eastAsia"/>
                <w:sz w:val="24"/>
              </w:rPr>
              <w:t>5.60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ENE</w:t>
            </w:r>
          </w:p>
        </w:tc>
        <w:tc>
          <w:tcPr>
            <w:tcW w:w="1420" w:type="dxa"/>
            <w:vAlign w:val="center"/>
          </w:tcPr>
          <w:p>
            <w:pPr>
              <w:pStyle w:val="Normal0"/>
              <w:jc w:val="center"/>
              <w:rPr>
                <w:rFonts w:hint="eastAsia"/>
                <w:sz w:val="24"/>
              </w:rPr>
            </w:pPr>
            <w:r>
              <w:rPr>
                <w:rFonts w:hint="eastAsia"/>
                <w:sz w:val="24"/>
              </w:rPr>
              <w:t>6.41</w:t>
            </w:r>
          </w:p>
        </w:tc>
        <w:tc>
          <w:tcPr>
            <w:tcW w:w="1420" w:type="dxa"/>
            <w:vAlign w:val="center"/>
          </w:tcPr>
          <w:p>
            <w:pPr>
              <w:pStyle w:val="Normal0"/>
              <w:jc w:val="center"/>
              <w:rPr>
                <w:rFonts w:hint="eastAsia"/>
                <w:sz w:val="24"/>
              </w:rPr>
            </w:pPr>
            <w:r>
              <w:rPr>
                <w:rFonts w:hint="eastAsia"/>
                <w:sz w:val="24"/>
              </w:rPr>
              <w:t>7.81</w:t>
            </w:r>
          </w:p>
        </w:tc>
        <w:tc>
          <w:tcPr>
            <w:tcW w:w="1420" w:type="dxa"/>
            <w:vAlign w:val="center"/>
          </w:tcPr>
          <w:p>
            <w:pPr>
              <w:pStyle w:val="Normal0"/>
              <w:jc w:val="center"/>
              <w:rPr>
                <w:rFonts w:hint="eastAsia"/>
                <w:sz w:val="24"/>
              </w:rPr>
            </w:pPr>
            <w:r>
              <w:rPr>
                <w:rFonts w:hint="eastAsia"/>
                <w:sz w:val="24"/>
              </w:rPr>
              <w:t>8.38</w:t>
            </w:r>
          </w:p>
        </w:tc>
        <w:tc>
          <w:tcPr>
            <w:tcW w:w="1421" w:type="dxa"/>
            <w:vAlign w:val="center"/>
          </w:tcPr>
          <w:p>
            <w:pPr>
              <w:pStyle w:val="Normal0"/>
              <w:jc w:val="center"/>
              <w:rPr>
                <w:rFonts w:hint="eastAsia"/>
                <w:sz w:val="24"/>
              </w:rPr>
            </w:pPr>
            <w:r>
              <w:rPr>
                <w:rFonts w:hint="eastAsia"/>
                <w:sz w:val="24"/>
              </w:rPr>
              <w:t>4.15</w:t>
            </w:r>
          </w:p>
        </w:tc>
        <w:tc>
          <w:tcPr>
            <w:tcW w:w="1421" w:type="dxa"/>
            <w:tcBorders>
              <w:right w:val="single" w:sz="4" w:space="0" w:color="auto"/>
            </w:tcBorders>
            <w:vAlign w:val="center"/>
          </w:tcPr>
          <w:p>
            <w:pPr>
              <w:pStyle w:val="Normal0"/>
              <w:jc w:val="center"/>
              <w:rPr>
                <w:rFonts w:hint="eastAsia"/>
                <w:sz w:val="24"/>
              </w:rPr>
            </w:pPr>
            <w:r>
              <w:rPr>
                <w:rFonts w:hint="eastAsia"/>
                <w:sz w:val="24"/>
              </w:rPr>
              <w:t>5.90</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E</w:t>
            </w:r>
          </w:p>
        </w:tc>
        <w:tc>
          <w:tcPr>
            <w:tcW w:w="1420" w:type="dxa"/>
            <w:vAlign w:val="center"/>
          </w:tcPr>
          <w:p>
            <w:pPr>
              <w:pStyle w:val="Normal0"/>
              <w:jc w:val="center"/>
              <w:rPr>
                <w:rFonts w:hint="eastAsia"/>
                <w:sz w:val="24"/>
              </w:rPr>
            </w:pPr>
            <w:r>
              <w:rPr>
                <w:rFonts w:hint="eastAsia"/>
                <w:sz w:val="24"/>
              </w:rPr>
              <w:t>5.83</w:t>
            </w:r>
          </w:p>
        </w:tc>
        <w:tc>
          <w:tcPr>
            <w:tcW w:w="1420" w:type="dxa"/>
            <w:vAlign w:val="center"/>
          </w:tcPr>
          <w:p>
            <w:pPr>
              <w:pStyle w:val="Normal0"/>
              <w:jc w:val="center"/>
              <w:rPr>
                <w:rFonts w:hint="eastAsia"/>
                <w:sz w:val="24"/>
              </w:rPr>
            </w:pPr>
            <w:r>
              <w:rPr>
                <w:rFonts w:hint="eastAsia"/>
                <w:sz w:val="24"/>
              </w:rPr>
              <w:t>6.70</w:t>
            </w:r>
          </w:p>
        </w:tc>
        <w:tc>
          <w:tcPr>
            <w:tcW w:w="1420" w:type="dxa"/>
            <w:vAlign w:val="center"/>
          </w:tcPr>
          <w:p>
            <w:pPr>
              <w:pStyle w:val="Normal0"/>
              <w:jc w:val="center"/>
              <w:rPr>
                <w:rFonts w:hint="eastAsia"/>
                <w:sz w:val="24"/>
              </w:rPr>
            </w:pPr>
            <w:r>
              <w:rPr>
                <w:rFonts w:hint="eastAsia"/>
                <w:sz w:val="24"/>
              </w:rPr>
              <w:t>7.01</w:t>
            </w:r>
          </w:p>
        </w:tc>
        <w:tc>
          <w:tcPr>
            <w:tcW w:w="1421" w:type="dxa"/>
            <w:vAlign w:val="center"/>
          </w:tcPr>
          <w:p>
            <w:pPr>
              <w:pStyle w:val="Normal0"/>
              <w:jc w:val="center"/>
              <w:rPr>
                <w:rFonts w:hint="eastAsia"/>
                <w:sz w:val="24"/>
              </w:rPr>
            </w:pPr>
            <w:r>
              <w:rPr>
                <w:rFonts w:hint="eastAsia"/>
                <w:sz w:val="24"/>
              </w:rPr>
              <w:t>4.86</w:t>
            </w:r>
          </w:p>
        </w:tc>
        <w:tc>
          <w:tcPr>
            <w:tcW w:w="1421" w:type="dxa"/>
            <w:tcBorders>
              <w:right w:val="single" w:sz="4" w:space="0" w:color="auto"/>
            </w:tcBorders>
            <w:vAlign w:val="center"/>
          </w:tcPr>
          <w:p>
            <w:pPr>
              <w:pStyle w:val="Normal0"/>
              <w:jc w:val="center"/>
              <w:rPr>
                <w:rFonts w:hint="eastAsia"/>
                <w:sz w:val="24"/>
              </w:rPr>
            </w:pPr>
            <w:r>
              <w:rPr>
                <w:rFonts w:hint="eastAsia"/>
                <w:sz w:val="24"/>
              </w:rPr>
              <w:t>5.78</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ESE</w:t>
            </w:r>
          </w:p>
        </w:tc>
        <w:tc>
          <w:tcPr>
            <w:tcW w:w="1420" w:type="dxa"/>
            <w:vAlign w:val="center"/>
          </w:tcPr>
          <w:p>
            <w:pPr>
              <w:pStyle w:val="Normal0"/>
              <w:jc w:val="center"/>
              <w:rPr>
                <w:rFonts w:hint="eastAsia"/>
                <w:sz w:val="24"/>
              </w:rPr>
            </w:pPr>
            <w:r>
              <w:rPr>
                <w:rFonts w:hint="eastAsia"/>
                <w:sz w:val="24"/>
              </w:rPr>
              <w:t>4.90</w:t>
            </w:r>
          </w:p>
        </w:tc>
        <w:tc>
          <w:tcPr>
            <w:tcW w:w="1420" w:type="dxa"/>
            <w:vAlign w:val="center"/>
          </w:tcPr>
          <w:p>
            <w:pPr>
              <w:pStyle w:val="Normal0"/>
              <w:jc w:val="center"/>
              <w:rPr>
                <w:rFonts w:hint="eastAsia"/>
                <w:sz w:val="24"/>
              </w:rPr>
            </w:pPr>
            <w:r>
              <w:rPr>
                <w:rFonts w:hint="eastAsia"/>
                <w:sz w:val="24"/>
              </w:rPr>
              <w:t>7.83</w:t>
            </w:r>
          </w:p>
        </w:tc>
        <w:tc>
          <w:tcPr>
            <w:tcW w:w="1420" w:type="dxa"/>
            <w:vAlign w:val="center"/>
          </w:tcPr>
          <w:p>
            <w:pPr>
              <w:pStyle w:val="Normal0"/>
              <w:jc w:val="center"/>
              <w:rPr>
                <w:rFonts w:hint="eastAsia"/>
                <w:sz w:val="24"/>
              </w:rPr>
            </w:pPr>
            <w:r>
              <w:rPr>
                <w:rFonts w:hint="eastAsia"/>
                <w:sz w:val="24"/>
              </w:rPr>
              <w:t>6.48</w:t>
            </w:r>
          </w:p>
        </w:tc>
        <w:tc>
          <w:tcPr>
            <w:tcW w:w="1421" w:type="dxa"/>
            <w:vAlign w:val="center"/>
          </w:tcPr>
          <w:p>
            <w:pPr>
              <w:pStyle w:val="Normal0"/>
              <w:jc w:val="center"/>
              <w:rPr>
                <w:rFonts w:hint="eastAsia"/>
                <w:sz w:val="24"/>
              </w:rPr>
            </w:pPr>
            <w:r>
              <w:rPr>
                <w:rFonts w:hint="eastAsia"/>
                <w:sz w:val="24"/>
              </w:rPr>
              <w:t>7.68</w:t>
            </w:r>
          </w:p>
        </w:tc>
        <w:tc>
          <w:tcPr>
            <w:tcW w:w="1421" w:type="dxa"/>
            <w:tcBorders>
              <w:right w:val="single" w:sz="4" w:space="0" w:color="auto"/>
            </w:tcBorders>
            <w:vAlign w:val="center"/>
          </w:tcPr>
          <w:p>
            <w:pPr>
              <w:pStyle w:val="Normal0"/>
              <w:jc w:val="center"/>
              <w:rPr>
                <w:rFonts w:hint="eastAsia"/>
                <w:sz w:val="24"/>
              </w:rPr>
            </w:pPr>
            <w:r>
              <w:rPr>
                <w:rFonts w:hint="eastAsia"/>
                <w:sz w:val="24"/>
              </w:rPr>
              <w:t>7.62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SE</w:t>
            </w:r>
          </w:p>
        </w:tc>
        <w:tc>
          <w:tcPr>
            <w:tcW w:w="1420" w:type="dxa"/>
            <w:vAlign w:val="center"/>
          </w:tcPr>
          <w:p>
            <w:pPr>
              <w:pStyle w:val="Normal0"/>
              <w:jc w:val="center"/>
              <w:rPr>
                <w:rFonts w:hint="eastAsia"/>
                <w:sz w:val="24"/>
              </w:rPr>
            </w:pPr>
            <w:r>
              <w:rPr>
                <w:rFonts w:hint="eastAsia"/>
                <w:sz w:val="24"/>
              </w:rPr>
              <w:t>4.81</w:t>
            </w:r>
          </w:p>
        </w:tc>
        <w:tc>
          <w:tcPr>
            <w:tcW w:w="1420" w:type="dxa"/>
            <w:vAlign w:val="center"/>
          </w:tcPr>
          <w:p>
            <w:pPr>
              <w:pStyle w:val="Normal0"/>
              <w:jc w:val="center"/>
              <w:rPr>
                <w:rFonts w:hint="eastAsia"/>
                <w:sz w:val="24"/>
              </w:rPr>
            </w:pPr>
            <w:r>
              <w:rPr>
                <w:rFonts w:hint="eastAsia"/>
                <w:sz w:val="24"/>
              </w:rPr>
              <w:t>3.86</w:t>
            </w:r>
          </w:p>
        </w:tc>
        <w:tc>
          <w:tcPr>
            <w:tcW w:w="1420" w:type="dxa"/>
            <w:vAlign w:val="center"/>
          </w:tcPr>
          <w:p>
            <w:pPr>
              <w:pStyle w:val="Normal0"/>
              <w:jc w:val="center"/>
              <w:rPr>
                <w:rFonts w:hint="eastAsia"/>
                <w:sz w:val="24"/>
              </w:rPr>
            </w:pPr>
            <w:r>
              <w:rPr>
                <w:rFonts w:hint="eastAsia"/>
                <w:sz w:val="24"/>
              </w:rPr>
              <w:t>4.53</w:t>
            </w:r>
          </w:p>
        </w:tc>
        <w:tc>
          <w:tcPr>
            <w:tcW w:w="1421" w:type="dxa"/>
            <w:vAlign w:val="center"/>
          </w:tcPr>
          <w:p>
            <w:pPr>
              <w:pStyle w:val="Normal0"/>
              <w:jc w:val="center"/>
              <w:rPr>
                <w:rFonts w:hint="eastAsia"/>
                <w:sz w:val="24"/>
              </w:rPr>
            </w:pPr>
            <w:r>
              <w:rPr>
                <w:rFonts w:hint="eastAsia"/>
                <w:sz w:val="24"/>
              </w:rPr>
              <w:t>4.54</w:t>
            </w:r>
          </w:p>
        </w:tc>
        <w:tc>
          <w:tcPr>
            <w:tcW w:w="1421" w:type="dxa"/>
            <w:tcBorders>
              <w:right w:val="single" w:sz="4" w:space="0" w:color="auto"/>
            </w:tcBorders>
            <w:vAlign w:val="center"/>
          </w:tcPr>
          <w:p>
            <w:pPr>
              <w:pStyle w:val="Normal0"/>
              <w:jc w:val="center"/>
              <w:rPr>
                <w:rFonts w:hint="eastAsia"/>
                <w:sz w:val="24"/>
              </w:rPr>
            </w:pPr>
            <w:r>
              <w:rPr>
                <w:rFonts w:hint="eastAsia"/>
                <w:sz w:val="24"/>
              </w:rPr>
              <w:t>3.86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SSE</w:t>
            </w:r>
          </w:p>
        </w:tc>
        <w:tc>
          <w:tcPr>
            <w:tcW w:w="1420" w:type="dxa"/>
            <w:vAlign w:val="center"/>
          </w:tcPr>
          <w:p>
            <w:pPr>
              <w:pStyle w:val="Normal0"/>
              <w:jc w:val="center"/>
              <w:rPr>
                <w:rFonts w:hint="eastAsia"/>
                <w:sz w:val="24"/>
              </w:rPr>
            </w:pPr>
            <w:r>
              <w:rPr>
                <w:rFonts w:hint="eastAsia"/>
                <w:sz w:val="24"/>
              </w:rPr>
              <w:t>6.23</w:t>
            </w:r>
          </w:p>
        </w:tc>
        <w:tc>
          <w:tcPr>
            <w:tcW w:w="1420" w:type="dxa"/>
            <w:vAlign w:val="center"/>
          </w:tcPr>
          <w:p>
            <w:pPr>
              <w:pStyle w:val="Normal0"/>
              <w:jc w:val="center"/>
              <w:rPr>
                <w:rFonts w:hint="eastAsia"/>
                <w:sz w:val="24"/>
              </w:rPr>
            </w:pPr>
            <w:r>
              <w:rPr>
                <w:rFonts w:hint="eastAsia"/>
                <w:sz w:val="24"/>
              </w:rPr>
              <w:t>7.47</w:t>
            </w:r>
          </w:p>
        </w:tc>
        <w:tc>
          <w:tcPr>
            <w:tcW w:w="1420" w:type="dxa"/>
            <w:vAlign w:val="center"/>
          </w:tcPr>
          <w:p>
            <w:pPr>
              <w:pStyle w:val="Normal0"/>
              <w:jc w:val="center"/>
              <w:rPr>
                <w:rFonts w:hint="eastAsia"/>
                <w:sz w:val="24"/>
              </w:rPr>
            </w:pPr>
            <w:r>
              <w:rPr>
                <w:rFonts w:hint="eastAsia"/>
                <w:sz w:val="24"/>
              </w:rPr>
              <w:t>8.53</w:t>
            </w:r>
          </w:p>
        </w:tc>
        <w:tc>
          <w:tcPr>
            <w:tcW w:w="1421" w:type="dxa"/>
            <w:vAlign w:val="center"/>
          </w:tcPr>
          <w:p>
            <w:pPr>
              <w:pStyle w:val="Normal0"/>
              <w:jc w:val="center"/>
              <w:rPr>
                <w:rFonts w:hint="eastAsia"/>
                <w:sz w:val="24"/>
              </w:rPr>
            </w:pPr>
            <w:r>
              <w:rPr>
                <w:rFonts w:hint="eastAsia"/>
                <w:sz w:val="24"/>
              </w:rPr>
              <w:t>8.14</w:t>
            </w:r>
          </w:p>
        </w:tc>
        <w:tc>
          <w:tcPr>
            <w:tcW w:w="1421" w:type="dxa"/>
            <w:tcBorders>
              <w:right w:val="single" w:sz="4" w:space="0" w:color="auto"/>
            </w:tcBorders>
            <w:vAlign w:val="center"/>
          </w:tcPr>
          <w:p>
            <w:pPr>
              <w:pStyle w:val="Normal0"/>
              <w:jc w:val="center"/>
              <w:rPr>
                <w:rFonts w:hint="eastAsia"/>
                <w:sz w:val="24"/>
              </w:rPr>
            </w:pPr>
            <w:r>
              <w:rPr>
                <w:rFonts w:hint="eastAsia"/>
                <w:sz w:val="24"/>
              </w:rPr>
              <w:t>5.76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S</w:t>
            </w:r>
          </w:p>
        </w:tc>
        <w:tc>
          <w:tcPr>
            <w:tcW w:w="1420" w:type="dxa"/>
            <w:vAlign w:val="center"/>
          </w:tcPr>
          <w:p>
            <w:pPr>
              <w:pStyle w:val="Normal0"/>
              <w:jc w:val="center"/>
              <w:rPr>
                <w:rFonts w:hint="eastAsia"/>
                <w:sz w:val="24"/>
              </w:rPr>
            </w:pPr>
            <w:r>
              <w:rPr>
                <w:rFonts w:hint="eastAsia"/>
                <w:sz w:val="24"/>
              </w:rPr>
              <w:t>5.09</w:t>
            </w:r>
          </w:p>
        </w:tc>
        <w:tc>
          <w:tcPr>
            <w:tcW w:w="1420" w:type="dxa"/>
            <w:vAlign w:val="center"/>
          </w:tcPr>
          <w:p>
            <w:pPr>
              <w:pStyle w:val="Normal0"/>
              <w:jc w:val="center"/>
              <w:rPr>
                <w:rFonts w:hint="eastAsia"/>
                <w:sz w:val="24"/>
              </w:rPr>
            </w:pPr>
            <w:r>
              <w:rPr>
                <w:rFonts w:hint="eastAsia"/>
                <w:sz w:val="24"/>
              </w:rPr>
              <w:t>11.46</w:t>
            </w:r>
          </w:p>
        </w:tc>
        <w:tc>
          <w:tcPr>
            <w:tcW w:w="1420" w:type="dxa"/>
            <w:vAlign w:val="center"/>
          </w:tcPr>
          <w:p>
            <w:pPr>
              <w:pStyle w:val="Normal0"/>
              <w:jc w:val="center"/>
              <w:rPr>
                <w:rFonts w:hint="eastAsia"/>
                <w:sz w:val="24"/>
              </w:rPr>
            </w:pPr>
            <w:r>
              <w:rPr>
                <w:rFonts w:hint="eastAsia"/>
                <w:sz w:val="24"/>
              </w:rPr>
              <w:t>10.23</w:t>
            </w:r>
          </w:p>
        </w:tc>
        <w:tc>
          <w:tcPr>
            <w:tcW w:w="1421" w:type="dxa"/>
            <w:vAlign w:val="center"/>
          </w:tcPr>
          <w:p>
            <w:pPr>
              <w:pStyle w:val="Normal0"/>
              <w:jc w:val="center"/>
              <w:rPr>
                <w:rFonts w:hint="eastAsia"/>
                <w:sz w:val="24"/>
              </w:rPr>
            </w:pPr>
            <w:r>
              <w:rPr>
                <w:rFonts w:hint="eastAsia"/>
                <w:sz w:val="24"/>
              </w:rPr>
              <w:t>5.86</w:t>
            </w:r>
          </w:p>
        </w:tc>
        <w:tc>
          <w:tcPr>
            <w:tcW w:w="1421" w:type="dxa"/>
            <w:tcBorders>
              <w:right w:val="single" w:sz="4" w:space="0" w:color="auto"/>
            </w:tcBorders>
            <w:vAlign w:val="center"/>
          </w:tcPr>
          <w:p>
            <w:pPr>
              <w:pStyle w:val="Normal0"/>
              <w:jc w:val="center"/>
              <w:rPr>
                <w:rFonts w:hint="eastAsia"/>
                <w:sz w:val="24"/>
              </w:rPr>
            </w:pPr>
            <w:r>
              <w:rPr>
                <w:rFonts w:hint="eastAsia"/>
                <w:sz w:val="24"/>
              </w:rPr>
              <w:t>8.92</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SSW</w:t>
            </w:r>
          </w:p>
        </w:tc>
        <w:tc>
          <w:tcPr>
            <w:tcW w:w="1420" w:type="dxa"/>
            <w:vAlign w:val="center"/>
          </w:tcPr>
          <w:p>
            <w:pPr>
              <w:pStyle w:val="Normal0"/>
              <w:jc w:val="center"/>
              <w:rPr>
                <w:rFonts w:hint="eastAsia"/>
                <w:sz w:val="24"/>
              </w:rPr>
            </w:pPr>
            <w:r>
              <w:rPr>
                <w:rFonts w:hint="eastAsia"/>
                <w:sz w:val="24"/>
              </w:rPr>
              <w:t>8.75</w:t>
            </w:r>
          </w:p>
        </w:tc>
        <w:tc>
          <w:tcPr>
            <w:tcW w:w="1420" w:type="dxa"/>
            <w:vAlign w:val="center"/>
          </w:tcPr>
          <w:p>
            <w:pPr>
              <w:pStyle w:val="Normal0"/>
              <w:jc w:val="center"/>
              <w:rPr>
                <w:rFonts w:hint="eastAsia"/>
                <w:sz w:val="24"/>
              </w:rPr>
            </w:pPr>
            <w:r>
              <w:rPr>
                <w:rFonts w:hint="eastAsia"/>
                <w:sz w:val="24"/>
              </w:rPr>
              <w:t>12.73</w:t>
            </w:r>
          </w:p>
        </w:tc>
        <w:tc>
          <w:tcPr>
            <w:tcW w:w="1420" w:type="dxa"/>
            <w:vAlign w:val="center"/>
          </w:tcPr>
          <w:p>
            <w:pPr>
              <w:pStyle w:val="Normal0"/>
              <w:jc w:val="center"/>
              <w:rPr>
                <w:rFonts w:hint="eastAsia"/>
                <w:sz w:val="24"/>
              </w:rPr>
            </w:pPr>
            <w:r>
              <w:rPr>
                <w:rFonts w:hint="eastAsia"/>
                <w:sz w:val="24"/>
              </w:rPr>
              <w:t>20.82</w:t>
            </w:r>
          </w:p>
        </w:tc>
        <w:tc>
          <w:tcPr>
            <w:tcW w:w="1421" w:type="dxa"/>
            <w:vAlign w:val="center"/>
          </w:tcPr>
          <w:p>
            <w:pPr>
              <w:pStyle w:val="Normal0"/>
              <w:jc w:val="center"/>
              <w:rPr>
                <w:rFonts w:hint="eastAsia"/>
                <w:sz w:val="24"/>
              </w:rPr>
            </w:pPr>
            <w:r>
              <w:rPr>
                <w:rFonts w:hint="eastAsia"/>
                <w:sz w:val="24"/>
              </w:rPr>
              <w:t>4.22</w:t>
            </w:r>
          </w:p>
        </w:tc>
        <w:tc>
          <w:tcPr>
            <w:tcW w:w="1421" w:type="dxa"/>
            <w:tcBorders>
              <w:right w:val="single" w:sz="4" w:space="0" w:color="auto"/>
            </w:tcBorders>
            <w:vAlign w:val="center"/>
          </w:tcPr>
          <w:p>
            <w:pPr>
              <w:pStyle w:val="Normal0"/>
              <w:jc w:val="center"/>
              <w:rPr>
                <w:rFonts w:hint="eastAsia"/>
                <w:sz w:val="24"/>
              </w:rPr>
            </w:pPr>
            <w:r>
              <w:rPr>
                <w:rFonts w:hint="eastAsia"/>
                <w:sz w:val="24"/>
              </w:rPr>
              <w:t>12.43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SW</w:t>
            </w:r>
          </w:p>
        </w:tc>
        <w:tc>
          <w:tcPr>
            <w:tcW w:w="1420" w:type="dxa"/>
            <w:vAlign w:val="center"/>
          </w:tcPr>
          <w:p>
            <w:pPr>
              <w:pStyle w:val="Normal0"/>
              <w:jc w:val="center"/>
              <w:rPr>
                <w:rFonts w:hint="eastAsia"/>
                <w:sz w:val="24"/>
              </w:rPr>
            </w:pPr>
            <w:r>
              <w:rPr>
                <w:rFonts w:hint="eastAsia"/>
                <w:sz w:val="24"/>
              </w:rPr>
              <w:t>5.77</w:t>
            </w:r>
          </w:p>
        </w:tc>
        <w:tc>
          <w:tcPr>
            <w:tcW w:w="1420" w:type="dxa"/>
            <w:vAlign w:val="center"/>
          </w:tcPr>
          <w:p>
            <w:pPr>
              <w:pStyle w:val="Normal0"/>
              <w:jc w:val="center"/>
              <w:rPr>
                <w:rFonts w:hint="eastAsia"/>
                <w:sz w:val="24"/>
              </w:rPr>
            </w:pPr>
            <w:r>
              <w:rPr>
                <w:rFonts w:hint="eastAsia"/>
                <w:sz w:val="24"/>
              </w:rPr>
              <w:t>3.69</w:t>
            </w:r>
          </w:p>
        </w:tc>
        <w:tc>
          <w:tcPr>
            <w:tcW w:w="1420" w:type="dxa"/>
            <w:vAlign w:val="center"/>
          </w:tcPr>
          <w:p>
            <w:pPr>
              <w:pStyle w:val="Normal0"/>
              <w:jc w:val="center"/>
              <w:rPr>
                <w:rFonts w:hint="eastAsia"/>
                <w:sz w:val="24"/>
              </w:rPr>
            </w:pPr>
            <w:r>
              <w:rPr>
                <w:rFonts w:hint="eastAsia"/>
                <w:sz w:val="24"/>
              </w:rPr>
              <w:t>9.00</w:t>
            </w:r>
          </w:p>
        </w:tc>
        <w:tc>
          <w:tcPr>
            <w:tcW w:w="1421" w:type="dxa"/>
            <w:vAlign w:val="center"/>
          </w:tcPr>
          <w:p>
            <w:pPr>
              <w:pStyle w:val="Normal0"/>
              <w:jc w:val="center"/>
              <w:rPr>
                <w:rFonts w:hint="eastAsia"/>
                <w:sz w:val="24"/>
              </w:rPr>
            </w:pPr>
            <w:r>
              <w:rPr>
                <w:rFonts w:hint="eastAsia"/>
                <w:sz w:val="24"/>
              </w:rPr>
              <w:t>4.58</w:t>
            </w:r>
          </w:p>
        </w:tc>
        <w:tc>
          <w:tcPr>
            <w:tcW w:w="1421" w:type="dxa"/>
            <w:tcBorders>
              <w:right w:val="single" w:sz="4" w:space="0" w:color="auto"/>
            </w:tcBorders>
            <w:vAlign w:val="center"/>
          </w:tcPr>
          <w:p>
            <w:pPr>
              <w:pStyle w:val="Normal0"/>
              <w:jc w:val="center"/>
              <w:rPr>
                <w:rFonts w:hint="eastAsia"/>
                <w:sz w:val="24"/>
              </w:rPr>
            </w:pPr>
            <w:r>
              <w:rPr>
                <w:rFonts w:hint="eastAsia"/>
                <w:sz w:val="24"/>
              </w:rPr>
              <w:t>5.06</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WSW</w:t>
            </w:r>
          </w:p>
        </w:tc>
        <w:tc>
          <w:tcPr>
            <w:tcW w:w="1420" w:type="dxa"/>
            <w:vAlign w:val="center"/>
          </w:tcPr>
          <w:p>
            <w:pPr>
              <w:pStyle w:val="Normal0"/>
              <w:jc w:val="center"/>
              <w:rPr>
                <w:rFonts w:hint="eastAsia"/>
                <w:sz w:val="24"/>
              </w:rPr>
            </w:pPr>
            <w:r>
              <w:rPr>
                <w:rFonts w:hint="eastAsia"/>
                <w:sz w:val="24"/>
              </w:rPr>
              <w:t>1.85</w:t>
            </w:r>
          </w:p>
        </w:tc>
        <w:tc>
          <w:tcPr>
            <w:tcW w:w="1420" w:type="dxa"/>
            <w:vAlign w:val="center"/>
          </w:tcPr>
          <w:p>
            <w:pPr>
              <w:pStyle w:val="Normal0"/>
              <w:jc w:val="center"/>
              <w:rPr>
                <w:rFonts w:hint="eastAsia"/>
                <w:sz w:val="24"/>
              </w:rPr>
            </w:pPr>
            <w:r>
              <w:rPr>
                <w:rFonts w:hint="eastAsia"/>
                <w:sz w:val="24"/>
              </w:rPr>
              <w:t>2.62</w:t>
            </w:r>
          </w:p>
        </w:tc>
        <w:tc>
          <w:tcPr>
            <w:tcW w:w="1420" w:type="dxa"/>
            <w:vAlign w:val="center"/>
          </w:tcPr>
          <w:p>
            <w:pPr>
              <w:pStyle w:val="Normal0"/>
              <w:jc w:val="center"/>
              <w:rPr>
                <w:rFonts w:hint="eastAsia"/>
                <w:sz w:val="24"/>
              </w:rPr>
            </w:pPr>
            <w:r>
              <w:rPr>
                <w:rFonts w:hint="eastAsia"/>
                <w:sz w:val="24"/>
              </w:rPr>
              <w:t>2.63</w:t>
            </w:r>
          </w:p>
        </w:tc>
        <w:tc>
          <w:tcPr>
            <w:tcW w:w="1421" w:type="dxa"/>
            <w:vAlign w:val="center"/>
          </w:tcPr>
          <w:p>
            <w:pPr>
              <w:pStyle w:val="Normal0"/>
              <w:jc w:val="center"/>
              <w:rPr>
                <w:rFonts w:hint="eastAsia"/>
                <w:sz w:val="24"/>
              </w:rPr>
            </w:pPr>
            <w:r>
              <w:rPr>
                <w:rFonts w:hint="eastAsia"/>
                <w:sz w:val="24"/>
              </w:rPr>
              <w:t>0.65</w:t>
            </w:r>
          </w:p>
        </w:tc>
        <w:tc>
          <w:tcPr>
            <w:tcW w:w="1421" w:type="dxa"/>
            <w:tcBorders>
              <w:right w:val="single" w:sz="4" w:space="0" w:color="auto"/>
            </w:tcBorders>
            <w:vAlign w:val="center"/>
          </w:tcPr>
          <w:p>
            <w:pPr>
              <w:pStyle w:val="Normal0"/>
              <w:jc w:val="center"/>
              <w:rPr>
                <w:rFonts w:hint="eastAsia"/>
                <w:sz w:val="24"/>
              </w:rPr>
            </w:pPr>
            <w:r>
              <w:rPr>
                <w:rFonts w:hint="eastAsia"/>
                <w:sz w:val="24"/>
              </w:rPr>
              <w:t>1.94</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W</w:t>
            </w:r>
          </w:p>
        </w:tc>
        <w:tc>
          <w:tcPr>
            <w:tcW w:w="1420" w:type="dxa"/>
            <w:vAlign w:val="center"/>
          </w:tcPr>
          <w:p>
            <w:pPr>
              <w:pStyle w:val="Normal0"/>
              <w:jc w:val="center"/>
              <w:rPr>
                <w:rFonts w:hint="eastAsia"/>
                <w:sz w:val="24"/>
              </w:rPr>
            </w:pPr>
            <w:r>
              <w:rPr>
                <w:rFonts w:hint="eastAsia"/>
                <w:sz w:val="24"/>
              </w:rPr>
              <w:t>1.61</w:t>
            </w:r>
          </w:p>
        </w:tc>
        <w:tc>
          <w:tcPr>
            <w:tcW w:w="1420" w:type="dxa"/>
            <w:vAlign w:val="center"/>
          </w:tcPr>
          <w:p>
            <w:pPr>
              <w:pStyle w:val="Normal0"/>
              <w:jc w:val="center"/>
              <w:rPr>
                <w:rFonts w:hint="eastAsia"/>
                <w:sz w:val="24"/>
              </w:rPr>
            </w:pPr>
            <w:r>
              <w:rPr>
                <w:rFonts w:hint="eastAsia"/>
                <w:sz w:val="24"/>
              </w:rPr>
              <w:t>2.85</w:t>
            </w:r>
          </w:p>
        </w:tc>
        <w:tc>
          <w:tcPr>
            <w:tcW w:w="1420" w:type="dxa"/>
            <w:vAlign w:val="center"/>
          </w:tcPr>
          <w:p>
            <w:pPr>
              <w:pStyle w:val="Normal0"/>
              <w:jc w:val="center"/>
              <w:rPr>
                <w:rFonts w:hint="eastAsia"/>
                <w:sz w:val="24"/>
              </w:rPr>
            </w:pPr>
            <w:r>
              <w:rPr>
                <w:rFonts w:hint="eastAsia"/>
                <w:sz w:val="24"/>
              </w:rPr>
              <w:t>1.72</w:t>
            </w:r>
          </w:p>
        </w:tc>
        <w:tc>
          <w:tcPr>
            <w:tcW w:w="1421" w:type="dxa"/>
            <w:vAlign w:val="center"/>
          </w:tcPr>
          <w:p>
            <w:pPr>
              <w:pStyle w:val="Normal0"/>
              <w:jc w:val="center"/>
              <w:rPr>
                <w:rFonts w:hint="eastAsia"/>
                <w:sz w:val="24"/>
              </w:rPr>
            </w:pPr>
            <w:r>
              <w:rPr>
                <w:rFonts w:hint="eastAsia"/>
                <w:sz w:val="24"/>
              </w:rPr>
              <w:t>1.51</w:t>
            </w:r>
          </w:p>
        </w:tc>
        <w:tc>
          <w:tcPr>
            <w:tcW w:w="1421" w:type="dxa"/>
            <w:tcBorders>
              <w:right w:val="single" w:sz="4" w:space="0" w:color="auto"/>
            </w:tcBorders>
            <w:vAlign w:val="center"/>
          </w:tcPr>
          <w:p>
            <w:pPr>
              <w:pStyle w:val="Normal0"/>
              <w:jc w:val="center"/>
              <w:rPr>
                <w:rFonts w:hint="eastAsia"/>
                <w:sz w:val="24"/>
              </w:rPr>
            </w:pPr>
            <w:r>
              <w:rPr>
                <w:rFonts w:hint="eastAsia"/>
                <w:sz w:val="24"/>
              </w:rPr>
              <w:t>2.03</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WNW</w:t>
            </w:r>
          </w:p>
        </w:tc>
        <w:tc>
          <w:tcPr>
            <w:tcW w:w="1420" w:type="dxa"/>
            <w:vAlign w:val="center"/>
          </w:tcPr>
          <w:p>
            <w:pPr>
              <w:pStyle w:val="Normal0"/>
              <w:jc w:val="center"/>
              <w:rPr>
                <w:rFonts w:hint="eastAsia"/>
                <w:sz w:val="24"/>
              </w:rPr>
            </w:pPr>
            <w:r>
              <w:rPr>
                <w:rFonts w:hint="eastAsia"/>
                <w:sz w:val="24"/>
              </w:rPr>
              <w:t>3.79</w:t>
            </w:r>
          </w:p>
        </w:tc>
        <w:tc>
          <w:tcPr>
            <w:tcW w:w="1420" w:type="dxa"/>
            <w:vAlign w:val="center"/>
          </w:tcPr>
          <w:p>
            <w:pPr>
              <w:pStyle w:val="Normal0"/>
              <w:jc w:val="center"/>
              <w:rPr>
                <w:rFonts w:hint="eastAsia"/>
                <w:sz w:val="24"/>
              </w:rPr>
            </w:pPr>
            <w:r>
              <w:rPr>
                <w:rFonts w:hint="eastAsia"/>
                <w:sz w:val="24"/>
              </w:rPr>
              <w:t>1.90</w:t>
            </w:r>
          </w:p>
        </w:tc>
        <w:tc>
          <w:tcPr>
            <w:tcW w:w="1420" w:type="dxa"/>
            <w:vAlign w:val="center"/>
          </w:tcPr>
          <w:p>
            <w:pPr>
              <w:pStyle w:val="Normal0"/>
              <w:jc w:val="center"/>
              <w:rPr>
                <w:rFonts w:hint="eastAsia"/>
                <w:sz w:val="24"/>
              </w:rPr>
            </w:pPr>
            <w:r>
              <w:rPr>
                <w:rFonts w:hint="eastAsia"/>
                <w:sz w:val="24"/>
              </w:rPr>
              <w:t>1.90</w:t>
            </w:r>
          </w:p>
        </w:tc>
        <w:tc>
          <w:tcPr>
            <w:tcW w:w="1421" w:type="dxa"/>
            <w:vAlign w:val="center"/>
          </w:tcPr>
          <w:p>
            <w:pPr>
              <w:pStyle w:val="Normal0"/>
              <w:jc w:val="center"/>
              <w:rPr>
                <w:rFonts w:hint="eastAsia"/>
                <w:sz w:val="24"/>
              </w:rPr>
            </w:pPr>
            <w:r>
              <w:rPr>
                <w:rFonts w:hint="eastAsia"/>
                <w:sz w:val="24"/>
              </w:rPr>
              <w:t>6.52</w:t>
            </w:r>
          </w:p>
        </w:tc>
        <w:tc>
          <w:tcPr>
            <w:tcW w:w="1421" w:type="dxa"/>
            <w:tcBorders>
              <w:right w:val="single" w:sz="4" w:space="0" w:color="auto"/>
            </w:tcBorders>
            <w:vAlign w:val="center"/>
          </w:tcPr>
          <w:p>
            <w:pPr>
              <w:pStyle w:val="Normal0"/>
              <w:jc w:val="center"/>
              <w:rPr>
                <w:rFonts w:hint="eastAsia"/>
                <w:sz w:val="24"/>
              </w:rPr>
            </w:pPr>
            <w:r>
              <w:rPr>
                <w:rFonts w:hint="eastAsia"/>
                <w:sz w:val="24"/>
              </w:rPr>
              <w:t>4.24</w:t>
            </w:r>
          </w:p>
        </w:tc>
      </w:tr>
      <w:tr>
        <w:tblPrEx>
          <w:tblW w:w="0" w:type="auto"/>
          <w:tblInd w:w="0" w:type="dxa"/>
          <w:tblLayout w:type="fixed"/>
          <w:tblCellMar>
            <w:top w:w="0" w:type="dxa"/>
            <w:left w:w="108" w:type="dxa"/>
            <w:bottom w:w="0" w:type="dxa"/>
            <w:right w:w="108" w:type="dxa"/>
          </w:tblCellMar>
        </w:tblPrEx>
        <w:tc>
          <w:tcPr>
            <w:tcW w:w="1420" w:type="dxa"/>
            <w:tcBorders>
              <w:left w:val="single" w:sz="4" w:space="0" w:color="auto"/>
            </w:tcBorders>
            <w:vAlign w:val="center"/>
          </w:tcPr>
          <w:p>
            <w:pPr>
              <w:pStyle w:val="Normal0"/>
              <w:jc w:val="center"/>
              <w:rPr>
                <w:rFonts w:hint="eastAsia"/>
                <w:sz w:val="24"/>
              </w:rPr>
            </w:pPr>
            <w:r>
              <w:rPr>
                <w:rFonts w:hint="eastAsia"/>
                <w:sz w:val="24"/>
              </w:rPr>
              <w:t>NW</w:t>
            </w:r>
          </w:p>
        </w:tc>
        <w:tc>
          <w:tcPr>
            <w:tcW w:w="1420" w:type="dxa"/>
            <w:vAlign w:val="center"/>
          </w:tcPr>
          <w:p>
            <w:pPr>
              <w:pStyle w:val="Normal0"/>
              <w:jc w:val="center"/>
              <w:rPr>
                <w:rFonts w:hint="eastAsia"/>
                <w:sz w:val="24"/>
              </w:rPr>
            </w:pPr>
            <w:r>
              <w:rPr>
                <w:rFonts w:hint="eastAsia"/>
                <w:sz w:val="24"/>
              </w:rPr>
              <w:t>12.66</w:t>
            </w:r>
          </w:p>
        </w:tc>
        <w:tc>
          <w:tcPr>
            <w:tcW w:w="1420" w:type="dxa"/>
            <w:vAlign w:val="center"/>
          </w:tcPr>
          <w:p>
            <w:pPr>
              <w:pStyle w:val="Normal0"/>
              <w:jc w:val="center"/>
              <w:rPr>
                <w:rFonts w:hint="eastAsia"/>
                <w:sz w:val="24"/>
              </w:rPr>
            </w:pPr>
            <w:r>
              <w:rPr>
                <w:rFonts w:hint="eastAsia"/>
                <w:sz w:val="24"/>
              </w:rPr>
              <w:t>5.77</w:t>
            </w:r>
          </w:p>
        </w:tc>
        <w:tc>
          <w:tcPr>
            <w:tcW w:w="1420" w:type="dxa"/>
            <w:vAlign w:val="center"/>
          </w:tcPr>
          <w:p>
            <w:pPr>
              <w:pStyle w:val="Normal0"/>
              <w:jc w:val="center"/>
              <w:rPr>
                <w:rFonts w:hint="eastAsia"/>
                <w:sz w:val="24"/>
              </w:rPr>
            </w:pPr>
            <w:r>
              <w:rPr>
                <w:rFonts w:hint="eastAsia"/>
                <w:sz w:val="24"/>
              </w:rPr>
              <w:t>3.58</w:t>
            </w:r>
          </w:p>
        </w:tc>
        <w:tc>
          <w:tcPr>
            <w:tcW w:w="1421" w:type="dxa"/>
            <w:vAlign w:val="center"/>
          </w:tcPr>
          <w:p>
            <w:pPr>
              <w:pStyle w:val="Normal0"/>
              <w:jc w:val="center"/>
              <w:rPr>
                <w:rFonts w:hint="eastAsia"/>
                <w:sz w:val="24"/>
              </w:rPr>
            </w:pPr>
            <w:r>
              <w:rPr>
                <w:rFonts w:hint="eastAsia"/>
                <w:sz w:val="24"/>
              </w:rPr>
              <w:t>13.97</w:t>
            </w:r>
          </w:p>
        </w:tc>
        <w:tc>
          <w:tcPr>
            <w:tcW w:w="1421" w:type="dxa"/>
            <w:tcBorders>
              <w:right w:val="single" w:sz="4" w:space="0" w:color="auto"/>
            </w:tcBorders>
            <w:vAlign w:val="center"/>
          </w:tcPr>
          <w:p>
            <w:pPr>
              <w:pStyle w:val="Normal0"/>
              <w:jc w:val="center"/>
              <w:rPr>
                <w:rFonts w:hint="eastAsia"/>
                <w:sz w:val="24"/>
              </w:rPr>
            </w:pPr>
            <w:r>
              <w:rPr>
                <w:rFonts w:hint="eastAsia"/>
                <w:sz w:val="24"/>
              </w:rPr>
              <w:t>9.83</w:t>
            </w:r>
          </w:p>
        </w:tc>
      </w:tr>
    </w:tbl>
    <w:p>
      <w:pPr>
        <w:sectPr>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0"/>
        <w:gridCol w:w="1420"/>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57"/>
        </w:trPr>
        <w:tc>
          <w:tcPr>
            <w:tcW w:w="1420" w:type="dxa"/>
            <w:tcBorders>
              <w:left w:val="single" w:sz="4" w:space="0" w:color="auto"/>
            </w:tcBorders>
            <w:vAlign w:val="center"/>
          </w:tcPr>
          <w:p>
            <w:pPr>
              <w:pStyle w:val="Normal0"/>
              <w:jc w:val="center"/>
              <w:rPr>
                <w:rFonts w:hint="eastAsia"/>
                <w:sz w:val="24"/>
              </w:rPr>
            </w:pPr>
            <w:r>
              <w:rPr>
                <w:rFonts w:hint="eastAsia"/>
                <w:sz w:val="24"/>
              </w:rPr>
              <w:t>NNW</w:t>
            </w:r>
          </w:p>
        </w:tc>
        <w:tc>
          <w:tcPr>
            <w:tcW w:w="1420" w:type="dxa"/>
            <w:vAlign w:val="center"/>
          </w:tcPr>
          <w:p>
            <w:pPr>
              <w:pStyle w:val="Normal0"/>
              <w:jc w:val="center"/>
              <w:rPr>
                <w:rFonts w:hint="eastAsia"/>
                <w:sz w:val="24"/>
              </w:rPr>
            </w:pPr>
            <w:r>
              <w:rPr>
                <w:rFonts w:hint="eastAsia"/>
                <w:sz w:val="24"/>
              </w:rPr>
              <w:t>12.57</w:t>
            </w:r>
          </w:p>
        </w:tc>
        <w:tc>
          <w:tcPr>
            <w:tcW w:w="1420" w:type="dxa"/>
            <w:vAlign w:val="center"/>
          </w:tcPr>
          <w:p>
            <w:pPr>
              <w:pStyle w:val="Normal0"/>
              <w:jc w:val="center"/>
              <w:rPr>
                <w:rFonts w:hint="eastAsia"/>
                <w:sz w:val="24"/>
              </w:rPr>
            </w:pPr>
            <w:r>
              <w:rPr>
                <w:rFonts w:hint="eastAsia"/>
                <w:sz w:val="24"/>
              </w:rPr>
              <w:t>7.22</w:t>
            </w:r>
          </w:p>
        </w:tc>
        <w:tc>
          <w:tcPr>
            <w:tcW w:w="1420" w:type="dxa"/>
            <w:vAlign w:val="center"/>
          </w:tcPr>
          <w:p>
            <w:pPr>
              <w:pStyle w:val="Normal0"/>
              <w:jc w:val="center"/>
              <w:rPr>
                <w:rFonts w:hint="eastAsia"/>
                <w:sz w:val="24"/>
              </w:rPr>
            </w:pPr>
            <w:r>
              <w:rPr>
                <w:rFonts w:hint="eastAsia"/>
                <w:sz w:val="24"/>
              </w:rPr>
              <w:t>3.56</w:t>
            </w:r>
          </w:p>
        </w:tc>
        <w:tc>
          <w:tcPr>
            <w:tcW w:w="1421" w:type="dxa"/>
            <w:vAlign w:val="center"/>
          </w:tcPr>
          <w:p>
            <w:pPr>
              <w:pStyle w:val="Normal0"/>
              <w:jc w:val="center"/>
              <w:rPr>
                <w:rFonts w:hint="eastAsia"/>
                <w:sz w:val="24"/>
              </w:rPr>
            </w:pPr>
            <w:r>
              <w:rPr>
                <w:rFonts w:hint="eastAsia"/>
                <w:sz w:val="24"/>
              </w:rPr>
              <w:t>11.48</w:t>
            </w:r>
          </w:p>
        </w:tc>
        <w:tc>
          <w:tcPr>
            <w:tcW w:w="1421" w:type="dxa"/>
            <w:tcBorders>
              <w:right w:val="single" w:sz="4" w:space="0" w:color="auto"/>
            </w:tcBorders>
            <w:vAlign w:val="center"/>
          </w:tcPr>
          <w:p>
            <w:pPr>
              <w:pStyle w:val="Normal0"/>
              <w:jc w:val="center"/>
              <w:rPr>
                <w:rFonts w:hint="eastAsia"/>
                <w:sz w:val="24"/>
              </w:rPr>
            </w:pPr>
            <w:r>
              <w:rPr>
                <w:rFonts w:hint="eastAsia"/>
                <w:sz w:val="24"/>
              </w:rPr>
              <w:t>9.08</w:t>
            </w:r>
          </w:p>
        </w:tc>
      </w:tr>
    </w:tbl>
    <w:p>
      <w:pPr>
        <w:pStyle w:val="Heading3"/>
        <w:rPr>
          <w:rFonts w:hint="eastAsia"/>
        </w:rPr>
      </w:pPr>
      <w:bookmarkStart w:id="32" w:name="_Toc41648513"/>
      <w:r>
        <w:rPr>
          <w:rFonts w:hint="eastAsia"/>
        </w:rPr>
        <w:t>2.2.3地质地貌</w:t>
      </w:r>
      <w:bookmarkEnd w:id="32"/>
    </w:p>
    <w:p>
      <w:pPr>
        <w:pStyle w:val="Normal0"/>
        <w:snapToGrid w:val="0"/>
        <w:spacing w:line="360" w:lineRule="auto"/>
        <w:jc w:val="left"/>
        <w:rPr>
          <w:rFonts w:hint="eastAsia"/>
          <w:sz w:val="28"/>
        </w:rPr>
      </w:pPr>
      <w:r>
        <w:rPr>
          <w:rFonts w:hint="eastAsia"/>
          <w:sz w:val="28"/>
        </w:rPr>
        <w:t xml:space="preserve">    杭州市大地构造处于扬子准地台东部钱塘台褶带，中元古代以后，地层发育齐全，岩浆作用频繁，地质复杂，近期由于现代构造运动趋向缓和，地震活动显得微弱，地壳相当稳定。</w:t>
      </w:r>
    </w:p>
    <w:p>
      <w:pPr>
        <w:pStyle w:val="Normal0"/>
        <w:snapToGrid w:val="0"/>
        <w:spacing w:line="360" w:lineRule="auto"/>
        <w:jc w:val="left"/>
        <w:rPr>
          <w:rFonts w:hint="eastAsia"/>
          <w:sz w:val="28"/>
        </w:rPr>
      </w:pPr>
      <w:r>
        <w:rPr>
          <w:rFonts w:hint="eastAsia"/>
          <w:sz w:val="28"/>
        </w:rPr>
        <w:t xml:space="preserve">    杭州市地貌分为山地、丘陵和平原三部分，自西向东地貌结构的层次和区域过渡十分明显。</w:t>
      </w:r>
      <w:r>
        <w:rPr>
          <w:rFonts w:hint="eastAsia"/>
          <w:sz w:val="28"/>
          <w:lang w:eastAsia="zh-CN"/>
        </w:rPr>
        <w:t>相关项目</w:t>
      </w:r>
      <w:r>
        <w:rPr>
          <w:rFonts w:hint="eastAsia"/>
          <w:sz w:val="28"/>
        </w:rPr>
        <w:t>所在地地貌属钱塘江平原亚区，在全新世纪中、晚期由江水携带来的泥沙堆积而成，地势平坦，地面高度4.5~7.5米，本</w:t>
      </w:r>
      <w:r>
        <w:rPr>
          <w:rFonts w:hint="eastAsia"/>
          <w:sz w:val="28"/>
          <w:lang w:eastAsia="zh-CN"/>
        </w:rPr>
        <w:t>相关项目</w:t>
      </w:r>
      <w:r>
        <w:rPr>
          <w:rFonts w:hint="eastAsia"/>
          <w:sz w:val="28"/>
        </w:rPr>
        <w:t>所在地的表层为冲积、湖积、湖沼积深灰、灰、褐灰色轻亚粘土、粘土层组成。</w:t>
      </w:r>
    </w:p>
    <w:p>
      <w:pPr>
        <w:pStyle w:val="Normal0"/>
        <w:snapToGrid w:val="0"/>
        <w:spacing w:line="360" w:lineRule="auto"/>
        <w:jc w:val="left"/>
        <w:rPr>
          <w:rFonts w:hint="eastAsia"/>
          <w:sz w:val="28"/>
        </w:rPr>
      </w:pPr>
    </w:p>
    <w:p>
      <w:pPr>
        <w:pStyle w:val="Normal0"/>
        <w:snapToGrid w:val="0"/>
        <w:spacing w:line="360" w:lineRule="auto"/>
        <w:jc w:val="left"/>
        <w:rPr>
          <w:rFonts w:hint="eastAsia"/>
          <w:sz w:val="28"/>
        </w:rPr>
      </w:pPr>
    </w:p>
    <w:p>
      <w:pPr>
        <w:pStyle w:val="Normal0"/>
        <w:snapToGrid w:val="0"/>
        <w:spacing w:line="520" w:lineRule="exact"/>
        <w:jc w:val="center"/>
        <w:rPr>
          <w:rFonts w:eastAsia="黑体" w:hint="eastAsia"/>
          <w:b/>
          <w:sz w:val="32"/>
        </w:rPr>
        <w:sectPr>
          <w:type w:val="nextPage"/>
          <w:pgSz w:w="11906" w:h="16838"/>
          <w:pgMar w:top="1440" w:right="1800" w:bottom="1440" w:left="1800" w:header="851" w:footer="992" w:gutter="0"/>
          <w:pgNumType w:start="18"/>
          <w:cols w:num="1" w:space="425"/>
          <w:titlePg w:val="0"/>
          <w:docGrid w:type="lines" w:linePitch="312" w:charSpace="0"/>
        </w:sectPr>
      </w:pPr>
    </w:p>
    <w:p>
      <w:pPr>
        <w:pStyle w:val="Heading1"/>
        <w:rPr>
          <w:rFonts w:hint="eastAsia"/>
        </w:rPr>
      </w:pPr>
      <w:bookmarkStart w:id="33" w:name="_Toc41648514"/>
      <w:r>
        <w:rPr>
          <w:rFonts w:hint="eastAsia"/>
        </w:rPr>
        <w:t>第三章  环境质量及现状污染源调查</w:t>
      </w:r>
      <w:bookmarkEnd w:id="33"/>
    </w:p>
    <w:p>
      <w:pPr>
        <w:pStyle w:val="Heading2"/>
        <w:rPr>
          <w:rFonts w:hint="eastAsia"/>
        </w:rPr>
      </w:pPr>
      <w:bookmarkStart w:id="34" w:name="_Toc30146562"/>
      <w:bookmarkStart w:id="35" w:name="_Toc41648515"/>
      <w:r>
        <w:t>3.1</w:t>
      </w:r>
      <w:r>
        <w:rPr>
          <w:rFonts w:hint="eastAsia"/>
        </w:rPr>
        <w:t>环境空气质量现状及废气</w:t>
      </w:r>
      <w:bookmarkEnd w:id="34"/>
      <w:r>
        <w:rPr>
          <w:rFonts w:hint="eastAsia"/>
        </w:rPr>
        <w:t>排放</w:t>
      </w:r>
      <w:bookmarkEnd w:id="35"/>
    </w:p>
    <w:p>
      <w:pPr>
        <w:pStyle w:val="Heading3"/>
        <w:rPr>
          <w:rFonts w:hint="eastAsia"/>
        </w:rPr>
      </w:pPr>
      <w:bookmarkStart w:id="36" w:name="_Toc41648516"/>
      <w:r>
        <w:rPr>
          <w:rFonts w:hint="eastAsia"/>
        </w:rPr>
        <w:t>3.1.1环境空气质量现状</w:t>
      </w:r>
      <w:bookmarkEnd w:id="36"/>
    </w:p>
    <w:p>
      <w:pPr>
        <w:pStyle w:val="Normal0"/>
        <w:snapToGrid w:val="0"/>
        <w:spacing w:line="360" w:lineRule="auto"/>
        <w:rPr>
          <w:rFonts w:hint="eastAsia"/>
          <w:sz w:val="28"/>
        </w:rPr>
      </w:pPr>
      <w:r>
        <w:rPr>
          <w:rFonts w:hint="eastAsia"/>
          <w:sz w:val="28"/>
        </w:rPr>
        <w:t xml:space="preserve">    本区域的环境质量现状采用灵隐地区监测数据，由于该区域与灵隐风景区相接，故引用灵隐地区监测数据是合理的。其监测结果见下表3-1。</w:t>
      </w:r>
    </w:p>
    <w:p>
      <w:pPr>
        <w:pStyle w:val="Normal0"/>
        <w:snapToGrid w:val="0"/>
        <w:spacing w:line="360" w:lineRule="auto"/>
        <w:jc w:val="center"/>
        <w:rPr>
          <w:rFonts w:hint="eastAsia"/>
          <w:sz w:val="28"/>
        </w:rPr>
      </w:pPr>
      <w:r>
        <w:rPr>
          <w:rFonts w:hint="eastAsia"/>
          <w:sz w:val="28"/>
        </w:rPr>
        <w:t>表3-1  环境空气质量现状监测结果</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8"/>
        <w:gridCol w:w="2880"/>
        <w:gridCol w:w="1404"/>
        <w:gridCol w:w="1704"/>
        <w:gridCol w:w="170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3708" w:type="dxa"/>
            <w:gridSpan w:val="2"/>
          </w:tcPr>
          <w:p>
            <w:pPr>
              <w:pStyle w:val="Normal0"/>
              <w:snapToGrid w:val="0"/>
              <w:jc w:val="center"/>
              <w:rPr>
                <w:rFonts w:hint="eastAsia"/>
                <w:sz w:val="24"/>
              </w:rPr>
            </w:pPr>
            <w:r>
              <w:rPr>
                <w:rFonts w:hint="eastAsia"/>
                <w:sz w:val="24"/>
              </w:rPr>
              <w:t>项   目</w:t>
            </w:r>
          </w:p>
        </w:tc>
        <w:tc>
          <w:tcPr>
            <w:tcW w:w="1404" w:type="dxa"/>
          </w:tcPr>
          <w:p>
            <w:pPr>
              <w:pStyle w:val="Normal0"/>
              <w:snapToGrid w:val="0"/>
              <w:jc w:val="center"/>
              <w:rPr>
                <w:rFonts w:hint="eastAsia"/>
                <w:sz w:val="24"/>
              </w:rPr>
            </w:pPr>
            <w:r>
              <w:rPr>
                <w:rFonts w:hint="eastAsia"/>
                <w:sz w:val="24"/>
              </w:rPr>
              <w:t>单  位</w:t>
            </w:r>
          </w:p>
        </w:tc>
        <w:tc>
          <w:tcPr>
            <w:tcW w:w="1704" w:type="dxa"/>
          </w:tcPr>
          <w:p>
            <w:pPr>
              <w:pStyle w:val="Normal0"/>
              <w:snapToGrid w:val="0"/>
              <w:jc w:val="center"/>
              <w:rPr>
                <w:rFonts w:hint="eastAsia"/>
                <w:sz w:val="24"/>
              </w:rPr>
            </w:pPr>
            <w:r>
              <w:rPr>
                <w:rFonts w:hint="eastAsia"/>
                <w:sz w:val="24"/>
              </w:rPr>
              <w:t>上天竺</w:t>
            </w:r>
          </w:p>
        </w:tc>
        <w:tc>
          <w:tcPr>
            <w:tcW w:w="1704" w:type="dxa"/>
          </w:tcPr>
          <w:p>
            <w:pPr>
              <w:pStyle w:val="Normal0"/>
              <w:snapToGrid w:val="0"/>
              <w:rPr>
                <w:rFonts w:hint="eastAsia"/>
                <w:sz w:val="24"/>
              </w:rPr>
            </w:pPr>
            <w:r>
              <w:rPr>
                <w:rFonts w:hint="eastAsia"/>
                <w:sz w:val="24"/>
              </w:rPr>
              <w:t>中华石窟</w:t>
            </w:r>
          </w:p>
        </w:tc>
      </w:tr>
      <w:tr>
        <w:tblPrEx>
          <w:tblW w:w="0" w:type="auto"/>
          <w:tblInd w:w="0" w:type="dxa"/>
          <w:tblLayout w:type="fixed"/>
          <w:tblCellMar>
            <w:top w:w="0" w:type="dxa"/>
            <w:left w:w="108" w:type="dxa"/>
            <w:bottom w:w="0" w:type="dxa"/>
            <w:right w:w="108" w:type="dxa"/>
          </w:tblCellMar>
        </w:tblPrEx>
        <w:trPr>
          <w:cantSplit/>
        </w:trPr>
        <w:tc>
          <w:tcPr>
            <w:tcW w:w="828" w:type="dxa"/>
            <w:vMerge w:val="restart"/>
            <w:vAlign w:val="center"/>
          </w:tcPr>
          <w:p>
            <w:pPr>
              <w:pStyle w:val="BodyText"/>
              <w:jc w:val="center"/>
              <w:rPr>
                <w:rFonts w:hint="eastAsia"/>
                <w:sz w:val="24"/>
              </w:rPr>
            </w:pPr>
            <w:r>
              <w:rPr>
                <w:rFonts w:hint="eastAsia"/>
                <w:sz w:val="24"/>
              </w:rPr>
              <w:t>NO</w:t>
            </w:r>
            <w:r>
              <w:rPr>
                <w:rFonts w:hint="eastAsia"/>
                <w:sz w:val="24"/>
                <w:vertAlign w:val="subscript"/>
              </w:rPr>
              <w:t>2</w:t>
            </w:r>
          </w:p>
        </w:tc>
        <w:tc>
          <w:tcPr>
            <w:tcW w:w="2880" w:type="dxa"/>
          </w:tcPr>
          <w:p>
            <w:pPr>
              <w:pStyle w:val="Normal0"/>
              <w:snapToGrid w:val="0"/>
              <w:rPr>
                <w:rFonts w:hint="eastAsia"/>
                <w:sz w:val="24"/>
              </w:rPr>
            </w:pPr>
            <w:r>
              <w:rPr>
                <w:rFonts w:hint="eastAsia"/>
                <w:sz w:val="24"/>
              </w:rPr>
              <w:t>1小时浓度范围</w:t>
            </w:r>
          </w:p>
        </w:tc>
        <w:tc>
          <w:tcPr>
            <w:tcW w:w="1404" w:type="dxa"/>
          </w:tcPr>
          <w:p>
            <w:pPr>
              <w:pStyle w:val="Normal0"/>
              <w:snapToGrid w:val="0"/>
              <w:jc w:val="center"/>
              <w:rPr>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0.023~0.047</w:t>
            </w:r>
          </w:p>
        </w:tc>
        <w:tc>
          <w:tcPr>
            <w:tcW w:w="1704" w:type="dxa"/>
          </w:tcPr>
          <w:p>
            <w:pPr>
              <w:pStyle w:val="Normal0"/>
              <w:snapToGrid w:val="0"/>
              <w:jc w:val="center"/>
              <w:rPr>
                <w:rFonts w:hint="eastAsia"/>
                <w:sz w:val="24"/>
              </w:rPr>
            </w:pPr>
            <w:r>
              <w:rPr>
                <w:rFonts w:hint="eastAsia"/>
                <w:sz w:val="24"/>
              </w:rPr>
              <w:t>0.013~0.047</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1小时最大浓度比标值</w:t>
            </w:r>
          </w:p>
        </w:tc>
        <w:tc>
          <w:tcPr>
            <w:tcW w:w="1404" w:type="dxa"/>
          </w:tcPr>
          <w:p>
            <w:pPr>
              <w:pStyle w:val="Normal0"/>
              <w:snapToGrid w:val="0"/>
              <w:jc w:val="center"/>
              <w:rPr>
                <w:rFonts w:hint="eastAsia"/>
                <w:sz w:val="24"/>
              </w:rPr>
            </w:pPr>
          </w:p>
        </w:tc>
        <w:tc>
          <w:tcPr>
            <w:tcW w:w="1704" w:type="dxa"/>
          </w:tcPr>
          <w:p>
            <w:pPr>
              <w:pStyle w:val="Normal0"/>
              <w:snapToGrid w:val="0"/>
              <w:jc w:val="center"/>
              <w:rPr>
                <w:rFonts w:hint="eastAsia"/>
                <w:sz w:val="24"/>
              </w:rPr>
            </w:pPr>
            <w:r>
              <w:rPr>
                <w:rFonts w:hint="eastAsia"/>
                <w:sz w:val="24"/>
              </w:rPr>
              <w:t>0.39</w:t>
            </w:r>
          </w:p>
        </w:tc>
        <w:tc>
          <w:tcPr>
            <w:tcW w:w="1704" w:type="dxa"/>
          </w:tcPr>
          <w:p>
            <w:pPr>
              <w:pStyle w:val="Normal0"/>
              <w:snapToGrid w:val="0"/>
              <w:jc w:val="center"/>
              <w:rPr>
                <w:rFonts w:hint="eastAsia"/>
                <w:sz w:val="24"/>
              </w:rPr>
            </w:pPr>
            <w:r>
              <w:rPr>
                <w:rFonts w:hint="eastAsia"/>
                <w:sz w:val="24"/>
              </w:rPr>
              <w:t>0.39</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日均浓度范围</w:t>
            </w:r>
          </w:p>
        </w:tc>
        <w:tc>
          <w:tcPr>
            <w:tcW w:w="1404" w:type="dxa"/>
          </w:tcPr>
          <w:p>
            <w:pPr>
              <w:pStyle w:val="Normal0"/>
              <w:snapToGrid w:val="0"/>
              <w:jc w:val="center"/>
              <w:rPr>
                <w:rFonts w:hint="eastAsia"/>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0.035~0.058</w:t>
            </w:r>
          </w:p>
        </w:tc>
        <w:tc>
          <w:tcPr>
            <w:tcW w:w="1704" w:type="dxa"/>
          </w:tcPr>
          <w:p>
            <w:pPr>
              <w:pStyle w:val="Normal0"/>
              <w:snapToGrid w:val="0"/>
              <w:jc w:val="center"/>
              <w:rPr>
                <w:rFonts w:hint="eastAsia"/>
                <w:sz w:val="24"/>
              </w:rPr>
            </w:pPr>
            <w:r>
              <w:rPr>
                <w:rFonts w:hint="eastAsia"/>
                <w:sz w:val="24"/>
              </w:rPr>
              <w:t>0.030~0.058</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三日平均浓度</w:t>
            </w:r>
          </w:p>
        </w:tc>
        <w:tc>
          <w:tcPr>
            <w:tcW w:w="1404" w:type="dxa"/>
          </w:tcPr>
          <w:p>
            <w:pPr>
              <w:pStyle w:val="Normal0"/>
              <w:snapToGrid w:val="0"/>
              <w:jc w:val="center"/>
              <w:rPr>
                <w:rFonts w:hint="eastAsia"/>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0.043</w:t>
            </w:r>
          </w:p>
        </w:tc>
        <w:tc>
          <w:tcPr>
            <w:tcW w:w="1704" w:type="dxa"/>
          </w:tcPr>
          <w:p>
            <w:pPr>
              <w:pStyle w:val="Normal0"/>
              <w:snapToGrid w:val="0"/>
              <w:jc w:val="center"/>
              <w:rPr>
                <w:rFonts w:hint="eastAsia"/>
                <w:sz w:val="24"/>
              </w:rPr>
            </w:pPr>
            <w:r>
              <w:rPr>
                <w:rFonts w:hint="eastAsia"/>
                <w:sz w:val="24"/>
              </w:rPr>
              <w:t>0.042</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日均超标率</w:t>
            </w:r>
          </w:p>
        </w:tc>
        <w:tc>
          <w:tcPr>
            <w:tcW w:w="1404" w:type="dxa"/>
          </w:tcPr>
          <w:p>
            <w:pPr>
              <w:pStyle w:val="Normal0"/>
              <w:snapToGrid w:val="0"/>
              <w:jc w:val="center"/>
              <w:rPr>
                <w:rFonts w:hint="eastAsia"/>
                <w:sz w:val="24"/>
              </w:rPr>
            </w:pPr>
            <w:r>
              <w:rPr>
                <w:rFonts w:hint="eastAsia"/>
                <w:sz w:val="24"/>
              </w:rPr>
              <w:t>%</w:t>
            </w:r>
          </w:p>
        </w:tc>
        <w:tc>
          <w:tcPr>
            <w:tcW w:w="1704" w:type="dxa"/>
          </w:tcPr>
          <w:p>
            <w:pPr>
              <w:pStyle w:val="Normal0"/>
              <w:snapToGrid w:val="0"/>
              <w:jc w:val="center"/>
              <w:rPr>
                <w:rFonts w:hint="eastAsia"/>
                <w:sz w:val="24"/>
              </w:rPr>
            </w:pPr>
            <w:r>
              <w:rPr>
                <w:rFonts w:hint="eastAsia"/>
                <w:sz w:val="24"/>
              </w:rPr>
              <w:t>0</w:t>
            </w:r>
          </w:p>
        </w:tc>
        <w:tc>
          <w:tcPr>
            <w:tcW w:w="1704" w:type="dxa"/>
          </w:tcPr>
          <w:p>
            <w:pPr>
              <w:pStyle w:val="Normal0"/>
              <w:snapToGrid w:val="0"/>
              <w:jc w:val="center"/>
              <w:rPr>
                <w:rFonts w:hint="eastAsia"/>
                <w:sz w:val="24"/>
              </w:rPr>
            </w:pPr>
            <w:r>
              <w:rPr>
                <w:rFonts w:hint="eastAsia"/>
                <w:sz w:val="24"/>
              </w:rPr>
              <w:t>0</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日均最大比标值</w:t>
            </w:r>
          </w:p>
        </w:tc>
        <w:tc>
          <w:tcPr>
            <w:tcW w:w="1404" w:type="dxa"/>
          </w:tcPr>
          <w:p>
            <w:pPr>
              <w:pStyle w:val="Normal0"/>
              <w:snapToGrid w:val="0"/>
              <w:jc w:val="center"/>
              <w:rPr>
                <w:rFonts w:hint="eastAsia"/>
                <w:sz w:val="24"/>
              </w:rPr>
            </w:pPr>
          </w:p>
        </w:tc>
        <w:tc>
          <w:tcPr>
            <w:tcW w:w="1704" w:type="dxa"/>
          </w:tcPr>
          <w:p>
            <w:pPr>
              <w:pStyle w:val="Normal0"/>
              <w:snapToGrid w:val="0"/>
              <w:jc w:val="center"/>
              <w:rPr>
                <w:rFonts w:hint="eastAsia"/>
                <w:sz w:val="24"/>
              </w:rPr>
            </w:pPr>
            <w:r>
              <w:rPr>
                <w:rFonts w:hint="eastAsia"/>
                <w:sz w:val="24"/>
              </w:rPr>
              <w:t>0.725</w:t>
            </w:r>
          </w:p>
        </w:tc>
        <w:tc>
          <w:tcPr>
            <w:tcW w:w="1704" w:type="dxa"/>
          </w:tcPr>
          <w:p>
            <w:pPr>
              <w:pStyle w:val="Normal0"/>
              <w:snapToGrid w:val="0"/>
              <w:jc w:val="center"/>
              <w:rPr>
                <w:rFonts w:hint="eastAsia"/>
                <w:sz w:val="24"/>
              </w:rPr>
            </w:pPr>
            <w:r>
              <w:rPr>
                <w:rFonts w:hint="eastAsia"/>
                <w:sz w:val="24"/>
              </w:rPr>
              <w:t>0.725</w:t>
            </w:r>
          </w:p>
        </w:tc>
      </w:tr>
      <w:tr>
        <w:tblPrEx>
          <w:tblW w:w="0" w:type="auto"/>
          <w:tblInd w:w="0" w:type="dxa"/>
          <w:tblLayout w:type="fixed"/>
          <w:tblCellMar>
            <w:top w:w="0" w:type="dxa"/>
            <w:left w:w="108" w:type="dxa"/>
            <w:bottom w:w="0" w:type="dxa"/>
            <w:right w:w="108" w:type="dxa"/>
          </w:tblCellMar>
        </w:tblPrEx>
        <w:trPr>
          <w:cantSplit/>
        </w:trPr>
        <w:tc>
          <w:tcPr>
            <w:tcW w:w="828" w:type="dxa"/>
            <w:vMerge w:val="restart"/>
            <w:vAlign w:val="center"/>
          </w:tcPr>
          <w:p>
            <w:pPr>
              <w:pStyle w:val="BodyText"/>
              <w:jc w:val="center"/>
              <w:rPr>
                <w:rFonts w:hint="eastAsia"/>
                <w:sz w:val="24"/>
              </w:rPr>
            </w:pPr>
            <w:r>
              <w:rPr>
                <w:rFonts w:hint="eastAsia"/>
                <w:sz w:val="24"/>
              </w:rPr>
              <w:t>TSP</w:t>
            </w:r>
          </w:p>
        </w:tc>
        <w:tc>
          <w:tcPr>
            <w:tcW w:w="2880" w:type="dxa"/>
          </w:tcPr>
          <w:p>
            <w:pPr>
              <w:pStyle w:val="Normal0"/>
              <w:snapToGrid w:val="0"/>
              <w:rPr>
                <w:rFonts w:hint="eastAsia"/>
                <w:sz w:val="24"/>
              </w:rPr>
            </w:pPr>
            <w:r>
              <w:rPr>
                <w:rFonts w:hint="eastAsia"/>
                <w:sz w:val="24"/>
              </w:rPr>
              <w:t>日均浓度范围</w:t>
            </w:r>
          </w:p>
        </w:tc>
        <w:tc>
          <w:tcPr>
            <w:tcW w:w="1404" w:type="dxa"/>
          </w:tcPr>
          <w:p>
            <w:pPr>
              <w:pStyle w:val="Normal0"/>
              <w:snapToGrid w:val="0"/>
              <w:jc w:val="center"/>
              <w:rPr>
                <w:rFonts w:hint="eastAsia"/>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0.185~0.209</w:t>
            </w:r>
          </w:p>
        </w:tc>
        <w:tc>
          <w:tcPr>
            <w:tcW w:w="1704" w:type="dxa"/>
          </w:tcPr>
          <w:p>
            <w:pPr>
              <w:pStyle w:val="Normal0"/>
              <w:snapToGrid w:val="0"/>
              <w:jc w:val="center"/>
              <w:rPr>
                <w:rFonts w:hint="eastAsia"/>
                <w:sz w:val="24"/>
              </w:rPr>
            </w:pPr>
            <w:r>
              <w:rPr>
                <w:rFonts w:hint="eastAsia"/>
                <w:sz w:val="24"/>
              </w:rPr>
              <w:t>0.130~0.200</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三日平均浓度</w:t>
            </w:r>
          </w:p>
        </w:tc>
        <w:tc>
          <w:tcPr>
            <w:tcW w:w="1404" w:type="dxa"/>
          </w:tcPr>
          <w:p>
            <w:pPr>
              <w:pStyle w:val="Normal0"/>
              <w:snapToGrid w:val="0"/>
              <w:jc w:val="center"/>
              <w:rPr>
                <w:rFonts w:hint="eastAsia"/>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0.195</w:t>
            </w:r>
          </w:p>
        </w:tc>
        <w:tc>
          <w:tcPr>
            <w:tcW w:w="1704" w:type="dxa"/>
          </w:tcPr>
          <w:p>
            <w:pPr>
              <w:pStyle w:val="Normal0"/>
              <w:snapToGrid w:val="0"/>
              <w:jc w:val="center"/>
              <w:rPr>
                <w:rFonts w:hint="eastAsia"/>
                <w:sz w:val="24"/>
              </w:rPr>
            </w:pPr>
            <w:r>
              <w:rPr>
                <w:rFonts w:hint="eastAsia"/>
                <w:sz w:val="24"/>
              </w:rPr>
              <w:t>0.164</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日均超标率</w:t>
            </w:r>
          </w:p>
        </w:tc>
        <w:tc>
          <w:tcPr>
            <w:tcW w:w="1404" w:type="dxa"/>
          </w:tcPr>
          <w:p>
            <w:pPr>
              <w:pStyle w:val="Normal0"/>
              <w:snapToGrid w:val="0"/>
              <w:jc w:val="center"/>
              <w:rPr>
                <w:rFonts w:hint="eastAsia"/>
                <w:sz w:val="24"/>
              </w:rPr>
            </w:pPr>
            <w:r>
              <w:rPr>
                <w:rFonts w:hint="eastAsia"/>
                <w:sz w:val="24"/>
              </w:rPr>
              <w:t>%</w:t>
            </w:r>
          </w:p>
        </w:tc>
        <w:tc>
          <w:tcPr>
            <w:tcW w:w="1704" w:type="dxa"/>
          </w:tcPr>
          <w:p>
            <w:pPr>
              <w:pStyle w:val="Normal0"/>
              <w:snapToGrid w:val="0"/>
              <w:jc w:val="center"/>
              <w:rPr>
                <w:rFonts w:hint="eastAsia"/>
                <w:sz w:val="24"/>
              </w:rPr>
            </w:pPr>
            <w:r>
              <w:rPr>
                <w:rFonts w:hint="eastAsia"/>
                <w:sz w:val="24"/>
              </w:rPr>
              <w:t>100</w:t>
            </w:r>
          </w:p>
        </w:tc>
        <w:tc>
          <w:tcPr>
            <w:tcW w:w="1704" w:type="dxa"/>
          </w:tcPr>
          <w:p>
            <w:pPr>
              <w:pStyle w:val="Normal0"/>
              <w:snapToGrid w:val="0"/>
              <w:jc w:val="center"/>
              <w:rPr>
                <w:rFonts w:hint="eastAsia"/>
                <w:sz w:val="24"/>
              </w:rPr>
            </w:pPr>
            <w:r>
              <w:rPr>
                <w:rFonts w:hint="eastAsia"/>
                <w:sz w:val="24"/>
              </w:rPr>
              <w:t>100</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日均最大比标值</w:t>
            </w:r>
          </w:p>
        </w:tc>
        <w:tc>
          <w:tcPr>
            <w:tcW w:w="1404" w:type="dxa"/>
          </w:tcPr>
          <w:p>
            <w:pPr>
              <w:pStyle w:val="Normal0"/>
              <w:snapToGrid w:val="0"/>
              <w:jc w:val="center"/>
              <w:rPr>
                <w:rFonts w:hint="eastAsia"/>
                <w:sz w:val="24"/>
              </w:rPr>
            </w:pPr>
          </w:p>
        </w:tc>
        <w:tc>
          <w:tcPr>
            <w:tcW w:w="1704" w:type="dxa"/>
          </w:tcPr>
          <w:p>
            <w:pPr>
              <w:pStyle w:val="Normal0"/>
              <w:snapToGrid w:val="0"/>
              <w:jc w:val="center"/>
              <w:rPr>
                <w:rFonts w:hint="eastAsia"/>
                <w:sz w:val="24"/>
              </w:rPr>
            </w:pPr>
            <w:r>
              <w:rPr>
                <w:rFonts w:hint="eastAsia"/>
                <w:sz w:val="24"/>
              </w:rPr>
              <w:t>1.742</w:t>
            </w:r>
          </w:p>
        </w:tc>
        <w:tc>
          <w:tcPr>
            <w:tcW w:w="1704" w:type="dxa"/>
          </w:tcPr>
          <w:p>
            <w:pPr>
              <w:pStyle w:val="Normal0"/>
              <w:snapToGrid w:val="0"/>
              <w:jc w:val="center"/>
              <w:rPr>
                <w:rFonts w:hint="eastAsia"/>
                <w:sz w:val="24"/>
              </w:rPr>
            </w:pPr>
            <w:r>
              <w:rPr>
                <w:rFonts w:hint="eastAsia"/>
                <w:sz w:val="24"/>
              </w:rPr>
              <w:t>1.667</w:t>
            </w:r>
          </w:p>
        </w:tc>
      </w:tr>
      <w:tr>
        <w:tblPrEx>
          <w:tblW w:w="0" w:type="auto"/>
          <w:tblInd w:w="0" w:type="dxa"/>
          <w:tblLayout w:type="fixed"/>
          <w:tblCellMar>
            <w:top w:w="0" w:type="dxa"/>
            <w:left w:w="108" w:type="dxa"/>
            <w:bottom w:w="0" w:type="dxa"/>
            <w:right w:w="108" w:type="dxa"/>
          </w:tblCellMar>
        </w:tblPrEx>
        <w:trPr>
          <w:cantSplit/>
        </w:trPr>
        <w:tc>
          <w:tcPr>
            <w:tcW w:w="828" w:type="dxa"/>
            <w:vMerge w:val="restart"/>
            <w:vAlign w:val="center"/>
          </w:tcPr>
          <w:p>
            <w:pPr>
              <w:pStyle w:val="BodyText"/>
              <w:jc w:val="center"/>
              <w:rPr>
                <w:rFonts w:hint="eastAsia"/>
                <w:sz w:val="24"/>
              </w:rPr>
            </w:pPr>
            <w:r>
              <w:rPr>
                <w:rFonts w:hint="eastAsia"/>
                <w:sz w:val="24"/>
              </w:rPr>
              <w:t>CO</w:t>
            </w:r>
          </w:p>
        </w:tc>
        <w:tc>
          <w:tcPr>
            <w:tcW w:w="2880" w:type="dxa"/>
          </w:tcPr>
          <w:p>
            <w:pPr>
              <w:pStyle w:val="Normal0"/>
              <w:snapToGrid w:val="0"/>
              <w:rPr>
                <w:rFonts w:hint="eastAsia"/>
                <w:sz w:val="24"/>
              </w:rPr>
            </w:pPr>
            <w:r>
              <w:rPr>
                <w:rFonts w:hint="eastAsia"/>
                <w:sz w:val="24"/>
              </w:rPr>
              <w:t>1小时浓度范围</w:t>
            </w:r>
          </w:p>
        </w:tc>
        <w:tc>
          <w:tcPr>
            <w:tcW w:w="1404" w:type="dxa"/>
          </w:tcPr>
          <w:p>
            <w:pPr>
              <w:pStyle w:val="Normal0"/>
              <w:snapToGrid w:val="0"/>
              <w:jc w:val="center"/>
              <w:rPr>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1.35~2.40</w:t>
            </w:r>
          </w:p>
        </w:tc>
        <w:tc>
          <w:tcPr>
            <w:tcW w:w="1704" w:type="dxa"/>
          </w:tcPr>
          <w:p>
            <w:pPr>
              <w:pStyle w:val="Normal0"/>
              <w:snapToGrid w:val="0"/>
              <w:jc w:val="center"/>
              <w:rPr>
                <w:rFonts w:hint="eastAsia"/>
                <w:sz w:val="24"/>
              </w:rPr>
            </w:pPr>
            <w:r>
              <w:rPr>
                <w:rFonts w:hint="eastAsia"/>
                <w:sz w:val="24"/>
              </w:rPr>
              <w:t>1.38~2.79</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日均浓度范围</w:t>
            </w:r>
          </w:p>
        </w:tc>
        <w:tc>
          <w:tcPr>
            <w:tcW w:w="1404" w:type="dxa"/>
          </w:tcPr>
          <w:p>
            <w:pPr>
              <w:pStyle w:val="Normal0"/>
              <w:snapToGrid w:val="0"/>
              <w:jc w:val="center"/>
              <w:rPr>
                <w:rFonts w:hint="eastAsia"/>
                <w:sz w:val="24"/>
              </w:rPr>
            </w:pPr>
            <w:r>
              <w:rPr>
                <w:sz w:val="24"/>
              </w:rPr>
              <w:t>mg/Nm</w:t>
            </w:r>
            <w:r>
              <w:rPr>
                <w:sz w:val="24"/>
                <w:vertAlign w:val="superscript"/>
              </w:rPr>
              <w:t>3</w:t>
            </w:r>
          </w:p>
        </w:tc>
        <w:tc>
          <w:tcPr>
            <w:tcW w:w="1704" w:type="dxa"/>
          </w:tcPr>
          <w:p>
            <w:pPr>
              <w:pStyle w:val="Normal0"/>
              <w:snapToGrid w:val="0"/>
              <w:jc w:val="center"/>
              <w:rPr>
                <w:rFonts w:hint="eastAsia"/>
                <w:sz w:val="24"/>
              </w:rPr>
            </w:pPr>
            <w:r>
              <w:rPr>
                <w:rFonts w:hint="eastAsia"/>
                <w:sz w:val="24"/>
              </w:rPr>
              <w:t>1.82~1.93</w:t>
            </w:r>
          </w:p>
        </w:tc>
        <w:tc>
          <w:tcPr>
            <w:tcW w:w="1704" w:type="dxa"/>
          </w:tcPr>
          <w:p>
            <w:pPr>
              <w:pStyle w:val="Normal0"/>
              <w:snapToGrid w:val="0"/>
              <w:jc w:val="center"/>
              <w:rPr>
                <w:rFonts w:hint="eastAsia"/>
                <w:sz w:val="24"/>
              </w:rPr>
            </w:pPr>
            <w:r>
              <w:rPr>
                <w:rFonts w:hint="eastAsia"/>
                <w:sz w:val="24"/>
              </w:rPr>
              <w:t>1.89~2.55</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1小时超标率</w:t>
            </w:r>
          </w:p>
        </w:tc>
        <w:tc>
          <w:tcPr>
            <w:tcW w:w="1404" w:type="dxa"/>
          </w:tcPr>
          <w:p>
            <w:pPr>
              <w:pStyle w:val="Normal0"/>
              <w:snapToGrid w:val="0"/>
              <w:jc w:val="center"/>
              <w:rPr>
                <w:rFonts w:hint="eastAsia"/>
                <w:sz w:val="24"/>
              </w:rPr>
            </w:pPr>
            <w:r>
              <w:rPr>
                <w:rFonts w:hint="eastAsia"/>
                <w:sz w:val="24"/>
              </w:rPr>
              <w:t>%</w:t>
            </w:r>
          </w:p>
        </w:tc>
        <w:tc>
          <w:tcPr>
            <w:tcW w:w="1704" w:type="dxa"/>
          </w:tcPr>
          <w:p>
            <w:pPr>
              <w:pStyle w:val="Normal0"/>
              <w:snapToGrid w:val="0"/>
              <w:jc w:val="center"/>
              <w:rPr>
                <w:rFonts w:hint="eastAsia"/>
                <w:sz w:val="24"/>
              </w:rPr>
            </w:pPr>
            <w:r>
              <w:rPr>
                <w:rFonts w:hint="eastAsia"/>
                <w:sz w:val="24"/>
              </w:rPr>
              <w:t>0</w:t>
            </w:r>
          </w:p>
        </w:tc>
        <w:tc>
          <w:tcPr>
            <w:tcW w:w="1704" w:type="dxa"/>
          </w:tcPr>
          <w:p>
            <w:pPr>
              <w:pStyle w:val="Normal0"/>
              <w:snapToGrid w:val="0"/>
              <w:jc w:val="center"/>
              <w:rPr>
                <w:rFonts w:hint="eastAsia"/>
                <w:sz w:val="24"/>
              </w:rPr>
            </w:pPr>
            <w:r>
              <w:rPr>
                <w:rFonts w:hint="eastAsia"/>
                <w:sz w:val="24"/>
              </w:rPr>
              <w:t>0</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日均超标率</w:t>
            </w:r>
          </w:p>
        </w:tc>
        <w:tc>
          <w:tcPr>
            <w:tcW w:w="1404" w:type="dxa"/>
          </w:tcPr>
          <w:p>
            <w:pPr>
              <w:pStyle w:val="Normal0"/>
              <w:snapToGrid w:val="0"/>
              <w:jc w:val="center"/>
              <w:rPr>
                <w:rFonts w:hint="eastAsia"/>
                <w:sz w:val="24"/>
              </w:rPr>
            </w:pPr>
            <w:r>
              <w:rPr>
                <w:rFonts w:hint="eastAsia"/>
                <w:sz w:val="24"/>
              </w:rPr>
              <w:t>%</w:t>
            </w:r>
          </w:p>
        </w:tc>
        <w:tc>
          <w:tcPr>
            <w:tcW w:w="1704" w:type="dxa"/>
          </w:tcPr>
          <w:p>
            <w:pPr>
              <w:pStyle w:val="Normal0"/>
              <w:snapToGrid w:val="0"/>
              <w:jc w:val="center"/>
              <w:rPr>
                <w:rFonts w:hint="eastAsia"/>
                <w:sz w:val="24"/>
              </w:rPr>
            </w:pPr>
            <w:r>
              <w:rPr>
                <w:rFonts w:hint="eastAsia"/>
                <w:sz w:val="24"/>
              </w:rPr>
              <w:t>0</w:t>
            </w:r>
          </w:p>
        </w:tc>
        <w:tc>
          <w:tcPr>
            <w:tcW w:w="1704" w:type="dxa"/>
          </w:tcPr>
          <w:p>
            <w:pPr>
              <w:pStyle w:val="Normal0"/>
              <w:snapToGrid w:val="0"/>
              <w:jc w:val="center"/>
              <w:rPr>
                <w:rFonts w:hint="eastAsia"/>
                <w:sz w:val="24"/>
              </w:rPr>
            </w:pPr>
            <w:r>
              <w:rPr>
                <w:rFonts w:hint="eastAsia"/>
                <w:sz w:val="24"/>
              </w:rPr>
              <w:t>0</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一小时最大比标值</w:t>
            </w:r>
          </w:p>
        </w:tc>
        <w:tc>
          <w:tcPr>
            <w:tcW w:w="1404" w:type="dxa"/>
          </w:tcPr>
          <w:p>
            <w:pPr>
              <w:pStyle w:val="Normal0"/>
              <w:snapToGrid w:val="0"/>
              <w:rPr>
                <w:rFonts w:hint="eastAsia"/>
                <w:sz w:val="24"/>
              </w:rPr>
            </w:pPr>
          </w:p>
        </w:tc>
        <w:tc>
          <w:tcPr>
            <w:tcW w:w="1704" w:type="dxa"/>
          </w:tcPr>
          <w:p>
            <w:pPr>
              <w:pStyle w:val="Normal0"/>
              <w:snapToGrid w:val="0"/>
              <w:jc w:val="center"/>
              <w:rPr>
                <w:rFonts w:hint="eastAsia"/>
                <w:sz w:val="24"/>
              </w:rPr>
            </w:pPr>
            <w:r>
              <w:rPr>
                <w:rFonts w:hint="eastAsia"/>
                <w:sz w:val="24"/>
              </w:rPr>
              <w:t>0.24</w:t>
            </w:r>
          </w:p>
        </w:tc>
        <w:tc>
          <w:tcPr>
            <w:tcW w:w="1704" w:type="dxa"/>
          </w:tcPr>
          <w:p>
            <w:pPr>
              <w:pStyle w:val="Normal0"/>
              <w:snapToGrid w:val="0"/>
              <w:jc w:val="center"/>
              <w:rPr>
                <w:rFonts w:hint="eastAsia"/>
                <w:sz w:val="24"/>
              </w:rPr>
            </w:pPr>
            <w:r>
              <w:rPr>
                <w:rFonts w:hint="eastAsia"/>
                <w:sz w:val="24"/>
              </w:rPr>
              <w:t>0.279</w:t>
            </w:r>
          </w:p>
        </w:tc>
      </w:tr>
      <w:tr>
        <w:tblPrEx>
          <w:tblW w:w="0" w:type="auto"/>
          <w:tblInd w:w="0" w:type="dxa"/>
          <w:tblLayout w:type="fixed"/>
          <w:tblCellMar>
            <w:top w:w="0" w:type="dxa"/>
            <w:left w:w="108" w:type="dxa"/>
            <w:bottom w:w="0" w:type="dxa"/>
            <w:right w:w="108" w:type="dxa"/>
          </w:tblCellMar>
        </w:tblPrEx>
        <w:trPr>
          <w:cantSplit/>
        </w:trPr>
        <w:tc>
          <w:tcPr>
            <w:tcW w:w="828" w:type="dxa"/>
            <w:vMerge/>
          </w:tcPr>
          <w:p>
            <w:pPr>
              <w:pStyle w:val="BodyText"/>
              <w:rPr>
                <w:rFonts w:hint="eastAsia"/>
                <w:sz w:val="24"/>
              </w:rPr>
            </w:pPr>
          </w:p>
        </w:tc>
        <w:tc>
          <w:tcPr>
            <w:tcW w:w="2880" w:type="dxa"/>
          </w:tcPr>
          <w:p>
            <w:pPr>
              <w:pStyle w:val="Normal0"/>
              <w:snapToGrid w:val="0"/>
              <w:rPr>
                <w:rFonts w:hint="eastAsia"/>
                <w:sz w:val="24"/>
              </w:rPr>
            </w:pPr>
            <w:r>
              <w:rPr>
                <w:rFonts w:hint="eastAsia"/>
                <w:sz w:val="24"/>
              </w:rPr>
              <w:t>日均最大比标值</w:t>
            </w:r>
          </w:p>
        </w:tc>
        <w:tc>
          <w:tcPr>
            <w:tcW w:w="1404" w:type="dxa"/>
          </w:tcPr>
          <w:p>
            <w:pPr>
              <w:pStyle w:val="Normal0"/>
              <w:snapToGrid w:val="0"/>
              <w:rPr>
                <w:rFonts w:hint="eastAsia"/>
                <w:sz w:val="24"/>
              </w:rPr>
            </w:pPr>
          </w:p>
        </w:tc>
        <w:tc>
          <w:tcPr>
            <w:tcW w:w="1704" w:type="dxa"/>
          </w:tcPr>
          <w:p>
            <w:pPr>
              <w:pStyle w:val="Normal0"/>
              <w:snapToGrid w:val="0"/>
              <w:jc w:val="center"/>
              <w:rPr>
                <w:rFonts w:hint="eastAsia"/>
                <w:sz w:val="24"/>
              </w:rPr>
            </w:pPr>
            <w:r>
              <w:rPr>
                <w:rFonts w:hint="eastAsia"/>
                <w:sz w:val="24"/>
              </w:rPr>
              <w:t>0.483</w:t>
            </w:r>
          </w:p>
        </w:tc>
        <w:tc>
          <w:tcPr>
            <w:tcW w:w="1704" w:type="dxa"/>
          </w:tcPr>
          <w:p>
            <w:pPr>
              <w:pStyle w:val="Normal0"/>
              <w:snapToGrid w:val="0"/>
              <w:jc w:val="center"/>
              <w:rPr>
                <w:rFonts w:hint="eastAsia"/>
                <w:sz w:val="24"/>
              </w:rPr>
            </w:pPr>
            <w:r>
              <w:rPr>
                <w:rFonts w:hint="eastAsia"/>
                <w:sz w:val="24"/>
              </w:rPr>
              <w:t>0.638</w:t>
            </w:r>
          </w:p>
        </w:tc>
      </w:tr>
    </w:tbl>
    <w:p>
      <w:pPr>
        <w:pStyle w:val="Normal0"/>
        <w:snapToGrid w:val="0"/>
        <w:spacing w:line="480" w:lineRule="auto"/>
        <w:rPr>
          <w:rFonts w:hint="eastAsia"/>
          <w:sz w:val="28"/>
        </w:rPr>
      </w:pPr>
    </w:p>
    <w:p>
      <w:pPr>
        <w:pStyle w:val="Normal0"/>
        <w:snapToGrid w:val="0"/>
        <w:spacing w:line="480" w:lineRule="auto"/>
        <w:rPr>
          <w:rFonts w:hint="eastAsia"/>
          <w:sz w:val="28"/>
        </w:rPr>
        <w:sectPr>
          <w:type w:val="nextPage"/>
          <w:pgSz w:w="11906" w:h="16838"/>
          <w:pgMar w:top="1440" w:right="1800" w:bottom="1440" w:left="1800" w:header="851" w:footer="992" w:gutter="0"/>
          <w:pgNumType w:start="19"/>
          <w:cols w:num="1" w:space="425"/>
          <w:titlePg w:val="0"/>
          <w:docGrid w:type="lines" w:linePitch="312" w:charSpace="0"/>
        </w:sectPr>
      </w:pPr>
      <w:r>
        <w:rPr>
          <w:rFonts w:hint="eastAsia"/>
          <w:sz w:val="28"/>
        </w:rPr>
        <w:t xml:space="preserve">    由监测数据可知，二氧化氮和一氧化碳各监测点浓度皆低于GB3095—1996《环境空气质量标准》中的一级标准限值；而总悬浮颗粒物各监测点日均浓度均超过GB3095—1996中的一级标准限值，主要由于周围建筑施工及交通扬尘等导致TSP超标。</w:t>
      </w:r>
    </w:p>
    <w:p>
      <w:pPr>
        <w:pStyle w:val="Heading3"/>
        <w:spacing w:line="360" w:lineRule="auto"/>
        <w:rPr>
          <w:rFonts w:hint="eastAsia"/>
        </w:rPr>
      </w:pPr>
      <w:bookmarkStart w:id="37" w:name="_Toc41648517"/>
      <w:r>
        <w:rPr>
          <w:rFonts w:hint="eastAsia"/>
        </w:rPr>
        <w:t>3.1.2废气</w:t>
      </w:r>
      <w:bookmarkEnd w:id="37"/>
    </w:p>
    <w:p>
      <w:pPr>
        <w:pStyle w:val="Normal0"/>
        <w:snapToGrid w:val="0"/>
        <w:spacing w:line="360" w:lineRule="auto"/>
        <w:rPr>
          <w:rFonts w:hint="eastAsia"/>
          <w:sz w:val="28"/>
        </w:rPr>
      </w:pPr>
      <w:r>
        <w:rPr>
          <w:rFonts w:hint="eastAsia"/>
          <w:sz w:val="28"/>
        </w:rPr>
        <w:t>1、石油液化气燃烧废气</w:t>
      </w:r>
    </w:p>
    <w:p>
      <w:pPr>
        <w:pStyle w:val="Normal0"/>
        <w:snapToGrid w:val="0"/>
        <w:spacing w:line="360" w:lineRule="auto"/>
        <w:rPr>
          <w:rFonts w:hint="eastAsia"/>
          <w:sz w:val="28"/>
        </w:rPr>
      </w:pPr>
      <w:r>
        <w:rPr>
          <w:rFonts w:hint="eastAsia"/>
          <w:sz w:val="28"/>
        </w:rPr>
        <w:t xml:space="preserve">    由于梅家坞位于西湖风景区，燃料采用石油液化气清洁燃料。根据类比调查，估算该建设</w:t>
      </w:r>
      <w:r>
        <w:rPr>
          <w:rFonts w:hint="eastAsia"/>
          <w:sz w:val="28"/>
          <w:lang w:eastAsia="zh-CN"/>
        </w:rPr>
        <w:t>相关项目</w:t>
      </w:r>
      <w:r>
        <w:rPr>
          <w:rFonts w:hint="eastAsia"/>
          <w:sz w:val="28"/>
        </w:rPr>
        <w:t>年消耗液化石油气约170吨。据杭州市煤气公司提供的资料，石油液化气中含硫量为0.016%。石油液化气在燃烧过程中将产生二氧化硫污染物，经计算，梅家坞老村二氧化硫年排放量为0.054吨</w:t>
      </w:r>
      <w:r>
        <w:rPr>
          <w:sz w:val="28"/>
        </w:rPr>
        <w:t>/</w:t>
      </w:r>
      <w:r>
        <w:rPr>
          <w:rFonts w:hint="eastAsia"/>
          <w:sz w:val="28"/>
        </w:rPr>
        <w:t>年。</w:t>
      </w:r>
    </w:p>
    <w:p>
      <w:pPr>
        <w:pStyle w:val="Normal0"/>
        <w:snapToGrid w:val="0"/>
        <w:spacing w:line="360" w:lineRule="auto"/>
        <w:rPr>
          <w:rFonts w:hint="eastAsia"/>
          <w:sz w:val="28"/>
        </w:rPr>
      </w:pPr>
      <w:r>
        <w:rPr>
          <w:rFonts w:hint="eastAsia"/>
          <w:sz w:val="28"/>
        </w:rPr>
        <w:t>2、厨房油烟废气</w:t>
      </w:r>
    </w:p>
    <w:p>
      <w:pPr>
        <w:pStyle w:val="Normal0"/>
        <w:snapToGrid w:val="0"/>
        <w:spacing w:line="360" w:lineRule="auto"/>
        <w:rPr>
          <w:rFonts w:hint="eastAsia"/>
          <w:sz w:val="28"/>
        </w:rPr>
      </w:pPr>
      <w:r>
        <w:rPr>
          <w:rFonts w:hint="eastAsia"/>
          <w:sz w:val="28"/>
        </w:rPr>
        <w:t xml:space="preserve">    目前，梅家坞老村厨房油烟废气排放点主要为杭州梅竺度假村和南方音乐学院的餐饮和食堂（各农居点不计在内）。上述两个单位均设有油烟处理装置，并达标排放。按</w:t>
      </w:r>
      <w:r>
        <w:rPr>
          <w:sz w:val="28"/>
        </w:rPr>
        <w:t>GB</w:t>
      </w:r>
      <w:r>
        <w:rPr>
          <w:rFonts w:hint="eastAsia"/>
          <w:sz w:val="28"/>
        </w:rPr>
        <w:t>18483</w:t>
      </w:r>
      <w:r>
        <w:rPr>
          <w:sz w:val="28"/>
        </w:rPr>
        <w:t>—200</w:t>
      </w:r>
      <w:r>
        <w:rPr>
          <w:rFonts w:hint="eastAsia"/>
          <w:sz w:val="28"/>
        </w:rPr>
        <w:t>1《饮食业油烟排放标准》大型饮食单位净化设施最低去除率不小于85%所规定的效率计，经净化设施处理后油烟排放浓度为1.05~1.25</w:t>
      </w:r>
      <w:r>
        <w:rPr>
          <w:sz w:val="28"/>
        </w:rPr>
        <w:t>mg/m</w:t>
      </w:r>
      <w:r>
        <w:rPr>
          <w:sz w:val="28"/>
          <w:vertAlign w:val="superscript"/>
        </w:rPr>
        <w:t>3</w:t>
      </w:r>
      <w:r>
        <w:rPr>
          <w:rFonts w:hint="eastAsia"/>
          <w:sz w:val="28"/>
        </w:rPr>
        <w:t>，其油烟年排放量为70</w:t>
      </w:r>
      <w:r>
        <w:rPr>
          <w:sz w:val="28"/>
        </w:rPr>
        <w:t>.47kg</w:t>
      </w:r>
      <w:r>
        <w:rPr>
          <w:rFonts w:hint="eastAsia"/>
          <w:sz w:val="28"/>
        </w:rPr>
        <w:t>~</w:t>
      </w:r>
      <w:r>
        <w:rPr>
          <w:sz w:val="28"/>
        </w:rPr>
        <w:t>84.56kg</w:t>
      </w:r>
      <w:r>
        <w:rPr>
          <w:rFonts w:hint="eastAsia"/>
          <w:sz w:val="28"/>
        </w:rPr>
        <w:t>，厨房油烟废气排放量为3456万立方米。</w:t>
      </w:r>
    </w:p>
    <w:p>
      <w:pPr>
        <w:pStyle w:val="Normal0"/>
        <w:snapToGrid w:val="0"/>
        <w:spacing w:line="360" w:lineRule="auto"/>
        <w:rPr>
          <w:rFonts w:hint="eastAsia"/>
          <w:sz w:val="28"/>
        </w:rPr>
      </w:pPr>
      <w:r>
        <w:rPr>
          <w:rFonts w:hint="eastAsia"/>
          <w:sz w:val="28"/>
        </w:rPr>
        <w:t>3、汽车废气</w:t>
      </w:r>
    </w:p>
    <w:p>
      <w:pPr>
        <w:pStyle w:val="Date"/>
        <w:snapToGrid w:val="0"/>
        <w:spacing w:line="540" w:lineRule="exact"/>
        <w:rPr>
          <w:rFonts w:ascii="宋体" w:hint="eastAsia"/>
        </w:rPr>
      </w:pPr>
      <w:r>
        <w:rPr>
          <w:rFonts w:ascii="宋体" w:hint="eastAsia"/>
        </w:rPr>
        <w:t>①、汽车泊位基本情况</w:t>
      </w:r>
    </w:p>
    <w:p>
      <w:pPr>
        <w:pStyle w:val="Normal0"/>
        <w:snapToGrid w:val="0"/>
        <w:spacing w:line="540" w:lineRule="exact"/>
        <w:rPr>
          <w:rFonts w:hint="eastAsia"/>
          <w:sz w:val="28"/>
        </w:rPr>
      </w:pPr>
      <w:r>
        <w:rPr>
          <w:rFonts w:ascii="宋体" w:hint="eastAsia"/>
          <w:sz w:val="28"/>
        </w:rPr>
        <w:t xml:space="preserve">    梅家坞老村现状基本无专用停车场（除</w:t>
      </w:r>
      <w:r>
        <w:rPr>
          <w:rFonts w:hint="eastAsia"/>
          <w:sz w:val="28"/>
        </w:rPr>
        <w:t>杭州梅竺度假村和南方音乐学院两个单位外</w:t>
      </w:r>
      <w:r>
        <w:rPr>
          <w:rFonts w:ascii="宋体" w:hint="eastAsia"/>
          <w:sz w:val="28"/>
        </w:rPr>
        <w:t>），外来车辆停泊在梅灵路两侧或农居前的空地上。</w:t>
      </w:r>
      <w:r>
        <w:rPr>
          <w:rFonts w:hint="eastAsia"/>
          <w:sz w:val="28"/>
        </w:rPr>
        <w:t>根据调查，外来车辆和本地车辆平均每天约为200辆左右。汽车在进出地地面停车泊位过程中将产生汽车废气污染，其主要污染物为CO、NO</w:t>
      </w:r>
      <w:r>
        <w:rPr>
          <w:sz w:val="28"/>
          <w:vertAlign w:val="subscript"/>
        </w:rPr>
        <w:t>x</w:t>
      </w:r>
      <w:r>
        <w:rPr>
          <w:rFonts w:hint="eastAsia"/>
          <w:sz w:val="28"/>
        </w:rPr>
        <w:t>及HC。汽车进出地面汽车泊位及道路上的汽车废气排放为无组织排放。</w:t>
      </w:r>
    </w:p>
    <w:p>
      <w:pPr>
        <w:pStyle w:val="Normal0"/>
        <w:rPr>
          <w:rFonts w:hint="eastAsia"/>
          <w:sz w:val="28"/>
        </w:rPr>
      </w:pPr>
      <w:bookmarkStart w:id="38" w:name="_Toc35135792"/>
      <w:r>
        <w:rPr>
          <w:rFonts w:ascii="宋体" w:hint="eastAsia"/>
          <w:sz w:val="28"/>
        </w:rPr>
        <w:t>②</w:t>
      </w:r>
      <w:r>
        <w:rPr>
          <w:rFonts w:hint="eastAsia"/>
          <w:sz w:val="28"/>
        </w:rPr>
        <w:t>、污染因素分析</w:t>
      </w:r>
      <w:bookmarkEnd w:id="38"/>
    </w:p>
    <w:p>
      <w:pPr>
        <w:pStyle w:val="Normal0"/>
        <w:snapToGrid w:val="0"/>
        <w:spacing w:line="540" w:lineRule="exact"/>
        <w:ind w:firstLine="555"/>
        <w:rPr>
          <w:sz w:val="28"/>
        </w:rPr>
        <w:sectPr>
          <w:type w:val="nextPage"/>
          <w:pgSz w:w="11906" w:h="16838"/>
          <w:pgMar w:top="1440" w:right="1800" w:bottom="1440" w:left="1800" w:header="851" w:footer="992" w:gutter="0"/>
          <w:pgNumType w:start="20"/>
          <w:cols w:num="1" w:space="425"/>
          <w:titlePg w:val="0"/>
          <w:docGrid w:type="lines" w:linePitch="312" w:charSpace="0"/>
        </w:sectPr>
      </w:pPr>
    </w:p>
    <w:p>
      <w:pPr>
        <w:pStyle w:val="Normal0"/>
        <w:snapToGrid w:val="0"/>
        <w:spacing w:line="540" w:lineRule="exact"/>
        <w:ind w:firstLine="555"/>
        <w:rPr>
          <w:sz w:val="28"/>
        </w:rPr>
      </w:pPr>
      <w:r>
        <w:rPr>
          <w:rFonts w:hint="eastAsia"/>
          <w:sz w:val="28"/>
        </w:rPr>
        <w:t>根据调查和有关统计数据的收集，可以确定车库的主要污染因素为汽车排放废气和汽车噪声。有关资料表明，汽车废气中的主要成分CO、NO</w:t>
      </w:r>
      <w:r>
        <w:rPr>
          <w:sz w:val="28"/>
        </w:rPr>
        <w:t>x</w:t>
      </w:r>
      <w:r>
        <w:rPr>
          <w:rFonts w:hint="eastAsia"/>
          <w:sz w:val="28"/>
        </w:rPr>
        <w:t>和HC，详见下表3-2。</w:t>
      </w:r>
    </w:p>
    <w:p>
      <w:pPr>
        <w:pStyle w:val="Normal0"/>
        <w:snapToGrid w:val="0"/>
        <w:spacing w:line="540" w:lineRule="exact"/>
        <w:ind w:firstLine="555"/>
        <w:outlineLvl w:val="0"/>
        <w:rPr>
          <w:rFonts w:hint="eastAsia"/>
          <w:sz w:val="28"/>
        </w:rPr>
      </w:pPr>
      <w:r>
        <w:rPr>
          <w:rFonts w:hint="eastAsia"/>
          <w:sz w:val="28"/>
        </w:rPr>
        <w:t xml:space="preserve">      </w:t>
      </w:r>
      <w:r>
        <w:rPr>
          <w:sz w:val="28"/>
        </w:rPr>
        <w:t xml:space="preserve"> </w:t>
      </w:r>
      <w:r>
        <w:rPr>
          <w:rFonts w:hint="eastAsia"/>
          <w:sz w:val="28"/>
        </w:rPr>
        <w:t>表3-2  汽车废气污染物成分表</w:t>
      </w:r>
    </w:p>
    <w:tbl>
      <w:tblPr>
        <w:tblStyle w:val="TableNorm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0"/>
        <w:gridCol w:w="1456"/>
        <w:gridCol w:w="1604"/>
        <w:gridCol w:w="1440"/>
      </w:tblGrid>
      <w:tr>
        <w:tblPrEx>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980" w:type="dxa"/>
            <w:vMerge w:val="restart"/>
            <w:vAlign w:val="center"/>
          </w:tcPr>
          <w:p>
            <w:pPr>
              <w:pStyle w:val="Normal0"/>
              <w:snapToGrid w:val="0"/>
              <w:jc w:val="center"/>
              <w:rPr>
                <w:rFonts w:hint="eastAsia"/>
                <w:sz w:val="24"/>
              </w:rPr>
            </w:pPr>
            <w:r>
              <w:rPr>
                <w:rFonts w:hint="eastAsia"/>
                <w:sz w:val="24"/>
              </w:rPr>
              <w:t>污  染  物</w:t>
            </w:r>
          </w:p>
        </w:tc>
        <w:tc>
          <w:tcPr>
            <w:tcW w:w="4500" w:type="dxa"/>
            <w:gridSpan w:val="3"/>
            <w:vAlign w:val="center"/>
          </w:tcPr>
          <w:p>
            <w:pPr>
              <w:pStyle w:val="Normal0"/>
              <w:snapToGrid w:val="0"/>
              <w:jc w:val="center"/>
              <w:rPr>
                <w:rFonts w:hint="eastAsia"/>
                <w:sz w:val="24"/>
              </w:rPr>
            </w:pPr>
            <w:r>
              <w:rPr>
                <w:rFonts w:hint="eastAsia"/>
                <w:sz w:val="24"/>
              </w:rPr>
              <w:t>浓           度</w:t>
            </w:r>
          </w:p>
        </w:tc>
      </w:tr>
      <w:tr>
        <w:tblPrEx>
          <w:tblW w:w="0" w:type="auto"/>
          <w:tblInd w:w="828" w:type="dxa"/>
          <w:tblLayout w:type="fixed"/>
          <w:tblCellMar>
            <w:top w:w="0" w:type="dxa"/>
            <w:left w:w="108" w:type="dxa"/>
            <w:bottom w:w="0" w:type="dxa"/>
            <w:right w:w="108" w:type="dxa"/>
          </w:tblCellMar>
        </w:tblPrEx>
        <w:trPr>
          <w:cantSplit/>
        </w:trPr>
        <w:tc>
          <w:tcPr>
            <w:tcW w:w="1980" w:type="dxa"/>
            <w:vMerge/>
          </w:tcPr>
          <w:p>
            <w:pPr>
              <w:pStyle w:val="Normal0"/>
              <w:snapToGrid w:val="0"/>
              <w:jc w:val="center"/>
              <w:rPr>
                <w:sz w:val="24"/>
              </w:rPr>
            </w:pPr>
          </w:p>
        </w:tc>
        <w:tc>
          <w:tcPr>
            <w:tcW w:w="1456" w:type="dxa"/>
          </w:tcPr>
          <w:p>
            <w:pPr>
              <w:pStyle w:val="Normal0"/>
              <w:snapToGrid w:val="0"/>
              <w:jc w:val="center"/>
              <w:rPr>
                <w:rFonts w:hint="eastAsia"/>
                <w:sz w:val="24"/>
              </w:rPr>
            </w:pPr>
            <w:r>
              <w:rPr>
                <w:rFonts w:hint="eastAsia"/>
                <w:sz w:val="24"/>
              </w:rPr>
              <w:t>单  位</w:t>
            </w:r>
          </w:p>
        </w:tc>
        <w:tc>
          <w:tcPr>
            <w:tcW w:w="1604" w:type="dxa"/>
          </w:tcPr>
          <w:p>
            <w:pPr>
              <w:pStyle w:val="Normal0"/>
              <w:snapToGrid w:val="0"/>
              <w:jc w:val="center"/>
              <w:rPr>
                <w:rFonts w:hint="eastAsia"/>
                <w:sz w:val="24"/>
              </w:rPr>
            </w:pPr>
            <w:r>
              <w:rPr>
                <w:rFonts w:hint="eastAsia"/>
                <w:sz w:val="24"/>
              </w:rPr>
              <w:t>汽 油 机</w:t>
            </w:r>
          </w:p>
        </w:tc>
        <w:tc>
          <w:tcPr>
            <w:tcW w:w="1440" w:type="dxa"/>
          </w:tcPr>
          <w:p>
            <w:pPr>
              <w:pStyle w:val="Normal0"/>
              <w:snapToGrid w:val="0"/>
              <w:jc w:val="center"/>
              <w:rPr>
                <w:rFonts w:hint="eastAsia"/>
                <w:sz w:val="24"/>
              </w:rPr>
            </w:pPr>
            <w:r>
              <w:rPr>
                <w:rFonts w:hint="eastAsia"/>
                <w:sz w:val="24"/>
              </w:rPr>
              <w:t>柴 油 机</w:t>
            </w:r>
          </w:p>
        </w:tc>
      </w:tr>
      <w:tr>
        <w:tblPrEx>
          <w:tblW w:w="0" w:type="auto"/>
          <w:tblInd w:w="828" w:type="dxa"/>
          <w:tblLayout w:type="fixed"/>
          <w:tblCellMar>
            <w:top w:w="0" w:type="dxa"/>
            <w:left w:w="108" w:type="dxa"/>
            <w:bottom w:w="0" w:type="dxa"/>
            <w:right w:w="108" w:type="dxa"/>
          </w:tblCellMar>
        </w:tblPrEx>
        <w:tc>
          <w:tcPr>
            <w:tcW w:w="1980" w:type="dxa"/>
          </w:tcPr>
          <w:p>
            <w:pPr>
              <w:pStyle w:val="Normal0"/>
              <w:snapToGrid w:val="0"/>
              <w:jc w:val="center"/>
              <w:rPr>
                <w:rFonts w:hint="eastAsia"/>
                <w:sz w:val="24"/>
              </w:rPr>
            </w:pPr>
            <w:r>
              <w:rPr>
                <w:rFonts w:hint="eastAsia"/>
                <w:sz w:val="24"/>
              </w:rPr>
              <w:t>一氧化碳</w:t>
            </w:r>
          </w:p>
        </w:tc>
        <w:tc>
          <w:tcPr>
            <w:tcW w:w="1456" w:type="dxa"/>
          </w:tcPr>
          <w:p>
            <w:pPr>
              <w:pStyle w:val="Normal0"/>
              <w:snapToGrid w:val="0"/>
              <w:jc w:val="center"/>
              <w:rPr>
                <w:rFonts w:hint="eastAsia"/>
                <w:sz w:val="24"/>
              </w:rPr>
            </w:pPr>
            <w:r>
              <w:rPr>
                <w:rFonts w:hint="eastAsia"/>
                <w:sz w:val="24"/>
              </w:rPr>
              <w:t>%</w:t>
            </w:r>
          </w:p>
        </w:tc>
        <w:tc>
          <w:tcPr>
            <w:tcW w:w="1604" w:type="dxa"/>
          </w:tcPr>
          <w:p>
            <w:pPr>
              <w:pStyle w:val="Normal0"/>
              <w:snapToGrid w:val="0"/>
              <w:jc w:val="center"/>
              <w:rPr>
                <w:rFonts w:hint="eastAsia"/>
                <w:sz w:val="24"/>
              </w:rPr>
            </w:pPr>
            <w:r>
              <w:rPr>
                <w:sz w:val="24"/>
              </w:rPr>
              <w:t>3.8-6</w:t>
            </w:r>
          </w:p>
        </w:tc>
        <w:tc>
          <w:tcPr>
            <w:tcW w:w="1440" w:type="dxa"/>
          </w:tcPr>
          <w:p>
            <w:pPr>
              <w:pStyle w:val="Normal0"/>
              <w:snapToGrid w:val="0"/>
              <w:jc w:val="center"/>
              <w:rPr>
                <w:rFonts w:hint="eastAsia"/>
                <w:sz w:val="24"/>
              </w:rPr>
            </w:pPr>
            <w:r>
              <w:rPr>
                <w:rFonts w:ascii="宋体" w:hint="eastAsia"/>
                <w:sz w:val="24"/>
              </w:rPr>
              <w:t xml:space="preserve">&lt; </w:t>
            </w:r>
            <w:r>
              <w:rPr>
                <w:rFonts w:hint="eastAsia"/>
                <w:sz w:val="24"/>
              </w:rPr>
              <w:t>2</w:t>
            </w:r>
          </w:p>
        </w:tc>
      </w:tr>
      <w:tr>
        <w:tblPrEx>
          <w:tblW w:w="0" w:type="auto"/>
          <w:tblInd w:w="828" w:type="dxa"/>
          <w:tblLayout w:type="fixed"/>
          <w:tblCellMar>
            <w:top w:w="0" w:type="dxa"/>
            <w:left w:w="108" w:type="dxa"/>
            <w:bottom w:w="0" w:type="dxa"/>
            <w:right w:w="108" w:type="dxa"/>
          </w:tblCellMar>
        </w:tblPrEx>
        <w:trPr>
          <w:trHeight w:val="135"/>
        </w:trPr>
        <w:tc>
          <w:tcPr>
            <w:tcW w:w="1980" w:type="dxa"/>
          </w:tcPr>
          <w:p>
            <w:pPr>
              <w:pStyle w:val="Normal0"/>
              <w:snapToGrid w:val="0"/>
              <w:jc w:val="center"/>
              <w:rPr>
                <w:rFonts w:hint="eastAsia"/>
                <w:sz w:val="24"/>
              </w:rPr>
            </w:pPr>
            <w:r>
              <w:rPr>
                <w:rFonts w:hint="eastAsia"/>
                <w:sz w:val="24"/>
              </w:rPr>
              <w:t>氮氧化物</w:t>
            </w:r>
          </w:p>
        </w:tc>
        <w:tc>
          <w:tcPr>
            <w:tcW w:w="1456" w:type="dxa"/>
          </w:tcPr>
          <w:p>
            <w:pPr>
              <w:pStyle w:val="Normal0"/>
              <w:snapToGrid w:val="0"/>
              <w:jc w:val="center"/>
              <w:rPr>
                <w:rFonts w:hint="eastAsia"/>
                <w:sz w:val="24"/>
              </w:rPr>
            </w:pPr>
            <w:r>
              <w:rPr>
                <w:sz w:val="24"/>
              </w:rPr>
              <w:t>Ppm</w:t>
            </w:r>
          </w:p>
        </w:tc>
        <w:tc>
          <w:tcPr>
            <w:tcW w:w="1604" w:type="dxa"/>
          </w:tcPr>
          <w:p>
            <w:pPr>
              <w:pStyle w:val="Normal0"/>
              <w:snapToGrid w:val="0"/>
              <w:jc w:val="center"/>
              <w:rPr>
                <w:rFonts w:hint="eastAsia"/>
                <w:sz w:val="24"/>
              </w:rPr>
            </w:pPr>
            <w:r>
              <w:rPr>
                <w:rFonts w:hint="eastAsia"/>
                <w:sz w:val="24"/>
              </w:rPr>
              <w:t>2000-5000</w:t>
            </w:r>
          </w:p>
        </w:tc>
        <w:tc>
          <w:tcPr>
            <w:tcW w:w="1440" w:type="dxa"/>
          </w:tcPr>
          <w:p>
            <w:pPr>
              <w:pStyle w:val="Normal0"/>
              <w:snapToGrid w:val="0"/>
              <w:jc w:val="center"/>
              <w:rPr>
                <w:sz w:val="24"/>
              </w:rPr>
            </w:pPr>
            <w:r>
              <w:rPr>
                <w:rFonts w:ascii="宋体" w:hint="eastAsia"/>
                <w:sz w:val="24"/>
              </w:rPr>
              <w:t xml:space="preserve">&lt; </w:t>
            </w:r>
            <w:r>
              <w:rPr>
                <w:rFonts w:hint="eastAsia"/>
                <w:sz w:val="24"/>
              </w:rPr>
              <w:t>1000</w:t>
            </w:r>
          </w:p>
        </w:tc>
      </w:tr>
      <w:tr>
        <w:tblPrEx>
          <w:tblW w:w="0" w:type="auto"/>
          <w:tblInd w:w="828" w:type="dxa"/>
          <w:tblLayout w:type="fixed"/>
          <w:tblCellMar>
            <w:top w:w="0" w:type="dxa"/>
            <w:left w:w="108" w:type="dxa"/>
            <w:bottom w:w="0" w:type="dxa"/>
            <w:right w:w="108" w:type="dxa"/>
          </w:tblCellMar>
        </w:tblPrEx>
        <w:tc>
          <w:tcPr>
            <w:tcW w:w="1980" w:type="dxa"/>
          </w:tcPr>
          <w:p>
            <w:pPr>
              <w:pStyle w:val="Normal0"/>
              <w:snapToGrid w:val="0"/>
              <w:jc w:val="center"/>
              <w:rPr>
                <w:rFonts w:hint="eastAsia"/>
                <w:sz w:val="24"/>
              </w:rPr>
            </w:pPr>
            <w:r>
              <w:rPr>
                <w:rFonts w:hint="eastAsia"/>
                <w:sz w:val="24"/>
              </w:rPr>
              <w:t>烃  类</w:t>
            </w:r>
          </w:p>
        </w:tc>
        <w:tc>
          <w:tcPr>
            <w:tcW w:w="1456" w:type="dxa"/>
          </w:tcPr>
          <w:p>
            <w:pPr>
              <w:pStyle w:val="Normal0"/>
              <w:snapToGrid w:val="0"/>
              <w:jc w:val="center"/>
              <w:rPr>
                <w:sz w:val="24"/>
              </w:rPr>
            </w:pPr>
            <w:r>
              <w:rPr>
                <w:sz w:val="24"/>
              </w:rPr>
              <w:t>Ppm</w:t>
            </w:r>
          </w:p>
        </w:tc>
        <w:tc>
          <w:tcPr>
            <w:tcW w:w="1604" w:type="dxa"/>
          </w:tcPr>
          <w:p>
            <w:pPr>
              <w:pStyle w:val="Normal0"/>
              <w:snapToGrid w:val="0"/>
              <w:jc w:val="center"/>
              <w:rPr>
                <w:rFonts w:hint="eastAsia"/>
                <w:sz w:val="24"/>
              </w:rPr>
            </w:pPr>
            <w:r>
              <w:rPr>
                <w:rFonts w:hint="eastAsia"/>
                <w:sz w:val="24"/>
              </w:rPr>
              <w:t>500-2500</w:t>
            </w:r>
          </w:p>
        </w:tc>
        <w:tc>
          <w:tcPr>
            <w:tcW w:w="1440" w:type="dxa"/>
          </w:tcPr>
          <w:p>
            <w:pPr>
              <w:pStyle w:val="Normal0"/>
              <w:snapToGrid w:val="0"/>
              <w:jc w:val="center"/>
              <w:rPr>
                <w:sz w:val="24"/>
              </w:rPr>
            </w:pPr>
            <w:r>
              <w:rPr>
                <w:rFonts w:ascii="宋体" w:hint="eastAsia"/>
                <w:sz w:val="24"/>
              </w:rPr>
              <w:t xml:space="preserve">&lt; </w:t>
            </w:r>
            <w:r>
              <w:rPr>
                <w:rFonts w:hint="eastAsia"/>
                <w:sz w:val="24"/>
              </w:rPr>
              <w:t>2500</w:t>
            </w:r>
          </w:p>
        </w:tc>
      </w:tr>
    </w:tbl>
    <w:p>
      <w:pPr>
        <w:pStyle w:val="Normal0"/>
        <w:rPr>
          <w:rFonts w:ascii="黑体" w:hint="eastAsia"/>
          <w:sz w:val="28"/>
        </w:rPr>
      </w:pPr>
      <w:bookmarkStart w:id="39" w:name="_Toc35135793"/>
    </w:p>
    <w:p>
      <w:pPr>
        <w:pStyle w:val="Date"/>
        <w:rPr>
          <w:rFonts w:hint="eastAsia"/>
        </w:rPr>
      </w:pPr>
      <w:r>
        <w:rPr>
          <w:rFonts w:hint="eastAsia"/>
        </w:rPr>
        <w:t>③、汽车废气排放分析与调查</w:t>
      </w:r>
      <w:bookmarkEnd w:id="39"/>
    </w:p>
    <w:p>
      <w:pPr>
        <w:pStyle w:val="Normal0"/>
        <w:snapToGrid w:val="0"/>
        <w:spacing w:line="360" w:lineRule="auto"/>
        <w:outlineLvl w:val="0"/>
        <w:rPr>
          <w:rFonts w:hint="eastAsia"/>
          <w:sz w:val="28"/>
        </w:rPr>
      </w:pPr>
      <w:r>
        <w:rPr>
          <w:rFonts w:hint="eastAsia"/>
          <w:sz w:val="28"/>
        </w:rPr>
        <w:t>·汽车废气排放源的有关参数确定。</w:t>
      </w:r>
    </w:p>
    <w:p>
      <w:pPr>
        <w:pStyle w:val="Normal0"/>
        <w:snapToGrid w:val="0"/>
        <w:spacing w:line="360" w:lineRule="auto"/>
        <w:outlineLvl w:val="0"/>
        <w:rPr>
          <w:rFonts w:hint="eastAsia"/>
          <w:sz w:val="28"/>
        </w:rPr>
      </w:pPr>
      <w:r>
        <w:rPr>
          <w:sz w:val="28"/>
        </w:rPr>
        <w:t>a)</w:t>
      </w:r>
      <w:r>
        <w:rPr>
          <w:rFonts w:hint="eastAsia"/>
          <w:sz w:val="28"/>
        </w:rPr>
        <w:t>、源强排放工况</w:t>
      </w:r>
    </w:p>
    <w:p>
      <w:pPr>
        <w:pStyle w:val="Normal0"/>
        <w:snapToGrid w:val="0"/>
        <w:spacing w:line="360" w:lineRule="auto"/>
        <w:rPr>
          <w:rFonts w:hint="eastAsia"/>
          <w:sz w:val="28"/>
        </w:rPr>
      </w:pPr>
      <w:r>
        <w:rPr>
          <w:rFonts w:hint="eastAsia"/>
          <w:sz w:val="28"/>
        </w:rPr>
        <w:t xml:space="preserve">    地面停车场运行工况对周围环境影响直接相关。根据情况，地面停车场运行工况可分为：满负荷状况、高峰状况、平均流量状况。</w:t>
      </w:r>
    </w:p>
    <w:p>
      <w:pPr>
        <w:pStyle w:val="Normal0"/>
        <w:snapToGrid w:val="0"/>
        <w:spacing w:line="360" w:lineRule="auto"/>
        <w:rPr>
          <w:rFonts w:hint="eastAsia"/>
          <w:sz w:val="28"/>
        </w:rPr>
      </w:pPr>
      <w:r>
        <w:rPr>
          <w:rFonts w:hint="eastAsia"/>
          <w:sz w:val="28"/>
        </w:rPr>
        <w:t>第一种，满负荷状况，此状况反映停满负荷泊车时对环境的影响。此类状况为假定最恶劣，出现机率极小，而且时间较短。</w:t>
      </w:r>
    </w:p>
    <w:p>
      <w:pPr>
        <w:pStyle w:val="Normal0"/>
        <w:snapToGrid w:val="0"/>
        <w:spacing w:line="360" w:lineRule="auto"/>
        <w:rPr>
          <w:rFonts w:hint="eastAsia"/>
          <w:sz w:val="28"/>
        </w:rPr>
      </w:pPr>
      <w:r>
        <w:rPr>
          <w:rFonts w:hint="eastAsia"/>
          <w:sz w:val="28"/>
        </w:rPr>
        <w:t>第二种，为高峰时段地面停车场及其道路上车辆汽车尾气污染源排放情况。</w:t>
      </w:r>
    </w:p>
    <w:p>
      <w:pPr>
        <w:pStyle w:val="Normal0"/>
        <w:snapToGrid w:val="0"/>
        <w:spacing w:line="360" w:lineRule="auto"/>
        <w:rPr>
          <w:rFonts w:hint="eastAsia"/>
          <w:sz w:val="28"/>
        </w:rPr>
      </w:pPr>
      <w:r>
        <w:rPr>
          <w:rFonts w:hint="eastAsia"/>
          <w:sz w:val="28"/>
        </w:rPr>
        <w:t>第三种，为白天平均流量时地面停车场及其道路上车辆汽车尾气污染源排放情况。</w:t>
      </w:r>
    </w:p>
    <w:p>
      <w:pPr>
        <w:pStyle w:val="Normal0"/>
        <w:snapToGrid w:val="0"/>
        <w:spacing w:line="360" w:lineRule="auto"/>
        <w:rPr>
          <w:rFonts w:hint="eastAsia"/>
          <w:sz w:val="28"/>
        </w:rPr>
      </w:pPr>
      <w:r>
        <w:rPr>
          <w:rFonts w:hint="eastAsia"/>
          <w:sz w:val="28"/>
        </w:rPr>
        <w:t xml:space="preserve">    我们将重点分析评价第二类高峰期状况下地面停车场汽车废气对周围环境影响。</w:t>
      </w:r>
    </w:p>
    <w:p>
      <w:pPr>
        <w:pStyle w:val="Normal0"/>
        <w:snapToGrid w:val="0"/>
        <w:spacing w:line="360" w:lineRule="auto"/>
        <w:outlineLvl w:val="0"/>
        <w:rPr>
          <w:rFonts w:hint="eastAsia"/>
          <w:sz w:val="28"/>
        </w:rPr>
      </w:pPr>
      <w:r>
        <w:rPr>
          <w:sz w:val="28"/>
        </w:rPr>
        <w:t>b)</w:t>
      </w:r>
      <w:r>
        <w:rPr>
          <w:rFonts w:hint="eastAsia"/>
          <w:sz w:val="28"/>
        </w:rPr>
        <w:t>、地面停车泊位各状况下车辆进出流量及其相应时间。</w:t>
      </w:r>
    </w:p>
    <w:p>
      <w:pPr>
        <w:pStyle w:val="Normal0"/>
        <w:snapToGrid w:val="0"/>
        <w:spacing w:line="360" w:lineRule="auto"/>
        <w:rPr>
          <w:rFonts w:hint="eastAsia"/>
          <w:sz w:val="28"/>
        </w:rPr>
      </w:pPr>
      <w:r>
        <w:rPr>
          <w:rFonts w:hint="eastAsia"/>
          <w:sz w:val="28"/>
        </w:rPr>
        <w:t xml:space="preserve">    进出车辆主要为轻型汽车，主要停车时段为白天时段，高峰时段的车流量为100辆/时。</w:t>
      </w:r>
    </w:p>
    <w:p>
      <w:pPr>
        <w:pStyle w:val="Normal0"/>
        <w:snapToGrid w:val="0"/>
        <w:spacing w:line="360" w:lineRule="auto"/>
        <w:rPr>
          <w:rFonts w:hint="eastAsia"/>
          <w:sz w:val="28"/>
        </w:rPr>
        <w:sectPr>
          <w:type w:val="nextPage"/>
          <w:pgSz w:w="11906" w:h="16838"/>
          <w:pgMar w:top="1440" w:right="1800" w:bottom="1440" w:left="1800" w:header="851" w:footer="992" w:gutter="0"/>
          <w:pgNumType w:start="21"/>
          <w:cols w:num="1" w:space="425"/>
          <w:titlePg w:val="0"/>
          <w:docGrid w:type="lines" w:linePitch="312" w:charSpace="0"/>
        </w:sectPr>
      </w:pPr>
      <w:r>
        <w:rPr>
          <w:rFonts w:hint="eastAsia"/>
          <w:sz w:val="28"/>
        </w:rPr>
        <w:t xml:space="preserve">  </w:t>
      </w:r>
      <w:r>
        <w:rPr>
          <w:rFonts w:hint="eastAsia"/>
          <w:sz w:val="28"/>
        </w:rPr>
        <w:t xml:space="preserve"> </w:t>
      </w:r>
    </w:p>
    <w:p>
      <w:pPr>
        <w:pStyle w:val="Normal0"/>
        <w:snapToGrid w:val="0"/>
        <w:spacing w:line="360" w:lineRule="auto"/>
        <w:rPr>
          <w:rFonts w:hint="eastAsia"/>
          <w:sz w:val="28"/>
        </w:rPr>
      </w:pPr>
      <w:r>
        <w:rPr>
          <w:rFonts w:hint="eastAsia"/>
          <w:sz w:val="28"/>
        </w:rPr>
        <w:t xml:space="preserve"> 进出地面停车场的车辆运行情况为车速小于5公里/时。根据地面停车运行情况，等候、停泊位、发动、停车等因素，确定每辆车平均怠速时间为1.5分钟。</w:t>
      </w:r>
    </w:p>
    <w:p>
      <w:pPr>
        <w:pStyle w:val="Normal0"/>
        <w:snapToGrid w:val="0"/>
        <w:spacing w:line="360" w:lineRule="auto"/>
        <w:outlineLvl w:val="0"/>
        <w:rPr>
          <w:rFonts w:hint="eastAsia"/>
          <w:sz w:val="28"/>
        </w:rPr>
      </w:pPr>
      <w:r>
        <w:rPr>
          <w:sz w:val="28"/>
        </w:rPr>
        <w:t>c)</w:t>
      </w:r>
      <w:r>
        <w:rPr>
          <w:rFonts w:hint="eastAsia"/>
          <w:sz w:val="28"/>
        </w:rPr>
        <w:t>、汽车耗油量</w:t>
      </w:r>
    </w:p>
    <w:p>
      <w:pPr>
        <w:pStyle w:val="Normal0"/>
        <w:snapToGrid w:val="0"/>
        <w:spacing w:line="360" w:lineRule="auto"/>
        <w:rPr>
          <w:rFonts w:hint="eastAsia"/>
          <w:sz w:val="28"/>
        </w:rPr>
      </w:pPr>
      <w:r>
        <w:rPr>
          <w:rFonts w:hint="eastAsia"/>
          <w:sz w:val="28"/>
        </w:rPr>
        <w:t xml:space="preserve">  </w:t>
      </w:r>
      <w:r>
        <w:rPr>
          <w:sz w:val="28"/>
        </w:rPr>
        <w:t xml:space="preserve">  </w:t>
      </w:r>
      <w:r>
        <w:rPr>
          <w:rFonts w:hint="eastAsia"/>
          <w:sz w:val="28"/>
        </w:rPr>
        <w:t>汽车耗油量与汽车行驶状态有关。根据统计数据，小型车辆进出车库（怠速V</w:t>
      </w:r>
      <w:r>
        <w:rPr>
          <w:rFonts w:ascii="宋体" w:hint="eastAsia"/>
          <w:sz w:val="28"/>
        </w:rPr>
        <w:t>&lt;</w:t>
      </w:r>
      <w:r>
        <w:rPr>
          <w:rFonts w:hint="eastAsia"/>
          <w:sz w:val="28"/>
        </w:rPr>
        <w:t>5公里/小时）平均耗油量为</w:t>
      </w:r>
      <w:r>
        <w:rPr>
          <w:sz w:val="28"/>
        </w:rPr>
        <w:t>0.05</w:t>
      </w:r>
      <w:r>
        <w:rPr>
          <w:rFonts w:hint="eastAsia"/>
          <w:sz w:val="28"/>
        </w:rPr>
        <w:t>升/分（即0</w:t>
      </w:r>
      <w:r>
        <w:rPr>
          <w:sz w:val="28"/>
        </w:rPr>
        <w:t>.0375</w:t>
      </w:r>
      <w:r>
        <w:rPr>
          <w:rFonts w:hint="eastAsia"/>
          <w:sz w:val="28"/>
        </w:rPr>
        <w:t>k</w:t>
      </w:r>
      <w:r>
        <w:rPr>
          <w:sz w:val="28"/>
        </w:rPr>
        <w:t>g/min</w:t>
      </w:r>
      <w:r>
        <w:rPr>
          <w:rFonts w:hint="eastAsia"/>
          <w:sz w:val="28"/>
        </w:rPr>
        <w:t>），正常行驶（V</w:t>
      </w:r>
      <w:r>
        <w:rPr>
          <w:rFonts w:ascii="宋体" w:hint="eastAsia"/>
          <w:sz w:val="28"/>
        </w:rPr>
        <w:t>&lt;</w:t>
      </w:r>
      <w:r>
        <w:rPr>
          <w:rFonts w:hint="eastAsia"/>
          <w:sz w:val="28"/>
        </w:rPr>
        <w:t>15K</w:t>
      </w:r>
      <w:r>
        <w:rPr>
          <w:sz w:val="28"/>
        </w:rPr>
        <w:t>m/hr</w:t>
      </w:r>
      <w:r>
        <w:rPr>
          <w:rFonts w:hint="eastAsia"/>
          <w:sz w:val="28"/>
        </w:rPr>
        <w:t>）时，平均耗油量为</w:t>
      </w:r>
      <w:r>
        <w:rPr>
          <w:sz w:val="28"/>
        </w:rPr>
        <w:t>0.1</w:t>
      </w:r>
      <w:r>
        <w:rPr>
          <w:rFonts w:hint="eastAsia"/>
          <w:sz w:val="28"/>
        </w:rPr>
        <w:t>升/公里。</w:t>
      </w:r>
    </w:p>
    <w:p>
      <w:pPr>
        <w:pStyle w:val="Normal0"/>
        <w:snapToGrid w:val="0"/>
        <w:spacing w:line="360" w:lineRule="auto"/>
        <w:outlineLvl w:val="0"/>
        <w:rPr>
          <w:rFonts w:hint="eastAsia"/>
          <w:sz w:val="28"/>
        </w:rPr>
      </w:pPr>
      <w:r>
        <w:rPr>
          <w:sz w:val="28"/>
        </w:rPr>
        <w:t>d)</w:t>
      </w:r>
      <w:r>
        <w:rPr>
          <w:rFonts w:hint="eastAsia"/>
          <w:sz w:val="28"/>
        </w:rPr>
        <w:t>、空燃比</w:t>
      </w:r>
    </w:p>
    <w:p>
      <w:pPr>
        <w:pStyle w:val="Normal0"/>
        <w:snapToGrid w:val="0"/>
        <w:spacing w:line="360" w:lineRule="auto"/>
        <w:ind w:firstLine="555"/>
        <w:rPr>
          <w:rFonts w:hint="eastAsia"/>
          <w:sz w:val="28"/>
        </w:rPr>
      </w:pPr>
      <w:r>
        <w:rPr>
          <w:rFonts w:hint="eastAsia"/>
          <w:sz w:val="28"/>
        </w:rPr>
        <w:t>空燃比：指汽车发动机工作时，空气与燃油的体积之比。当空燃比＞</w:t>
      </w:r>
      <w:r>
        <w:rPr>
          <w:sz w:val="28"/>
        </w:rPr>
        <w:t>14.5</w:t>
      </w:r>
      <w:r>
        <w:rPr>
          <w:rFonts w:hint="eastAsia"/>
          <w:sz w:val="28"/>
        </w:rPr>
        <w:t>时，燃油完全燃烧，得到CO</w:t>
      </w:r>
      <w:r>
        <w:rPr>
          <w:rFonts w:hint="eastAsia"/>
          <w:sz w:val="28"/>
          <w:vertAlign w:val="subscript"/>
        </w:rPr>
        <w:t>2</w:t>
      </w:r>
      <w:r>
        <w:rPr>
          <w:rFonts w:hint="eastAsia"/>
          <w:sz w:val="28"/>
        </w:rPr>
        <w:t>和H</w:t>
      </w:r>
      <w:r>
        <w:rPr>
          <w:rFonts w:hint="eastAsia"/>
          <w:sz w:val="28"/>
          <w:vertAlign w:val="subscript"/>
        </w:rPr>
        <w:t>2</w:t>
      </w:r>
      <w:r>
        <w:rPr>
          <w:rFonts w:hint="eastAsia"/>
          <w:sz w:val="28"/>
        </w:rPr>
        <w:t>O，当空燃比</w:t>
      </w:r>
      <w:r>
        <w:rPr>
          <w:rFonts w:ascii="宋体" w:hint="eastAsia"/>
          <w:sz w:val="28"/>
        </w:rPr>
        <w:t>&lt;</w:t>
      </w:r>
      <w:r>
        <w:rPr>
          <w:rFonts w:hint="eastAsia"/>
          <w:sz w:val="28"/>
        </w:rPr>
        <w:t>1</w:t>
      </w:r>
      <w:r>
        <w:rPr>
          <w:sz w:val="28"/>
        </w:rPr>
        <w:t>4.5</w:t>
      </w:r>
      <w:r>
        <w:rPr>
          <w:rFonts w:hint="eastAsia"/>
          <w:sz w:val="28"/>
        </w:rPr>
        <w:t>时，燃油不完全燃烧，产生HC、CO、NO</w:t>
      </w:r>
      <w:r>
        <w:rPr>
          <w:sz w:val="28"/>
          <w:vertAlign w:val="subscript"/>
        </w:rPr>
        <w:t>x</w:t>
      </w:r>
      <w:r>
        <w:rPr>
          <w:rFonts w:hint="eastAsia"/>
          <w:sz w:val="28"/>
        </w:rPr>
        <w:t>等污染物。经调查，在汽车进出时，平均空燃比约为12：1。</w:t>
      </w:r>
    </w:p>
    <w:p>
      <w:pPr>
        <w:pStyle w:val="Normal0"/>
        <w:snapToGrid w:val="0"/>
        <w:spacing w:line="360" w:lineRule="auto"/>
        <w:outlineLvl w:val="0"/>
        <w:rPr>
          <w:rFonts w:hint="eastAsia"/>
          <w:sz w:val="28"/>
        </w:rPr>
      </w:pPr>
      <w:r>
        <w:rPr>
          <w:sz w:val="28"/>
        </w:rPr>
        <w:t>e)</w:t>
      </w:r>
      <w:r>
        <w:rPr>
          <w:rFonts w:hint="eastAsia"/>
          <w:sz w:val="28"/>
        </w:rPr>
        <w:t>、 汽车废气中HC、CO、NO</w:t>
      </w:r>
      <w:r>
        <w:rPr>
          <w:sz w:val="28"/>
          <w:vertAlign w:val="subscript"/>
        </w:rPr>
        <w:t>x</w:t>
      </w:r>
      <w:r>
        <w:rPr>
          <w:rFonts w:hint="eastAsia"/>
          <w:sz w:val="28"/>
        </w:rPr>
        <w:t>浓度情况</w:t>
      </w:r>
    </w:p>
    <w:p>
      <w:pPr>
        <w:pStyle w:val="Normal0"/>
        <w:snapToGrid w:val="0"/>
        <w:spacing w:line="360" w:lineRule="auto"/>
        <w:rPr>
          <w:rFonts w:hint="eastAsia"/>
          <w:sz w:val="28"/>
        </w:rPr>
      </w:pPr>
      <w:r>
        <w:rPr>
          <w:rFonts w:hint="eastAsia"/>
          <w:sz w:val="28"/>
        </w:rPr>
        <w:t xml:space="preserve">    汽车废气中HC、CO、NO</w:t>
      </w:r>
      <w:r>
        <w:rPr>
          <w:sz w:val="28"/>
          <w:vertAlign w:val="subscript"/>
        </w:rPr>
        <w:t>x</w:t>
      </w:r>
      <w:r>
        <w:rPr>
          <w:rFonts w:hint="eastAsia"/>
          <w:sz w:val="28"/>
        </w:rPr>
        <w:t>浓度随汽车行驶状态不同而有较大差别。根据杭州市汽车尾气监测数据统计及有关调查，汽车在怠速与正常行驶（＞15K</w:t>
      </w:r>
      <w:r>
        <w:rPr>
          <w:sz w:val="28"/>
        </w:rPr>
        <w:t>m/hr</w:t>
      </w:r>
      <w:r>
        <w:rPr>
          <w:rFonts w:hint="eastAsia"/>
          <w:sz w:val="28"/>
        </w:rPr>
        <w:t>）时所排放的各种污染物浓度见下表3-3。</w:t>
      </w:r>
    </w:p>
    <w:p>
      <w:pPr>
        <w:pStyle w:val="Normal0"/>
        <w:snapToGrid w:val="0"/>
        <w:spacing w:line="360" w:lineRule="auto"/>
        <w:ind w:left="425"/>
        <w:jc w:val="center"/>
        <w:rPr>
          <w:sz w:val="28"/>
        </w:rPr>
      </w:pPr>
      <w:r>
        <w:rPr>
          <w:rFonts w:hint="eastAsia"/>
          <w:sz w:val="28"/>
        </w:rPr>
        <w:t>表3-3     汽车废气中的污染物浓度</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76"/>
        <w:gridCol w:w="1316"/>
        <w:gridCol w:w="2726"/>
        <w:gridCol w:w="131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76" w:type="dxa"/>
            <w:vAlign w:val="center"/>
          </w:tcPr>
          <w:p>
            <w:pPr>
              <w:pStyle w:val="Normal0"/>
              <w:jc w:val="center"/>
              <w:rPr>
                <w:rFonts w:hint="eastAsia"/>
                <w:sz w:val="24"/>
              </w:rPr>
            </w:pPr>
            <w:r>
              <w:rPr>
                <w:rFonts w:hint="eastAsia"/>
                <w:sz w:val="24"/>
              </w:rPr>
              <w:t>名</w:t>
            </w:r>
            <w:r>
              <w:rPr>
                <w:sz w:val="24"/>
              </w:rPr>
              <w:t xml:space="preserve">  </w:t>
            </w:r>
            <w:r>
              <w:rPr>
                <w:rFonts w:hint="eastAsia"/>
                <w:sz w:val="24"/>
              </w:rPr>
              <w:t>称</w:t>
            </w:r>
          </w:p>
        </w:tc>
        <w:tc>
          <w:tcPr>
            <w:tcW w:w="1316" w:type="dxa"/>
            <w:vAlign w:val="center"/>
          </w:tcPr>
          <w:p>
            <w:pPr>
              <w:pStyle w:val="Normal0"/>
              <w:jc w:val="center"/>
              <w:rPr>
                <w:rFonts w:hint="eastAsia"/>
                <w:sz w:val="24"/>
              </w:rPr>
            </w:pPr>
            <w:r>
              <w:rPr>
                <w:rFonts w:hint="eastAsia"/>
                <w:sz w:val="24"/>
              </w:rPr>
              <w:t>怠速</w:t>
            </w:r>
          </w:p>
        </w:tc>
        <w:tc>
          <w:tcPr>
            <w:tcW w:w="2726" w:type="dxa"/>
            <w:vAlign w:val="center"/>
          </w:tcPr>
          <w:p>
            <w:pPr>
              <w:pStyle w:val="Normal0"/>
              <w:jc w:val="center"/>
              <w:rPr>
                <w:sz w:val="24"/>
              </w:rPr>
            </w:pPr>
            <w:r>
              <w:rPr>
                <w:rFonts w:hint="eastAsia"/>
                <w:sz w:val="24"/>
              </w:rPr>
              <w:t>正常行驶（＞15K</w:t>
            </w:r>
            <w:r>
              <w:rPr>
                <w:sz w:val="24"/>
              </w:rPr>
              <w:t>m/hr</w:t>
            </w:r>
            <w:r>
              <w:rPr>
                <w:rFonts w:hint="eastAsia"/>
                <w:sz w:val="24"/>
              </w:rPr>
              <w:t>）</w:t>
            </w:r>
          </w:p>
        </w:tc>
        <w:tc>
          <w:tcPr>
            <w:tcW w:w="1316" w:type="dxa"/>
            <w:vAlign w:val="center"/>
          </w:tcPr>
          <w:p>
            <w:pPr>
              <w:pStyle w:val="Normal0"/>
              <w:jc w:val="center"/>
              <w:rPr>
                <w:rFonts w:hint="eastAsia"/>
                <w:sz w:val="24"/>
              </w:rPr>
            </w:pPr>
            <w:r>
              <w:rPr>
                <w:rFonts w:hint="eastAsia"/>
                <w:sz w:val="24"/>
              </w:rPr>
              <w:t>备注</w:t>
            </w:r>
          </w:p>
        </w:tc>
      </w:tr>
      <w:tr>
        <w:tblPrEx>
          <w:tblW w:w="0" w:type="auto"/>
          <w:jc w:val="center"/>
          <w:tblLayout w:type="fixed"/>
          <w:tblCellMar>
            <w:top w:w="0" w:type="dxa"/>
            <w:left w:w="108" w:type="dxa"/>
            <w:bottom w:w="0" w:type="dxa"/>
            <w:right w:w="108" w:type="dxa"/>
          </w:tblCellMar>
        </w:tblPrEx>
        <w:trPr>
          <w:jc w:val="center"/>
        </w:trPr>
        <w:tc>
          <w:tcPr>
            <w:tcW w:w="2076" w:type="dxa"/>
            <w:vAlign w:val="center"/>
          </w:tcPr>
          <w:p>
            <w:pPr>
              <w:pStyle w:val="Normal0"/>
              <w:jc w:val="center"/>
              <w:rPr>
                <w:sz w:val="24"/>
              </w:rPr>
            </w:pPr>
            <w:r>
              <w:rPr>
                <w:sz w:val="24"/>
              </w:rPr>
              <w:t>CO  (%)</w:t>
            </w:r>
          </w:p>
        </w:tc>
        <w:tc>
          <w:tcPr>
            <w:tcW w:w="1316" w:type="dxa"/>
            <w:vAlign w:val="center"/>
          </w:tcPr>
          <w:p>
            <w:pPr>
              <w:pStyle w:val="Normal0"/>
              <w:jc w:val="center"/>
              <w:rPr>
                <w:sz w:val="24"/>
              </w:rPr>
            </w:pPr>
            <w:r>
              <w:rPr>
                <w:sz w:val="24"/>
              </w:rPr>
              <w:t>4.07</w:t>
            </w:r>
          </w:p>
        </w:tc>
        <w:tc>
          <w:tcPr>
            <w:tcW w:w="2726" w:type="dxa"/>
            <w:vAlign w:val="center"/>
          </w:tcPr>
          <w:p>
            <w:pPr>
              <w:pStyle w:val="Normal0"/>
              <w:jc w:val="center"/>
              <w:rPr>
                <w:sz w:val="24"/>
              </w:rPr>
            </w:pPr>
            <w:r>
              <w:rPr>
                <w:rFonts w:hint="eastAsia"/>
                <w:sz w:val="24"/>
              </w:rPr>
              <w:t xml:space="preserve"> </w:t>
            </w:r>
            <w:r>
              <w:rPr>
                <w:sz w:val="24"/>
              </w:rPr>
              <w:t>2.0</w:t>
            </w:r>
          </w:p>
        </w:tc>
        <w:tc>
          <w:tcPr>
            <w:tcW w:w="1316" w:type="dxa"/>
            <w:vAlign w:val="center"/>
          </w:tcPr>
          <w:p>
            <w:pPr>
              <w:pStyle w:val="Normal0"/>
              <w:jc w:val="center"/>
              <w:rPr>
                <w:rFonts w:hint="eastAsia"/>
                <w:sz w:val="24"/>
              </w:rPr>
            </w:pPr>
            <w:r>
              <w:rPr>
                <w:sz w:val="24"/>
              </w:rPr>
              <w:t>(</w:t>
            </w:r>
            <w:r>
              <w:rPr>
                <w:rFonts w:hint="eastAsia"/>
                <w:sz w:val="24"/>
              </w:rPr>
              <w:t>容积比)</w:t>
            </w:r>
          </w:p>
        </w:tc>
      </w:tr>
      <w:tr>
        <w:tblPrEx>
          <w:tblW w:w="0" w:type="auto"/>
          <w:jc w:val="center"/>
          <w:tblLayout w:type="fixed"/>
          <w:tblCellMar>
            <w:top w:w="0" w:type="dxa"/>
            <w:left w:w="108" w:type="dxa"/>
            <w:bottom w:w="0" w:type="dxa"/>
            <w:right w:w="108" w:type="dxa"/>
          </w:tblCellMar>
        </w:tblPrEx>
        <w:trPr>
          <w:jc w:val="center"/>
        </w:trPr>
        <w:tc>
          <w:tcPr>
            <w:tcW w:w="2076" w:type="dxa"/>
            <w:vAlign w:val="center"/>
          </w:tcPr>
          <w:p>
            <w:pPr>
              <w:pStyle w:val="Normal0"/>
              <w:jc w:val="center"/>
              <w:rPr>
                <w:sz w:val="24"/>
              </w:rPr>
            </w:pPr>
            <w:r>
              <w:rPr>
                <w:sz w:val="24"/>
              </w:rPr>
              <w:t>HC(ppm)</w:t>
            </w:r>
          </w:p>
        </w:tc>
        <w:tc>
          <w:tcPr>
            <w:tcW w:w="1316" w:type="dxa"/>
            <w:vAlign w:val="center"/>
          </w:tcPr>
          <w:p>
            <w:pPr>
              <w:pStyle w:val="Normal0"/>
              <w:jc w:val="center"/>
              <w:rPr>
                <w:sz w:val="24"/>
              </w:rPr>
            </w:pPr>
            <w:r>
              <w:rPr>
                <w:sz w:val="24"/>
              </w:rPr>
              <w:t>1200</w:t>
            </w:r>
          </w:p>
        </w:tc>
        <w:tc>
          <w:tcPr>
            <w:tcW w:w="2726" w:type="dxa"/>
            <w:vAlign w:val="center"/>
          </w:tcPr>
          <w:p>
            <w:pPr>
              <w:pStyle w:val="Normal0"/>
              <w:jc w:val="center"/>
              <w:rPr>
                <w:sz w:val="24"/>
              </w:rPr>
            </w:pPr>
            <w:r>
              <w:rPr>
                <w:sz w:val="24"/>
              </w:rPr>
              <w:t>400</w:t>
            </w:r>
          </w:p>
        </w:tc>
        <w:tc>
          <w:tcPr>
            <w:tcW w:w="1316" w:type="dxa"/>
            <w:vAlign w:val="center"/>
          </w:tcPr>
          <w:p>
            <w:pPr>
              <w:pStyle w:val="Normal0"/>
              <w:jc w:val="center"/>
              <w:rPr>
                <w:rFonts w:hint="eastAsia"/>
                <w:sz w:val="24"/>
              </w:rPr>
            </w:pPr>
            <w:r>
              <w:rPr>
                <w:sz w:val="24"/>
              </w:rPr>
              <w:t>(</w:t>
            </w:r>
            <w:r>
              <w:rPr>
                <w:rFonts w:hint="eastAsia"/>
                <w:sz w:val="24"/>
              </w:rPr>
              <w:t>容积比)</w:t>
            </w:r>
          </w:p>
        </w:tc>
      </w:tr>
      <w:tr>
        <w:tblPrEx>
          <w:tblW w:w="0" w:type="auto"/>
          <w:jc w:val="center"/>
          <w:tblLayout w:type="fixed"/>
          <w:tblCellMar>
            <w:top w:w="0" w:type="dxa"/>
            <w:left w:w="108" w:type="dxa"/>
            <w:bottom w:w="0" w:type="dxa"/>
            <w:right w:w="108" w:type="dxa"/>
          </w:tblCellMar>
        </w:tblPrEx>
        <w:trPr>
          <w:jc w:val="center"/>
        </w:trPr>
        <w:tc>
          <w:tcPr>
            <w:tcW w:w="2076" w:type="dxa"/>
            <w:vAlign w:val="center"/>
          </w:tcPr>
          <w:p>
            <w:pPr>
              <w:pStyle w:val="Normal0"/>
              <w:jc w:val="center"/>
              <w:rPr>
                <w:sz w:val="24"/>
              </w:rPr>
            </w:pPr>
            <w:r>
              <w:rPr>
                <w:rFonts w:hint="eastAsia"/>
                <w:sz w:val="24"/>
              </w:rPr>
              <w:t>NO</w:t>
            </w:r>
            <w:r>
              <w:rPr>
                <w:sz w:val="24"/>
                <w:vertAlign w:val="subscript"/>
              </w:rPr>
              <w:t>x</w:t>
            </w:r>
            <w:r>
              <w:rPr>
                <w:sz w:val="24"/>
              </w:rPr>
              <w:t xml:space="preserve"> (ppm)</w:t>
            </w:r>
          </w:p>
        </w:tc>
        <w:tc>
          <w:tcPr>
            <w:tcW w:w="1316" w:type="dxa"/>
            <w:vAlign w:val="center"/>
          </w:tcPr>
          <w:p>
            <w:pPr>
              <w:pStyle w:val="Normal0"/>
              <w:jc w:val="center"/>
              <w:rPr>
                <w:sz w:val="24"/>
              </w:rPr>
            </w:pPr>
            <w:r>
              <w:rPr>
                <w:sz w:val="24"/>
              </w:rPr>
              <w:t>600</w:t>
            </w:r>
          </w:p>
        </w:tc>
        <w:tc>
          <w:tcPr>
            <w:tcW w:w="2726" w:type="dxa"/>
            <w:vAlign w:val="center"/>
          </w:tcPr>
          <w:p>
            <w:pPr>
              <w:pStyle w:val="Normal0"/>
              <w:jc w:val="center"/>
              <w:rPr>
                <w:sz w:val="24"/>
              </w:rPr>
            </w:pPr>
            <w:r>
              <w:rPr>
                <w:sz w:val="24"/>
              </w:rPr>
              <w:t>1000</w:t>
            </w:r>
          </w:p>
        </w:tc>
        <w:tc>
          <w:tcPr>
            <w:tcW w:w="1316" w:type="dxa"/>
            <w:vAlign w:val="center"/>
          </w:tcPr>
          <w:p>
            <w:pPr>
              <w:pStyle w:val="Normal0"/>
              <w:jc w:val="center"/>
              <w:rPr>
                <w:rFonts w:hint="eastAsia"/>
                <w:sz w:val="24"/>
              </w:rPr>
            </w:pPr>
            <w:r>
              <w:rPr>
                <w:sz w:val="24"/>
              </w:rPr>
              <w:t>(</w:t>
            </w:r>
            <w:r>
              <w:rPr>
                <w:rFonts w:hint="eastAsia"/>
                <w:sz w:val="24"/>
              </w:rPr>
              <w:t>容积比)</w:t>
            </w:r>
          </w:p>
        </w:tc>
      </w:tr>
    </w:tbl>
    <w:p>
      <w:pPr>
        <w:pStyle w:val="Normal0"/>
        <w:snapToGrid w:val="0"/>
        <w:spacing w:line="360" w:lineRule="auto"/>
        <w:ind w:left="425"/>
        <w:rPr>
          <w:rFonts w:hint="eastAsia"/>
        </w:rPr>
      </w:pPr>
      <w:r>
        <w:rPr>
          <w:rFonts w:hint="eastAsia"/>
        </w:rPr>
        <w:t xml:space="preserve">  注：HC化合物以正戊烷计。</w:t>
      </w:r>
    </w:p>
    <w:p>
      <w:pPr>
        <w:pStyle w:val="Normal0"/>
        <w:snapToGrid w:val="0"/>
        <w:spacing w:line="360" w:lineRule="auto"/>
        <w:outlineLvl w:val="0"/>
        <w:rPr>
          <w:rFonts w:hint="eastAsia"/>
          <w:sz w:val="28"/>
        </w:rPr>
      </w:pPr>
      <w:r>
        <w:rPr>
          <w:rFonts w:hint="eastAsia"/>
          <w:sz w:val="28"/>
        </w:rPr>
        <w:t>·汽车废气中污染物源强物料衡算计算公式。</w:t>
      </w:r>
    </w:p>
    <w:p>
      <w:pPr>
        <w:pStyle w:val="Normal0"/>
        <w:snapToGrid w:val="0"/>
        <w:spacing w:line="360" w:lineRule="auto"/>
        <w:rPr>
          <w:rFonts w:hint="eastAsia"/>
          <w:sz w:val="28"/>
        </w:rPr>
      </w:pPr>
      <w:r>
        <w:rPr>
          <w:rFonts w:hint="eastAsia"/>
          <w:sz w:val="28"/>
        </w:rPr>
        <w:t xml:space="preserve">    CO、NO</w:t>
      </w:r>
      <w:r>
        <w:rPr>
          <w:sz w:val="28"/>
          <w:vertAlign w:val="subscript"/>
        </w:rPr>
        <w:t>x</w:t>
      </w:r>
      <w:r>
        <w:rPr>
          <w:rFonts w:hint="eastAsia"/>
          <w:sz w:val="28"/>
        </w:rPr>
        <w:t>、HC源强计算公式。由上述参数和下列公式可以确定汽车废气CO、NO</w:t>
      </w:r>
      <w:r>
        <w:rPr>
          <w:sz w:val="28"/>
          <w:vertAlign w:val="subscript"/>
        </w:rPr>
        <w:t>x</w:t>
      </w:r>
      <w:r>
        <w:rPr>
          <w:rFonts w:hint="eastAsia"/>
          <w:sz w:val="28"/>
        </w:rPr>
        <w:t>和HC排放源强。</w:t>
      </w:r>
    </w:p>
    <w:p>
      <w:pPr>
        <w:pStyle w:val="Normal0"/>
        <w:snapToGrid w:val="0"/>
        <w:spacing w:line="360" w:lineRule="auto"/>
        <w:rPr>
          <w:sz w:val="28"/>
          <w:lang w:val="fr-FR"/>
        </w:rPr>
      </w:pPr>
      <w:r>
        <w:rPr>
          <w:sz w:val="28"/>
        </w:rPr>
        <w:t xml:space="preserve">    </w:t>
      </w:r>
      <w:r>
        <w:rPr>
          <w:rFonts w:hint="eastAsia"/>
          <w:sz w:val="28"/>
        </w:rPr>
        <w:t>排气量</w:t>
      </w:r>
      <w:r>
        <w:rPr>
          <w:rFonts w:hint="eastAsia"/>
          <w:sz w:val="28"/>
          <w:lang w:val="fr-FR"/>
        </w:rPr>
        <w:t>=D·</w:t>
      </w:r>
      <w:r>
        <w:rPr>
          <w:sz w:val="28"/>
          <w:lang w:val="fr-FR"/>
        </w:rPr>
        <w:t>T</w:t>
      </w:r>
      <w:r>
        <w:rPr>
          <w:rFonts w:hint="eastAsia"/>
          <w:sz w:val="28"/>
          <w:lang w:val="fr-FR"/>
        </w:rPr>
        <w:t>·</w:t>
      </w:r>
      <w:r>
        <w:rPr>
          <w:sz w:val="28"/>
          <w:lang w:val="fr-FR"/>
        </w:rPr>
        <w:t>(k+1)</w:t>
      </w:r>
      <w:r>
        <w:rPr>
          <w:rFonts w:hint="eastAsia"/>
          <w:sz w:val="28"/>
          <w:lang w:val="fr-FR"/>
        </w:rPr>
        <w:t>·</w:t>
      </w:r>
      <w:r>
        <w:rPr>
          <w:sz w:val="28"/>
          <w:lang w:val="fr-FR"/>
        </w:rPr>
        <w:t>A/1.29</w:t>
      </w:r>
    </w:p>
    <w:p>
      <w:pPr>
        <w:pStyle w:val="Normal0"/>
        <w:snapToGrid w:val="0"/>
        <w:spacing w:line="360" w:lineRule="auto"/>
        <w:rPr>
          <w:sz w:val="28"/>
          <w:lang w:val="fr-FR"/>
        </w:rPr>
      </w:pPr>
      <w:r>
        <w:rPr>
          <w:sz w:val="28"/>
          <w:lang w:val="fr-FR"/>
        </w:rPr>
        <w:t xml:space="preserve">    </w:t>
      </w:r>
      <w:r>
        <w:rPr>
          <w:rFonts w:hint="eastAsia"/>
          <w:sz w:val="28"/>
        </w:rPr>
        <w:t>排放量</w:t>
      </w:r>
      <w:r>
        <w:rPr>
          <w:rFonts w:hint="eastAsia"/>
          <w:sz w:val="28"/>
          <w:lang w:val="fr-FR"/>
        </w:rPr>
        <w:t>G=D·</w:t>
      </w:r>
      <w:r>
        <w:rPr>
          <w:sz w:val="28"/>
          <w:lang w:val="fr-FR"/>
        </w:rPr>
        <w:t>C</w:t>
      </w:r>
      <w:r>
        <w:rPr>
          <w:rFonts w:hint="eastAsia"/>
          <w:sz w:val="28"/>
          <w:lang w:val="fr-FR"/>
        </w:rPr>
        <w:t>·</w:t>
      </w:r>
      <w:r>
        <w:rPr>
          <w:sz w:val="28"/>
          <w:lang w:val="fr-FR"/>
        </w:rPr>
        <w:t>f</w:t>
      </w:r>
    </w:p>
    <w:p>
      <w:pPr>
        <w:pStyle w:val="Normal0"/>
        <w:snapToGrid w:val="0"/>
        <w:spacing w:line="360" w:lineRule="auto"/>
        <w:rPr>
          <w:sz w:val="28"/>
          <w:lang w:val="fr-FR"/>
        </w:rPr>
      </w:pPr>
      <w:r>
        <w:rPr>
          <w:rFonts w:hint="eastAsia"/>
          <w:sz w:val="28"/>
        </w:rPr>
        <w:t>式中</w:t>
      </w:r>
      <w:r>
        <w:rPr>
          <w:rFonts w:hint="eastAsia"/>
          <w:sz w:val="28"/>
          <w:lang w:val="fr-FR"/>
        </w:rPr>
        <w:t>：G—</w:t>
      </w:r>
      <w:r>
        <w:rPr>
          <w:rFonts w:hint="eastAsia"/>
          <w:sz w:val="28"/>
        </w:rPr>
        <w:t>污染物排放量</w:t>
      </w:r>
      <w:r>
        <w:rPr>
          <w:sz w:val="28"/>
          <w:lang w:val="fr-FR"/>
        </w:rPr>
        <w:t>kg/h</w:t>
      </w:r>
      <w:r>
        <w:rPr>
          <w:rFonts w:hint="eastAsia"/>
          <w:sz w:val="28"/>
          <w:lang w:val="fr-FR"/>
        </w:rPr>
        <w:t>；</w:t>
      </w:r>
      <w:r>
        <w:rPr>
          <w:sz w:val="28"/>
          <w:lang w:val="fr-FR"/>
        </w:rPr>
        <w:br/>
      </w:r>
      <w:r>
        <w:rPr>
          <w:sz w:val="28"/>
          <w:lang w:val="fr-F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https://d.book118.com/797023103103006045</w:t>
        </w:r>
      </w:hyperlink>
    </w:p>
    <w:p>
      <w:pPr>
        <w:pStyle w:val="Normal0"/>
        <w:snapToGrid w:val="0"/>
        <w:spacing w:line="360" w:lineRule="auto"/>
        <w:rPr>
          <w:sz w:val="28"/>
          <w:lang w:val="fr-FR"/>
        </w:rPr>
      </w:pPr>
    </w:p>
    <w:sectPr>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C90F75"/>
    <w:rsid w:val="00D16826"/>
    <w:rsid w:val="00D73C87"/>
    <w:rsid w:val="00E73211"/>
    <w:rsid w:val="00EF34AA"/>
    <w:rsid w:val="00FC25C7"/>
    <w:rsid w:val="1B775F20"/>
    <w:rsid w:val="49B755B6"/>
    <w:rsid w:val="53D629E8"/>
    <w:rsid w:val="5E280D51"/>
    <w:rsid w:val="6F5A3C93"/>
    <w:rsid w:val="705933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jc w:val="center"/>
      <w:outlineLvl w:val="0"/>
    </w:pPr>
    <w:rPr>
      <w:rFonts w:ascii="Times New Roman" w:eastAsia="黑体" w:hAnsi="Times New Roman"/>
      <w:b/>
      <w:sz w:val="30"/>
      <w:szCs w:val="20"/>
    </w:rPr>
  </w:style>
  <w:style w:type="paragraph" w:styleId="Heading2">
    <w:name w:val="heading 2"/>
    <w:basedOn w:val="Normal"/>
    <w:next w:val="NormalIndent"/>
    <w:qFormat/>
    <w:pPr>
      <w:keepNext/>
      <w:keepLines/>
      <w:spacing w:before="260" w:after="260" w:line="416" w:lineRule="auto"/>
      <w:outlineLvl w:val="1"/>
    </w:pPr>
    <w:rPr>
      <w:rFonts w:ascii="Times New Roman" w:eastAsia="黑体" w:hAnsi="Times New Roman"/>
      <w:b/>
      <w:sz w:val="28"/>
      <w:szCs w:val="20"/>
    </w:rPr>
  </w:style>
  <w:style w:type="paragraph" w:styleId="Heading3">
    <w:name w:val="heading 3"/>
    <w:basedOn w:val="Normal"/>
    <w:next w:val="NormalIndent"/>
    <w:qFormat/>
    <w:pPr>
      <w:keepNext/>
      <w:keepLines/>
      <w:spacing w:before="260" w:after="260" w:line="416" w:lineRule="auto"/>
      <w:outlineLvl w:val="2"/>
    </w:pPr>
    <w:rPr>
      <w:rFonts w:ascii="Times New Roman" w:eastAsia="黑体" w:hAnsi="Times New Roman"/>
      <w:sz w:val="28"/>
      <w:szCs w:val="20"/>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lang w:val="en-US" w:eastAsia="zh-CN" w:bidi="ar-SA"/>
    </w:rPr>
  </w:style>
  <w:style w:type="paragraph" w:styleId="NormalIndent">
    <w:name w:val="Normal Indent"/>
    <w:basedOn w:val="Normal"/>
    <w:pPr>
      <w:ind w:firstLine="420"/>
    </w:pPr>
    <w:rPr>
      <w:rFonts w:ascii="Times New Roman" w:hAnsi="Times New Roman"/>
      <w:szCs w:val="20"/>
    </w:rPr>
  </w:style>
  <w:style w:type="paragraph" w:styleId="BodyText">
    <w:name w:val="Body Text"/>
    <w:basedOn w:val="Normal"/>
    <w:autoRedefine/>
    <w:qFormat/>
    <w:rPr>
      <w:rFonts w:ascii="Times New Roman" w:hAnsi="Times New Roman"/>
      <w:sz w:val="28"/>
      <w:szCs w:val="20"/>
    </w:rPr>
  </w:style>
  <w:style w:type="paragraph" w:styleId="TOC3">
    <w:name w:val="toc 3"/>
    <w:basedOn w:val="Normal"/>
    <w:next w:val="Normal0"/>
    <w:autoRedefine/>
    <w:semiHidden/>
    <w:pPr>
      <w:ind w:left="840"/>
    </w:pPr>
    <w:rPr>
      <w:rFonts w:ascii="Times New Roman" w:hAnsi="Times New Roman"/>
      <w:szCs w:val="20"/>
    </w:rPr>
  </w:style>
  <w:style w:type="paragraph" w:styleId="PlainText">
    <w:name w:val="Plain Text"/>
    <w:basedOn w:val="Normal"/>
    <w:rPr>
      <w:rFonts w:ascii="宋体" w:hAnsi="Courier New"/>
      <w:szCs w:val="20"/>
    </w:rPr>
  </w:style>
  <w:style w:type="paragraph" w:styleId="Date">
    <w:name w:val="Date"/>
    <w:basedOn w:val="Normal"/>
    <w:next w:val="Normal0"/>
    <w:rPr>
      <w:rFonts w:ascii="Times New Roman" w:hAnsi="Times New Roman"/>
      <w:sz w:val="28"/>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rPr>
      <w:rFonts w:ascii="Times New Roman" w:hAnsi="Times New Roman"/>
      <w:szCs w:val="20"/>
    </w:rPr>
  </w:style>
  <w:style w:type="paragraph" w:styleId="TOC2">
    <w:name w:val="toc 2"/>
    <w:basedOn w:val="Normal"/>
    <w:next w:val="Normal0"/>
    <w:autoRedefine/>
    <w:semiHidden/>
    <w:pPr>
      <w:ind w:left="420"/>
    </w:pPr>
    <w:rPr>
      <w:rFonts w:ascii="Times New Roman" w:hAnsi="Times New Roman"/>
      <w:szCs w:val="20"/>
    </w:rPr>
  </w:style>
  <w:style w:type="paragraph" w:styleId="BodyTextFirstIndent">
    <w:name w:val="Body Text First Indent"/>
    <w:basedOn w:val="BodyText"/>
    <w:autoRedefine/>
    <w:qFormat/>
    <w:pPr>
      <w:ind w:firstLine="567"/>
    </w:pPr>
  </w:style>
  <w:style w:type="character" w:styleId="PageNumber">
    <w:name w:val="page number"/>
    <w:basedOn w:val="DefaultParagraphFont"/>
  </w:style>
  <w:style w:type="paragraph" w:customStyle="1" w:styleId="a">
    <w:name w:val="表格文字"/>
    <w:basedOn w:val="PlainText"/>
    <w:autoRedefine/>
    <w:qFormat/>
    <w:pPr>
      <w:snapToGrid w:val="0"/>
      <w:spacing w:line="540" w:lineRule="exact"/>
      <w:jc w:val="center"/>
      <w:outlineLvl w:val="0"/>
    </w:pPr>
    <w:rPr>
      <w:rFonts w:ascii="Times New Roman" w:eastAsia="黑体"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hyperlink" Target="https://d.book118.com/79702310310300604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00E4F42460484D19BE36FA5AA80BC408_12</vt:lpwstr>
  </property>
  <property fmtid="{D5CDD505-2E9C-101B-9397-08002B2CF9AE}" pid="3" name="KSOProductBuildVer">
    <vt:lpwstr>2052-12.1.0.16388</vt:lpwstr>
  </property>
</Properties>
</file>