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13.020.10</w:t>
      </w:r>
    </w:p>
    <w:p>
      <w:pPr>
        <w:pStyle w:val="Bodytext20"/>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Z 50</w:t>
      </w:r>
    </w:p>
    <w:p>
      <w:pPr>
        <w:pStyle w:val="Heading110"/>
        <w:keepNext/>
        <w:keepLines/>
        <w:widowControl w:val="0"/>
        <w:shd w:val="clear" w:color="auto" w:fill="auto"/>
        <w:bidi w:val="0"/>
        <w:spacing w:before="0" w:line="240" w:lineRule="auto"/>
        <w:ind w:left="0" w:righ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210"/>
        <w:keepNext/>
        <w:keepLines/>
        <w:widowControl w:val="0"/>
        <w:shd w:val="clear" w:color="auto" w:fill="auto"/>
        <w:bidi w:val="0"/>
        <w:spacing w:before="0" w:after="480" w:line="240" w:lineRule="auto"/>
        <w:ind w:left="0" w:right="0" w:firstLine="0"/>
        <w:jc w:val="center"/>
      </w:pPr>
      <w:bookmarkStart w:id="3" w:name="bookmark3"/>
      <w:bookmarkStart w:id="4" w:name="bookmark4"/>
      <w:bookmarkStart w:id="5" w:name="bookmark5"/>
      <w:r>
        <w:rPr>
          <w:color w:val="000000"/>
          <w:spacing w:val="0"/>
          <w:w w:val="100"/>
          <w:position w:val="0"/>
        </w:rPr>
        <w:t>辽 宁 省 地 方 标 准</w:t>
      </w:r>
      <w:bookmarkEnd w:id="3"/>
      <w:bookmarkEnd w:id="4"/>
      <w:bookmarkEnd w:id="5"/>
    </w:p>
    <w:p>
      <w:pPr>
        <w:pStyle w:val="Bodytext40"/>
        <w:keepNext w:val="0"/>
        <w:keepLines w:val="0"/>
        <w:widowControl w:val="0"/>
        <w:shd w:val="clear" w:color="auto" w:fill="auto"/>
        <w:bidi w:val="0"/>
        <w:spacing w:before="0" w:after="222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DB21/T 3344—2020</w:t>
      </w:r>
    </w:p>
    <w:p>
      <w:pPr>
        <w:pStyle w:val="Heading210"/>
        <w:keepNext/>
        <w:keepLines/>
        <w:widowControl w:val="0"/>
        <w:shd w:val="clear" w:color="auto" w:fill="auto"/>
        <w:bidi w:val="0"/>
        <w:spacing w:before="0" w:after="240" w:line="240" w:lineRule="auto"/>
        <w:ind w:left="0" w:right="0" w:firstLine="0"/>
        <w:jc w:val="center"/>
      </w:pPr>
      <w:bookmarkStart w:id="6" w:name="bookmark6"/>
      <w:bookmarkStart w:id="7" w:name="bookmark7"/>
      <w:bookmarkStart w:id="8" w:name="bookmark8"/>
      <w:r>
        <w:rPr>
          <w:color w:val="000000"/>
          <w:spacing w:val="0"/>
          <w:w w:val="100"/>
          <w:position w:val="0"/>
        </w:rPr>
        <w:t>辽宁省河流营养物基准制定技术指南</w:t>
      </w:r>
      <w:bookmarkEnd w:id="6"/>
      <w:bookmarkEnd w:id="7"/>
      <w:bookmarkEnd w:id="8"/>
    </w:p>
    <w:p>
      <w:pPr>
        <w:pStyle w:val="Bodytext40"/>
        <w:keepNext w:val="0"/>
        <w:keepLines w:val="0"/>
        <w:widowControl w:val="0"/>
        <w:shd w:val="clear" w:color="auto" w:fill="auto"/>
        <w:bidi w:val="0"/>
        <w:spacing w:before="0" w:after="30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Technical guideline deriving for nutrient criteria of streams and rivers</w:t>
      </w:r>
    </w:p>
    <w:p>
      <w:pPr>
        <w:pStyle w:val="Bodytext40"/>
        <w:keepNext w:val="0"/>
        <w:keepLines w:val="0"/>
        <w:widowControl w:val="0"/>
        <w:shd w:val="clear" w:color="auto" w:fill="auto"/>
        <w:bidi w:val="0"/>
        <w:spacing w:before="0" w:after="648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in Liaoning province</w:t>
      </w:r>
    </w:p>
    <w:p>
      <w:pPr>
        <w:pStyle w:val="Bodytext40"/>
        <w:keepNext w:val="0"/>
        <w:keepLines w:val="0"/>
        <w:widowControl w:val="0"/>
        <w:shd w:val="clear" w:color="auto" w:fill="auto"/>
        <w:tabs>
          <w:tab w:val="left" w:pos="6922"/>
        </w:tabs>
        <w:bidi w:val="0"/>
        <w:spacing w:before="0" w:after="300" w:line="240" w:lineRule="auto"/>
        <w:ind w:left="0" w:right="0" w:firstLine="0"/>
        <w:jc w:val="left"/>
        <w:rPr>
          <w:sz w:val="30"/>
          <w:szCs w:val="30"/>
        </w:rPr>
        <w:sectPr>
          <w:pgSz w:w="11900" w:h="16840"/>
          <w:pgMar w:top="610" w:right="745" w:bottom="1087" w:left="1343" w:header="182" w:footer="659" w:gutter="0"/>
          <w:pgNumType w:start="1"/>
          <w:cols w:space="720"/>
          <w:noEndnote/>
          <w:rtlGutter w:val="0"/>
          <w:docGrid w:linePitch="360"/>
        </w:sectPr>
      </w:pPr>
      <w:r>
        <w:rPr>
          <w:rFonts w:ascii="Times New Roman" w:eastAsia="Times New Roman" w:hAnsi="Times New Roman" w:cs="Times New Roman"/>
          <w:color w:val="000000"/>
          <w:spacing w:val="0"/>
          <w:w w:val="100"/>
          <w:position w:val="0"/>
          <w:sz w:val="28"/>
          <w:szCs w:val="28"/>
          <w:u w:val="single"/>
          <w:lang w:val="en-US" w:eastAsia="en-US" w:bidi="en-US"/>
        </w:rPr>
        <w:t xml:space="preserve">2020 - 11 - 30 </w:t>
      </w:r>
      <w:r>
        <w:rPr>
          <w:rFonts w:ascii="SimSun" w:eastAsia="SimSun" w:hAnsi="SimSun" w:cs="SimSun"/>
          <w:color w:val="000000"/>
          <w:spacing w:val="0"/>
          <w:w w:val="100"/>
          <w:position w:val="0"/>
          <w:sz w:val="30"/>
          <w:szCs w:val="30"/>
          <w:u w:val="single"/>
          <w:lang w:val="zh-TW" w:eastAsia="zh-TW" w:bidi="zh-TW"/>
        </w:rPr>
        <w:t>发布</w:t>
        <w:tab/>
      </w:r>
      <w:r>
        <w:rPr>
          <w:rFonts w:ascii="Times New Roman" w:eastAsia="Times New Roman" w:hAnsi="Times New Roman" w:cs="Times New Roman"/>
          <w:color w:val="000000"/>
          <w:spacing w:val="0"/>
          <w:w w:val="100"/>
          <w:position w:val="0"/>
          <w:sz w:val="28"/>
          <w:szCs w:val="28"/>
          <w:u w:val="single"/>
          <w:lang w:val="en-US" w:eastAsia="en-US" w:bidi="en-US"/>
        </w:rPr>
        <w:t xml:space="preserve">2020 - 12 </w:t>
      </w:r>
      <w:r>
        <w:rPr>
          <w:rFonts w:ascii="Times New Roman" w:eastAsia="Times New Roman" w:hAnsi="Times New Roman" w:cs="Times New Roman"/>
          <w:color w:val="000000"/>
          <w:spacing w:val="0"/>
          <w:w w:val="100"/>
          <w:position w:val="0"/>
          <w:sz w:val="28"/>
          <w:szCs w:val="28"/>
          <w:u w:val="single"/>
          <w:lang w:val="zh-TW" w:eastAsia="zh-TW" w:bidi="zh-TW"/>
        </w:rPr>
        <w:t xml:space="preserve">- </w:t>
      </w:r>
      <w:r>
        <w:rPr>
          <w:rFonts w:ascii="Times New Roman" w:eastAsia="Times New Roman" w:hAnsi="Times New Roman" w:cs="Times New Roman"/>
          <w:color w:val="000000"/>
          <w:spacing w:val="0"/>
          <w:w w:val="100"/>
          <w:position w:val="0"/>
          <w:sz w:val="28"/>
          <w:szCs w:val="28"/>
          <w:u w:val="single"/>
          <w:lang w:val="en-US" w:eastAsia="en-US" w:bidi="en-US"/>
        </w:rPr>
        <w:t xml:space="preserve">30 </w:t>
      </w:r>
      <w:r>
        <w:rPr>
          <w:rFonts w:ascii="SimSun" w:eastAsia="SimSun" w:hAnsi="SimSun" w:cs="SimSun"/>
          <w:color w:val="000000"/>
          <w:spacing w:val="0"/>
          <w:w w:val="100"/>
          <w:position w:val="0"/>
          <w:sz w:val="30"/>
          <w:szCs w:val="30"/>
          <w:u w:val="single"/>
          <w:lang w:val="zh-TW" w:eastAsia="zh-TW" w:bidi="zh-TW"/>
        </w:rPr>
        <w:t>实施</w:t>
      </w:r>
    </w:p>
    <w:p>
      <w:pPr>
        <w:pStyle w:val="Heading310"/>
        <w:keepNext/>
        <w:keepLines/>
        <w:widowControl w:val="0"/>
        <w:shd w:val="clear" w:color="auto" w:fill="auto"/>
        <w:bidi w:val="0"/>
        <w:spacing w:before="0" w:after="300" w:line="240" w:lineRule="auto"/>
        <w:ind w:left="0" w:right="0" w:firstLine="0"/>
        <w:jc w:val="center"/>
      </w:pPr>
      <w:bookmarkStart w:id="9" w:name="bookmark10"/>
      <w:bookmarkStart w:id="10" w:name="bookmark11"/>
      <w:bookmarkStart w:id="11" w:name="bookmark9"/>
      <w:r>
        <w:rPr>
          <w:color w:val="000000"/>
          <w:spacing w:val="0"/>
          <w:w w:val="100"/>
          <w:position w:val="0"/>
        </w:rPr>
        <w:t>辽宁省市场监督管理局 发布</w:t>
      </w:r>
      <w:bookmarkEnd w:id="9"/>
      <w:bookmarkEnd w:id="10"/>
      <w:bookmarkEnd w:id="11"/>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 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en-US" w:eastAsia="en-US" w:bidi="en-US"/>
        </w:rPr>
        <w:t>ii</w:t>
      </w:r>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4</w:t>
      </w:r>
      <w:r>
        <w:rPr>
          <w:color w:val="000000"/>
          <w:spacing w:val="0"/>
          <w:w w:val="100"/>
          <w:position w:val="0"/>
        </w:rPr>
        <w:t>营养物基准制定技术流程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5</w:t>
      </w:r>
      <w:r>
        <w:rPr>
          <w:color w:val="000000"/>
          <w:spacing w:val="0"/>
          <w:w w:val="100"/>
          <w:position w:val="0"/>
        </w:rPr>
        <w:t>基准制定候选指标及选取</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6</w:t>
      </w:r>
      <w:r>
        <w:rPr>
          <w:color w:val="000000"/>
          <w:spacing w:val="0"/>
          <w:w w:val="100"/>
          <w:position w:val="0"/>
        </w:rPr>
        <w:t>数据收集与补充监测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hyperlink w:anchor="bookmark40" w:tooltip="Current Document">
        <w:r>
          <w:rPr>
            <w:rFonts w:ascii="Times New Roman" w:eastAsia="Times New Roman" w:hAnsi="Times New Roman" w:cs="Times New Roman"/>
            <w:color w:val="000000"/>
            <w:spacing w:val="0"/>
            <w:w w:val="100"/>
            <w:position w:val="0"/>
          </w:rPr>
          <w:t>7</w:t>
        </w:r>
        <w:r>
          <w:rPr>
            <w:color w:val="000000"/>
            <w:spacing w:val="0"/>
            <w:w w:val="100"/>
            <w:position w:val="0"/>
          </w:rPr>
          <w:t>基准推导方法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hyperlink>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hyperlink w:anchor="bookmark63" w:tooltip="Current Document">
        <w:r>
          <w:rPr>
            <w:rFonts w:ascii="Times New Roman" w:eastAsia="Times New Roman" w:hAnsi="Times New Roman" w:cs="Times New Roman"/>
            <w:color w:val="000000"/>
            <w:spacing w:val="0"/>
            <w:w w:val="100"/>
            <w:position w:val="0"/>
          </w:rPr>
          <w:t>8</w:t>
        </w:r>
        <w:r>
          <w:rPr>
            <w:color w:val="000000"/>
            <w:spacing w:val="0"/>
            <w:w w:val="100"/>
            <w:position w:val="0"/>
          </w:rPr>
          <w:t>基准值审核</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hyperlink>
    </w:p>
    <w:p>
      <w:pPr>
        <w:pStyle w:val="Tableofcontents10"/>
        <w:keepNext w:val="0"/>
        <w:keepLines w:val="0"/>
        <w:widowControl w:val="0"/>
        <w:shd w:val="clear" w:color="auto" w:fill="auto"/>
        <w:tabs>
          <w:tab w:val="right" w:leader="dot" w:pos="9315"/>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9</w:t>
      </w:r>
      <w:r>
        <w:rPr>
          <w:color w:val="000000"/>
          <w:spacing w:val="0"/>
          <w:w w:val="100"/>
          <w:position w:val="0"/>
        </w:rPr>
        <w:t>基准值后续评估</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pos="1507"/>
          <w:tab w:val="right" w:leader="dot" w:pos="9315"/>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tab/>
      </w:r>
      <w:r>
        <w:rPr>
          <w:color w:val="000000"/>
          <w:spacing w:val="0"/>
          <w:w w:val="100"/>
          <w:position w:val="0"/>
        </w:rPr>
        <w:t>（资料性）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pos="1507"/>
          <w:tab w:val="right" w:leader="dot" w:pos="9315"/>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tab/>
      </w:r>
      <w:r>
        <w:rPr>
          <w:color w:val="000000"/>
          <w:spacing w:val="0"/>
          <w:w w:val="100"/>
          <w:position w:val="0"/>
        </w:rPr>
        <w:t>（资料性）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right" w:pos="1507"/>
          <w:tab w:val="right" w:leader="dot" w:pos="9315"/>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tab/>
      </w:r>
      <w:r>
        <w:rPr>
          <w:color w:val="000000"/>
          <w:spacing w:val="0"/>
          <w:w w:val="100"/>
          <w:position w:val="0"/>
        </w:rPr>
        <w:t>（资料性）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14</w:t>
      </w:r>
    </w:p>
    <w:p>
      <w:pPr>
        <w:pStyle w:val="Tableofcontents10"/>
        <w:keepNext w:val="0"/>
        <w:keepLines w:val="0"/>
        <w:widowControl w:val="0"/>
        <w:shd w:val="clear" w:color="auto" w:fill="auto"/>
        <w:tabs>
          <w:tab w:val="right" w:pos="1507"/>
          <w:tab w:val="right" w:leader="dot" w:pos="9315"/>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tab/>
      </w:r>
      <w:r>
        <w:rPr>
          <w:color w:val="000000"/>
          <w:spacing w:val="0"/>
          <w:w w:val="100"/>
          <w:position w:val="0"/>
        </w:rPr>
        <w:t>（资料性）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15</w:t>
      </w:r>
    </w:p>
    <w:p>
      <w:pPr>
        <w:pStyle w:val="Tableofcontents10"/>
        <w:keepNext w:val="0"/>
        <w:keepLines w:val="0"/>
        <w:widowControl w:val="0"/>
        <w:shd w:val="clear" w:color="auto" w:fill="auto"/>
        <w:tabs>
          <w:tab w:val="right" w:pos="1507"/>
          <w:tab w:val="right" w:leader="dot" w:pos="9315"/>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E</w:t>
        <w:tab/>
      </w:r>
      <w:r>
        <w:rPr>
          <w:color w:val="000000"/>
          <w:spacing w:val="0"/>
          <w:w w:val="100"/>
          <w:position w:val="0"/>
        </w:rPr>
        <w:t>（资料性）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p>
    <w:p>
      <w:pPr>
        <w:pStyle w:val="Tableofcontents10"/>
        <w:keepNext w:val="0"/>
        <w:keepLines w:val="0"/>
        <w:widowControl w:val="0"/>
        <w:shd w:val="clear" w:color="auto" w:fill="auto"/>
        <w:tabs>
          <w:tab w:val="right" w:pos="1507"/>
          <w:tab w:val="right" w:leader="dot" w:pos="9315"/>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F</w:t>
        <w:tab/>
      </w:r>
      <w:r>
        <w:rPr>
          <w:color w:val="000000"/>
          <w:spacing w:val="0"/>
          <w:w w:val="100"/>
          <w:position w:val="0"/>
        </w:rPr>
        <w:t>（资料性）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w:t>
      </w:r>
    </w:p>
    <w:p>
      <w:pPr>
        <w:pStyle w:val="Tableofcontents10"/>
        <w:keepNext w:val="0"/>
        <w:keepLines w:val="0"/>
        <w:widowControl w:val="0"/>
        <w:shd w:val="clear" w:color="auto" w:fill="auto"/>
        <w:tabs>
          <w:tab w:val="right" w:pos="1507"/>
          <w:tab w:val="right" w:leader="dot" w:pos="9315"/>
        </w:tabs>
        <w:bidi w:val="0"/>
        <w:spacing w:before="0" w:line="240" w:lineRule="auto"/>
        <w:ind w:left="0" w:right="0" w:firstLine="0"/>
        <w:jc w:val="both"/>
        <w:sectPr>
          <w:type w:val="nextPage"/>
          <w:pgSz w:w="11900" w:h="16840"/>
          <w:pgMar w:top="610" w:right="745" w:bottom="1087" w:left="1343" w:header="182" w:footer="659" w:gutter="0"/>
          <w:pgNumType w:start="2"/>
          <w:cols w:space="720"/>
          <w:noEndnote/>
          <w:titlePg w:val="0"/>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G</w:t>
        <w:tab/>
      </w:r>
      <w:r>
        <w:rPr>
          <w:color w:val="000000"/>
          <w:spacing w:val="0"/>
          <w:w w:val="100"/>
          <w:position w:val="0"/>
        </w:rPr>
        <w:t>（资料性）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18</w:t>
      </w:r>
      <w:r>
        <w:fldChar w:fldCharType="end"/>
      </w:r>
    </w:p>
    <w:p>
      <w:pPr>
        <w:pStyle w:val="Bodytext20"/>
        <w:keepNext w:val="0"/>
        <w:keepLines w:val="0"/>
        <w:widowControl w:val="0"/>
        <w:shd w:val="clear" w:color="auto" w:fill="auto"/>
        <w:tabs>
          <w:tab w:val="left" w:pos="718"/>
        </w:tabs>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sz w:val="10"/>
          <w:szCs w:val="10"/>
          <w:lang w:val="en-US" w:eastAsia="en-US" w:bidi="en-US"/>
        </w:rPr>
        <w:t>* I</w:t>
      </w:r>
      <w:r>
        <w:rPr>
          <w:rFonts w:ascii="Times New Roman" w:eastAsia="Times New Roman" w:hAnsi="Times New Roman" w:cs="Times New Roman"/>
          <w:color w:val="000000"/>
          <w:spacing w:val="0"/>
          <w:w w:val="100"/>
          <w:position w:val="0"/>
          <w:lang w:val="en-US" w:eastAsia="en-US" w:bidi="en-US"/>
        </w:rPr>
        <w:tab/>
        <w:t>—1</w:t>
      </w:r>
      <w:r>
        <w:rPr>
          <w:rFonts w:ascii="Times New Roman" w:eastAsia="Times New Roman" w:hAnsi="Times New Roman" w:cs="Times New Roman"/>
          <w:color w:val="000000"/>
          <w:spacing w:val="0"/>
          <w:w w:val="100"/>
          <w:position w:val="0"/>
          <w:lang w:val="zh-TW" w:eastAsia="zh-TW" w:bidi="zh-TW"/>
        </w:rPr>
        <w:t>—</w:t>
      </w:r>
    </w:p>
    <w:p>
      <w:pPr>
        <w:pStyle w:val="Bodytext40"/>
        <w:keepNext w:val="0"/>
        <w:keepLines w:val="0"/>
        <w:widowControl w:val="0"/>
        <w:shd w:val="clear" w:color="auto" w:fill="auto"/>
        <w:tabs>
          <w:tab w:val="left" w:pos="718"/>
        </w:tabs>
        <w:bidi w:val="0"/>
        <w:spacing w:before="0" w:after="180" w:line="240" w:lineRule="auto"/>
        <w:ind w:left="0" w:right="0" w:firstLine="0"/>
        <w:jc w:val="center"/>
        <w:rPr>
          <w:sz w:val="30"/>
          <w:szCs w:val="30"/>
        </w:rPr>
      </w:pPr>
      <w:r>
        <w:rPr>
          <w:rFonts w:ascii="SimSun" w:eastAsia="SimSun" w:hAnsi="SimSun" w:cs="SimSun"/>
          <w:color w:val="000000"/>
          <w:spacing w:val="0"/>
          <w:w w:val="100"/>
          <w:position w:val="0"/>
          <w:sz w:val="30"/>
          <w:szCs w:val="30"/>
          <w:lang w:val="zh-TW" w:eastAsia="zh-TW" w:bidi="zh-TW"/>
        </w:rPr>
        <w:t>冃</w:t>
      </w:r>
      <w:r>
        <w:rPr>
          <w:rFonts w:ascii="Times New Roman" w:eastAsia="Times New Roman" w:hAnsi="Times New Roman" w:cs="Times New Roman"/>
          <w:color w:val="000000"/>
          <w:spacing w:val="0"/>
          <w:w w:val="100"/>
          <w:position w:val="0"/>
          <w:sz w:val="28"/>
          <w:szCs w:val="28"/>
          <w:lang w:val="en-US" w:eastAsia="en-US" w:bidi="en-US"/>
        </w:rPr>
        <w:t>IJ</w:t>
        <w:tab/>
      </w:r>
      <w:r>
        <w:rPr>
          <w:rFonts w:ascii="SimSun" w:eastAsia="SimSun" w:hAnsi="SimSun" w:cs="SimSun"/>
          <w:color w:val="000000"/>
          <w:spacing w:val="0"/>
          <w:w w:val="100"/>
          <w:position w:val="0"/>
          <w:sz w:val="30"/>
          <w:szCs w:val="30"/>
          <w:lang w:val="zh-TW" w:eastAsia="zh-TW" w:bidi="zh-TW"/>
        </w:rPr>
        <w:t>言</w:t>
      </w:r>
    </w:p>
    <w:p>
      <w:pPr>
        <w:pStyle w:val="Bodytext10"/>
        <w:keepNext w:val="0"/>
        <w:keepLines w:val="0"/>
        <w:widowControl w:val="0"/>
        <w:shd w:val="clear" w:color="auto" w:fill="auto"/>
        <w:bidi w:val="0"/>
        <w:spacing w:before="0" w:after="0" w:line="310" w:lineRule="exact"/>
        <w:ind w:left="0" w:right="0" w:firstLine="420"/>
        <w:jc w:val="left"/>
      </w:pPr>
      <w:bookmarkStart w:id="12" w:name="bookmark12"/>
      <w:r>
        <w:rPr>
          <w:color w:val="000000"/>
          <w:spacing w:val="0"/>
          <w:w w:val="100"/>
          <w:position w:val="0"/>
        </w:rPr>
        <w:t>本标准依据</w:t>
      </w:r>
      <w:r>
        <w:rPr>
          <w:rFonts w:ascii="Times New Roman" w:eastAsia="Times New Roman" w:hAnsi="Times New Roman" w:cs="Times New Roman"/>
          <w:color w:val="000000"/>
          <w:spacing w:val="0"/>
          <w:w w:val="100"/>
          <w:position w:val="0"/>
          <w:lang w:val="en-US" w:eastAsia="en-US" w:bidi="en-US"/>
        </w:rPr>
        <w:t>GB/T 1.1</w:t>
      </w:r>
      <w:r>
        <w:rPr>
          <w:color w:val="000000"/>
          <w:spacing w:val="0"/>
          <w:w w:val="100"/>
          <w:position w:val="0"/>
        </w:rPr>
        <w:t>标准化工作导则给岀的规则起草。</w:t>
      </w:r>
      <w:bookmarkEnd w:id="12"/>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本标准由辽宁省生态环境厅提岀并归口。</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本标准主要起草单位：辽宁石油化工大学环境与安全工程学院、上海应用技术大</w:t>
      </w:r>
      <w:hyperlink r:id="rId4" w:history="1">
        <w:r>
          <w:rPr>
            <w:color w:val="000000"/>
            <w:spacing w:val="0"/>
            <w:w w:val="100"/>
            <w:position w:val="0"/>
          </w:rPr>
          <w:t>学生态技术与工程</w:t>
        </w:r>
      </w:hyperlink>
      <w:r>
        <w:rPr>
          <w:color w:val="000000"/>
          <w:spacing w:val="0"/>
          <w:w w:val="100"/>
          <w:position w:val="0"/>
        </w:rPr>
        <w:t xml:space="preserve"> </w:t>
      </w:r>
      <w:hyperlink r:id="rId4" w:history="1">
        <w:r>
          <w:rPr>
            <w:color w:val="000000"/>
            <w:spacing w:val="0"/>
            <w:w w:val="100"/>
            <w:position w:val="0"/>
          </w:rPr>
          <w:t>学院。</w:t>
        </w:r>
      </w:hyperlink>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本标准主要起草人：陈佳勃、李法云、王艳杰</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本标准为首次发布。</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本标准发布实施后，任何单位和个人如有问题和意见建议,均可以通过来电和来函等方式进行反馈, 我们将及时答复并认真处理，根据实际情况依法进行评估及复审。</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归口管理部门通讯地址：辽宁省生态环境厅（辽宁省沈阳市浑南区双园路</w:t>
      </w:r>
      <w:r>
        <w:rPr>
          <w:rFonts w:ascii="Times New Roman" w:eastAsia="Times New Roman" w:hAnsi="Times New Roman" w:cs="Times New Roman"/>
          <w:color w:val="000000"/>
          <w:spacing w:val="0"/>
          <w:w w:val="100"/>
          <w:position w:val="0"/>
        </w:rPr>
        <w:t>30</w:t>
      </w:r>
      <w:r>
        <w:rPr>
          <w:color w:val="000000"/>
          <w:spacing w:val="0"/>
          <w:w w:val="100"/>
          <w:position w:val="0"/>
        </w:rPr>
        <w:t xml:space="preserve">号），联系电话： </w:t>
      </w:r>
      <w:r>
        <w:rPr>
          <w:rFonts w:ascii="Times New Roman" w:eastAsia="Times New Roman" w:hAnsi="Times New Roman" w:cs="Times New Roman"/>
          <w:color w:val="000000"/>
          <w:spacing w:val="0"/>
          <w:w w:val="100"/>
          <w:position w:val="0"/>
        </w:rPr>
        <w:t>024- 62788591</w:t>
      </w:r>
    </w:p>
    <w:p>
      <w:pPr>
        <w:pStyle w:val="Bodytext10"/>
        <w:keepNext w:val="0"/>
        <w:keepLines w:val="0"/>
        <w:widowControl w:val="0"/>
        <w:shd w:val="clear" w:color="auto" w:fill="auto"/>
        <w:bidi w:val="0"/>
        <w:spacing w:before="0" w:after="2260" w:line="310" w:lineRule="exact"/>
        <w:ind w:left="0" w:right="0" w:firstLine="420"/>
        <w:jc w:val="left"/>
      </w:pPr>
      <w:r>
        <w:rPr>
          <w:color w:val="000000"/>
          <w:spacing w:val="0"/>
          <w:w w:val="100"/>
          <w:position w:val="0"/>
        </w:rPr>
        <w:t>标准起草单位通讯地址：辽宁省抚顺市望花区丹东路西段</w:t>
      </w:r>
      <w:r>
        <w:rPr>
          <w:rFonts w:ascii="Times New Roman" w:eastAsia="Times New Roman" w:hAnsi="Times New Roman" w:cs="Times New Roman"/>
          <w:color w:val="000000"/>
          <w:spacing w:val="0"/>
          <w:w w:val="100"/>
          <w:position w:val="0"/>
        </w:rPr>
        <w:t>1</w:t>
      </w:r>
      <w:r>
        <w:rPr>
          <w:color w:val="000000"/>
          <w:spacing w:val="0"/>
          <w:w w:val="100"/>
          <w:position w:val="0"/>
        </w:rPr>
        <w:t>号，联系电话：</w:t>
      </w:r>
      <w:r>
        <w:rPr>
          <w:rFonts w:ascii="Times New Roman" w:eastAsia="Times New Roman" w:hAnsi="Times New Roman" w:cs="Times New Roman"/>
          <w:color w:val="000000"/>
          <w:spacing w:val="0"/>
          <w:w w:val="100"/>
          <w:position w:val="0"/>
        </w:rPr>
        <w:t>18841310869</w:t>
      </w:r>
    </w:p>
    <w:p>
      <w:pPr>
        <w:widowControl w:val="0"/>
        <w:jc w:val="center"/>
        <w:rPr>
          <w:sz w:val="2"/>
          <w:szCs w:val="2"/>
        </w:rPr>
        <w:sectPr>
          <w:pgSz w:w="11900" w:h="16840"/>
          <w:pgMar w:top="1959" w:right="1003" w:bottom="698" w:left="1397" w:header="1531" w:footer="270" w:gutter="0"/>
          <w:pgNumType w:start="3"/>
          <w:cols w:space="720"/>
          <w:noEndnote/>
          <w:rtlGutter w:val="0"/>
          <w:docGrid w:linePitch="360"/>
        </w:sectPr>
      </w:pPr>
      <w:r>
        <w:drawing>
          <wp:inline>
            <wp:extent cx="7120255" cy="488315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5"/>
                    <a:stretch>
                      <a:fillRect/>
                    </a:stretch>
                  </pic:blipFill>
                  <pic:spPr>
                    <a:xfrm>
                      <a:off x="0" y="0"/>
                      <a:ext cx="7120255" cy="4883150"/>
                    </a:xfrm>
                    <a:prstGeom prst="rect">
                      <a:avLst/>
                    </a:prstGeom>
                  </pic:spPr>
                </pic:pic>
              </a:graphicData>
            </a:graphic>
          </wp:inline>
        </w:drawing>
      </w:r>
    </w:p>
    <w:p>
      <w:pPr>
        <w:pStyle w:val="Heading310"/>
        <w:keepNext/>
        <w:keepLines/>
        <w:widowControl w:val="0"/>
        <w:shd w:val="clear" w:color="auto" w:fill="auto"/>
        <w:bidi w:val="0"/>
        <w:spacing w:before="0" w:after="560" w:line="240" w:lineRule="auto"/>
        <w:ind w:left="0" w:right="0" w:firstLine="0"/>
        <w:jc w:val="center"/>
      </w:pPr>
      <w:bookmarkStart w:id="13" w:name="bookmark13"/>
      <w:bookmarkStart w:id="14" w:name="bookmark14"/>
      <w:bookmarkStart w:id="15" w:name="bookmark15"/>
      <w:r>
        <w:rPr>
          <w:color w:val="000000"/>
          <w:spacing w:val="0"/>
          <w:w w:val="100"/>
          <w:position w:val="0"/>
        </w:rPr>
        <w:t>辽宁省河流营养物基准制定技术指南</w:t>
      </w:r>
      <w:bookmarkEnd w:id="13"/>
      <w:bookmarkEnd w:id="14"/>
      <w:bookmarkEnd w:id="15"/>
    </w:p>
    <w:p>
      <w:pPr>
        <w:pStyle w:val="Bodytext10"/>
        <w:keepNext w:val="0"/>
        <w:keepLines w:val="0"/>
        <w:widowControl w:val="0"/>
        <w:shd w:val="clear" w:color="auto" w:fill="auto"/>
        <w:bidi w:val="0"/>
        <w:spacing w:before="0" w:after="0" w:line="461" w:lineRule="exact"/>
        <w:ind w:left="0" w:right="0" w:firstLine="0"/>
        <w:jc w:val="left"/>
      </w:pPr>
      <w:bookmarkStart w:id="16" w:name="bookmark16"/>
      <w:r>
        <w:rPr>
          <w:rFonts w:ascii="Times New Roman" w:eastAsia="Times New Roman" w:hAnsi="Times New Roman" w:cs="Times New Roman"/>
          <w:color w:val="000000"/>
          <w:spacing w:val="0"/>
          <w:w w:val="100"/>
          <w:position w:val="0"/>
        </w:rPr>
        <w:t>1</w:t>
      </w:r>
      <w:r>
        <w:rPr>
          <w:b/>
          <w:bCs/>
          <w:color w:val="000000"/>
          <w:spacing w:val="0"/>
          <w:w w:val="100"/>
          <w:position w:val="0"/>
        </w:rPr>
        <w:t>范围</w:t>
      </w:r>
      <w:bookmarkEnd w:id="16"/>
    </w:p>
    <w:p>
      <w:pPr>
        <w:pStyle w:val="Bodytext10"/>
        <w:keepNext w:val="0"/>
        <w:keepLines w:val="0"/>
        <w:widowControl w:val="0"/>
        <w:shd w:val="clear" w:color="auto" w:fill="auto"/>
        <w:bidi w:val="0"/>
        <w:spacing w:before="0" w:after="160" w:line="461" w:lineRule="exact"/>
        <w:ind w:left="0" w:right="0" w:firstLine="440"/>
        <w:jc w:val="left"/>
      </w:pPr>
      <w:bookmarkStart w:id="17" w:name="bookmark17"/>
      <w:r>
        <w:rPr>
          <w:color w:val="000000"/>
          <w:spacing w:val="0"/>
          <w:w w:val="100"/>
          <w:position w:val="0"/>
        </w:rPr>
        <w:t>本标准规定了河流营养物基准制定技术的术语和定义、候选指标及选取、数据收集与补充监测、基 准推导方法、基准值审核和基准值后续评估等内容，本标准适用于辽宁省内河流营养物基准制定。</w:t>
      </w:r>
      <w:bookmarkEnd w:id="17"/>
    </w:p>
    <w:p>
      <w:pPr>
        <w:pStyle w:val="Bodytext10"/>
        <w:keepNext w:val="0"/>
        <w:keepLines w:val="0"/>
        <w:widowControl w:val="0"/>
        <w:shd w:val="clear" w:color="auto" w:fill="auto"/>
        <w:bidi w:val="0"/>
        <w:spacing w:before="0" w:after="0" w:line="468" w:lineRule="exact"/>
        <w:ind w:left="0" w:right="0" w:firstLine="0"/>
        <w:jc w:val="left"/>
      </w:pPr>
      <w:r>
        <w:rPr>
          <w:rFonts w:ascii="Times New Roman" w:eastAsia="Times New Roman" w:hAnsi="Times New Roman" w:cs="Times New Roman"/>
          <w:color w:val="000000"/>
          <w:spacing w:val="0"/>
          <w:w w:val="100"/>
          <w:position w:val="0"/>
        </w:rPr>
        <w:t>2</w:t>
      </w:r>
      <w:r>
        <w:rPr>
          <w:b/>
          <w:bCs/>
          <w:color w:val="000000"/>
          <w:spacing w:val="0"/>
          <w:w w:val="100"/>
          <w:position w:val="0"/>
        </w:rPr>
        <w:t>规范性引用文件</w:t>
      </w:r>
    </w:p>
    <w:p>
      <w:pPr>
        <w:pStyle w:val="Bodytext10"/>
        <w:keepNext w:val="0"/>
        <w:keepLines w:val="0"/>
        <w:widowControl w:val="0"/>
        <w:shd w:val="clear" w:color="auto" w:fill="auto"/>
        <w:bidi w:val="0"/>
        <w:spacing w:before="0" w:after="240" w:line="468" w:lineRule="exact"/>
        <w:ind w:left="0" w:right="0" w:firstLine="560"/>
        <w:jc w:val="left"/>
      </w:pPr>
      <w:r>
        <w:rPr>
          <w:color w:val="000000"/>
          <w:spacing w:val="0"/>
          <w:w w:val="100"/>
          <w:position w:val="0"/>
        </w:rPr>
        <w:t>下列文件中对于本文件的应用是必不可少的。凡是注日期的引用文件，仅注日期的版本适用于本 文件。凡是不注日期的引用文件，其最新版本（包括所有的修改单）适用于本文件。</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11893</w:t>
      </w:r>
      <w:r>
        <w:rPr>
          <w:color w:val="000000"/>
          <w:spacing w:val="0"/>
          <w:w w:val="100"/>
          <w:position w:val="0"/>
        </w:rPr>
        <w:t>水质总磷的测定钥酸铵分光光度法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50179</w:t>
      </w:r>
      <w:hyperlink r:id="rId6" w:history="1">
        <w:r>
          <w:rPr>
            <w:color w:val="000000"/>
            <w:spacing w:val="0"/>
            <w:w w:val="100"/>
            <w:position w:val="0"/>
          </w:rPr>
          <w:t>河流流量测验规范</w:t>
        </w:r>
      </w:hyperlink>
    </w:p>
    <w:p>
      <w:pPr>
        <w:pStyle w:val="Bodytext20"/>
        <w:keepNext w:val="0"/>
        <w:keepLines w:val="0"/>
        <w:widowControl w:val="0"/>
        <w:shd w:val="clear" w:color="auto" w:fill="auto"/>
        <w:bidi w:val="0"/>
        <w:spacing w:before="0" w:after="0"/>
        <w:ind w:left="0" w:right="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11891</w:t>
      </w:r>
      <w:r>
        <w:rPr>
          <w:rFonts w:ascii="SimSun" w:eastAsia="SimSun" w:hAnsi="SimSun" w:cs="SimSun"/>
          <w:color w:val="000000"/>
          <w:spacing w:val="0"/>
          <w:w w:val="100"/>
          <w:position w:val="0"/>
          <w:lang w:val="zh-TW" w:eastAsia="zh-TW" w:bidi="zh-TW"/>
        </w:rPr>
        <w:t>水质凯氏氮的测定</w:t>
      </w:r>
    </w:p>
    <w:p>
      <w:pPr>
        <w:pStyle w:val="Bodytext20"/>
        <w:keepNext w:val="0"/>
        <w:keepLines w:val="0"/>
        <w:widowControl w:val="0"/>
        <w:shd w:val="clear" w:color="auto" w:fill="auto"/>
        <w:bidi w:val="0"/>
        <w:spacing w:before="0" w:after="0"/>
        <w:ind w:left="0" w:right="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13200</w:t>
      </w:r>
      <w:r>
        <w:rPr>
          <w:rFonts w:ascii="SimSun" w:eastAsia="SimSun" w:hAnsi="SimSun" w:cs="SimSun"/>
          <w:color w:val="000000"/>
          <w:spacing w:val="0"/>
          <w:w w:val="100"/>
          <w:position w:val="0"/>
          <w:lang w:val="zh-TW" w:eastAsia="zh-TW" w:bidi="zh-TW"/>
        </w:rPr>
        <w:t>水质浊度的测定</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6920</w:t>
      </w:r>
      <w:r>
        <w:rPr>
          <w:color w:val="000000"/>
          <w:spacing w:val="0"/>
          <w:w w:val="100"/>
          <w:position w:val="0"/>
        </w:rPr>
        <w:t>水质</w:t>
      </w:r>
      <w:r>
        <w:rPr>
          <w:rFonts w:ascii="Times New Roman" w:eastAsia="Times New Roman" w:hAnsi="Times New Roman" w:cs="Times New Roman"/>
          <w:color w:val="000000"/>
          <w:spacing w:val="0"/>
          <w:w w:val="100"/>
          <w:position w:val="0"/>
          <w:lang w:val="en-US" w:eastAsia="en-US" w:bidi="en-US"/>
        </w:rPr>
        <w:t>pH</w:t>
      </w:r>
      <w:r>
        <w:rPr>
          <w:color w:val="000000"/>
          <w:spacing w:val="0"/>
          <w:w w:val="100"/>
          <w:position w:val="0"/>
        </w:rPr>
        <w:t>值的测定 玻璃电极法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7480</w:t>
      </w:r>
      <w:r>
        <w:rPr>
          <w:color w:val="000000"/>
          <w:spacing w:val="0"/>
          <w:w w:val="100"/>
          <w:position w:val="0"/>
        </w:rPr>
        <w:t>水质硝酸盐氮的测定酚二磺酸分光光度法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7489</w:t>
      </w:r>
      <w:hyperlink r:id="rId7" w:history="1">
        <w:r>
          <w:rPr>
            <w:color w:val="000000"/>
            <w:spacing w:val="0"/>
            <w:w w:val="100"/>
            <w:position w:val="0"/>
          </w:rPr>
          <w:t>水质溶解氧的测定碘量法</w:t>
        </w:r>
      </w:hyperlink>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7493</w:t>
      </w:r>
      <w:r>
        <w:rPr>
          <w:color w:val="000000"/>
          <w:spacing w:val="0"/>
          <w:w w:val="100"/>
          <w:position w:val="0"/>
        </w:rPr>
        <w:t>水质亚硝酸盐氮的测定分光光度法</w:t>
      </w:r>
    </w:p>
    <w:p>
      <w:pPr>
        <w:pStyle w:val="Bodytext10"/>
        <w:keepNext w:val="0"/>
        <w:keepLines w:val="0"/>
        <w:widowControl w:val="0"/>
        <w:shd w:val="clear" w:color="auto" w:fill="auto"/>
        <w:bidi w:val="0"/>
        <w:spacing w:before="0" w:after="240" w:line="468" w:lineRule="exact"/>
        <w:ind w:left="0" w:right="0" w:firstLine="560"/>
        <w:jc w:val="left"/>
      </w:pPr>
      <w:hyperlink r:id="rId8" w:history="1">
        <w:r>
          <w:rPr>
            <w:color w:val="000000"/>
            <w:spacing w:val="0"/>
            <w:w w:val="100"/>
            <w:position w:val="0"/>
          </w:rPr>
          <w:t>水质总有机碳</w:t>
        </w:r>
        <w:r>
          <w:rPr>
            <w:rFonts w:ascii="Times New Roman" w:eastAsia="Times New Roman" w:hAnsi="Times New Roman" w:cs="Times New Roman"/>
            <w:color w:val="000000"/>
            <w:spacing w:val="0"/>
            <w:w w:val="100"/>
            <w:position w:val="0"/>
            <w:lang w:val="en-US" w:eastAsia="en-US" w:bidi="en-US"/>
          </w:rPr>
          <w:t>（TOC）</w:t>
        </w:r>
        <w:r>
          <w:rPr>
            <w:color w:val="000000"/>
            <w:spacing w:val="0"/>
            <w:w w:val="100"/>
            <w:position w:val="0"/>
          </w:rPr>
          <w:t>燃烧氧化一非分散红外吸收法</w:t>
        </w:r>
      </w:hyperlink>
    </w:p>
    <w:p>
      <w:pPr>
        <w:pStyle w:val="Bodytext10"/>
        <w:keepNext w:val="0"/>
        <w:keepLines w:val="0"/>
        <w:widowControl w:val="0"/>
        <w:shd w:val="clear" w:color="auto" w:fill="auto"/>
        <w:bidi w:val="0"/>
        <w:spacing w:before="0" w:after="0"/>
        <w:ind w:left="0" w:right="0" w:firstLine="560"/>
        <w:jc w:val="left"/>
      </w:pPr>
      <w:hyperlink r:id="rId9" w:history="1">
        <w:r>
          <w:rPr>
            <w:rFonts w:ascii="Times New Roman" w:eastAsia="Times New Roman" w:hAnsi="Times New Roman" w:cs="Times New Roman"/>
            <w:color w:val="000000"/>
            <w:spacing w:val="0"/>
            <w:w w:val="100"/>
            <w:position w:val="0"/>
            <w:lang w:val="en-US" w:eastAsia="en-US" w:bidi="en-US"/>
          </w:rPr>
          <w:t>HJ506</w:t>
        </w:r>
        <w:r>
          <w:rPr>
            <w:color w:val="000000"/>
            <w:spacing w:val="0"/>
            <w:w w:val="100"/>
            <w:position w:val="0"/>
          </w:rPr>
          <w:t>水</w:t>
        </w:r>
      </w:hyperlink>
      <w:r>
        <w:rPr>
          <w:color w:val="000000"/>
          <w:spacing w:val="0"/>
          <w:w w:val="100"/>
          <w:position w:val="0"/>
        </w:rPr>
        <w:t>质</w:t>
      </w:r>
      <w:r>
        <w:rPr>
          <w:color w:val="575E67"/>
          <w:spacing w:val="0"/>
          <w:w w:val="100"/>
          <w:position w:val="0"/>
        </w:rPr>
        <w:t>溶解氧</w:t>
      </w:r>
      <w:r>
        <w:rPr>
          <w:color w:val="000000"/>
          <w:spacing w:val="0"/>
          <w:w w:val="100"/>
          <w:position w:val="0"/>
        </w:rPr>
        <w:t>的测定电化学探头法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HJ 535</w:t>
      </w:r>
      <w:r>
        <w:rPr>
          <w:color w:val="000000"/>
          <w:spacing w:val="0"/>
          <w:w w:val="100"/>
          <w:position w:val="0"/>
        </w:rPr>
        <w:t>水质氨氮的测定纳氏试剂分光光度法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HJ536</w:t>
      </w:r>
      <w:r>
        <w:rPr>
          <w:color w:val="000000"/>
          <w:spacing w:val="0"/>
          <w:w w:val="100"/>
          <w:position w:val="0"/>
        </w:rPr>
        <w:t>水质氨氮的测定</w:t>
      </w:r>
      <w:r>
        <w:rPr>
          <w:color w:val="25292E"/>
          <w:spacing w:val="0"/>
          <w:w w:val="100"/>
          <w:position w:val="0"/>
        </w:rPr>
        <w:t>水杨酸分光</w:t>
      </w:r>
      <w:r>
        <w:rPr>
          <w:color w:val="000000"/>
          <w:spacing w:val="0"/>
          <w:w w:val="100"/>
          <w:position w:val="0"/>
        </w:rPr>
        <w:t>光度法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HJ636</w:t>
      </w:r>
      <w:r>
        <w:rPr>
          <w:color w:val="000000"/>
          <w:spacing w:val="0"/>
          <w:w w:val="100"/>
          <w:position w:val="0"/>
        </w:rPr>
        <w:t>水质总氮的测定碱性过</w:t>
      </w:r>
      <w:r>
        <w:rPr>
          <w:color w:val="25292E"/>
          <w:spacing w:val="0"/>
          <w:w w:val="100"/>
          <w:position w:val="0"/>
        </w:rPr>
        <w:t>硫酸钾消解紫</w:t>
      </w:r>
      <w:r>
        <w:rPr>
          <w:color w:val="000000"/>
          <w:spacing w:val="0"/>
          <w:w w:val="100"/>
          <w:position w:val="0"/>
        </w:rPr>
        <w:t>外分光光度法</w:t>
      </w:r>
    </w:p>
    <w:p>
      <w:pPr>
        <w:pStyle w:val="Bodytext20"/>
        <w:keepNext w:val="0"/>
        <w:keepLines w:val="0"/>
        <w:widowControl w:val="0"/>
        <w:shd w:val="clear" w:color="auto" w:fill="auto"/>
        <w:bidi w:val="0"/>
        <w:spacing w:before="0" w:after="240" w:line="468" w:lineRule="exact"/>
        <w:ind w:left="0" w:right="0"/>
        <w:jc w:val="left"/>
      </w:pP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lang w:val="zh-TW" w:eastAsia="zh-TW" w:bidi="zh-TW"/>
        </w:rPr>
        <w:t>84</w:t>
      </w:r>
      <w:r>
        <w:rPr>
          <w:rFonts w:ascii="SimSun" w:eastAsia="SimSun" w:hAnsi="SimSun" w:cs="SimSun"/>
          <w:color w:val="000000"/>
          <w:spacing w:val="0"/>
          <w:w w:val="100"/>
          <w:position w:val="0"/>
          <w:lang w:val="zh-TW" w:eastAsia="zh-TW" w:bidi="zh-TW"/>
        </w:rPr>
        <w:t>水质无机阴离子</w:t>
      </w:r>
      <w:r>
        <w:rPr>
          <w:rFonts w:ascii="Times New Roman" w:eastAsia="Times New Roman" w:hAnsi="Times New Roman" w:cs="Times New Roman"/>
          <w:color w:val="000000"/>
          <w:spacing w:val="0"/>
          <w:w w:val="100"/>
          <w:position w:val="0"/>
          <w:lang w:val="en-US" w:eastAsia="en-US" w:bidi="en-US"/>
        </w:rPr>
        <w:t>（FL Cl</w:t>
      </w:r>
      <w:r>
        <w:rPr>
          <w:rFonts w:ascii="SimSun" w:eastAsia="SimSun" w:hAnsi="SimSun" w:cs="SimSu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NCV</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Bs </w:t>
      </w:r>
      <w:r>
        <w:rPr>
          <w:rFonts w:ascii="Times New Roman" w:eastAsia="Times New Roman" w:hAnsi="Times New Roman" w:cs="Times New Roman"/>
          <w:color w:val="25292E"/>
          <w:spacing w:val="0"/>
          <w:w w:val="100"/>
          <w:position w:val="0"/>
          <w:lang w:val="en-US" w:eastAsia="en-US" w:bidi="en-US"/>
        </w:rPr>
        <w:t>N</w:t>
      </w:r>
      <w:r>
        <w:rPr>
          <w:rFonts w:ascii="SimSun" w:eastAsia="SimSun" w:hAnsi="SimSun" w:cs="SimSun"/>
          <w:color w:val="25292E"/>
          <w:spacing w:val="0"/>
          <w:w w:val="100"/>
          <w:position w:val="0"/>
          <w:lang w:val="en-US" w:eastAsia="en-US" w:bidi="en-US"/>
        </w:rPr>
        <w:t>（</w:t>
      </w:r>
      <w:r>
        <w:rPr>
          <w:rFonts w:ascii="Times New Roman" w:eastAsia="Times New Roman" w:hAnsi="Times New Roman" w:cs="Times New Roman"/>
          <w:color w:val="25292E"/>
          <w:spacing w:val="0"/>
          <w:w w:val="100"/>
          <w:position w:val="0"/>
          <w:lang w:val="en-US" w:eastAsia="en-US" w:bidi="en-US"/>
        </w:rPr>
        <w:t>V</w:t>
      </w:r>
      <w:r>
        <w:rPr>
          <w:rFonts w:ascii="SimSun" w:eastAsia="SimSun" w:hAnsi="SimSun" w:cs="SimSun"/>
          <w:color w:val="25292E"/>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PO—</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SO</w:t>
      </w:r>
      <w:r>
        <w:rPr>
          <w:rFonts w:ascii="Times New Roman" w:eastAsia="Times New Roman" w:hAnsi="Times New Roman" w:cs="Times New Roman"/>
          <w:color w:val="000000"/>
          <w:spacing w:val="0"/>
          <w:w w:val="100"/>
          <w:position w:val="0"/>
          <w:vertAlign w:val="subscript"/>
          <w:lang w:val="en-US" w:eastAsia="en-US" w:bidi="en-US"/>
        </w:rPr>
        <w:t>3</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 SO?）</w:t>
      </w:r>
      <w:r>
        <w:rPr>
          <w:rFonts w:ascii="SimSun" w:eastAsia="SimSun" w:hAnsi="SimSun" w:cs="SimSun"/>
          <w:color w:val="000000"/>
          <w:spacing w:val="0"/>
          <w:w w:val="100"/>
          <w:position w:val="0"/>
          <w:lang w:val="zh-TW" w:eastAsia="zh-TW" w:bidi="zh-TW"/>
        </w:rPr>
        <w:t>的测定离子色 谱法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rPr>
        <w:t>897</w:t>
      </w:r>
      <w:r>
        <w:rPr>
          <w:color w:val="000000"/>
          <w:spacing w:val="0"/>
          <w:w w:val="100"/>
          <w:position w:val="0"/>
        </w:rPr>
        <w:t>水质 叶绿素</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的测定 分光光度法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HJ/T </w:t>
      </w:r>
      <w:r>
        <w:rPr>
          <w:rFonts w:ascii="Times New Roman" w:eastAsia="Times New Roman" w:hAnsi="Times New Roman" w:cs="Times New Roman"/>
          <w:color w:val="000000"/>
          <w:spacing w:val="0"/>
          <w:w w:val="100"/>
          <w:position w:val="0"/>
        </w:rPr>
        <w:t>196</w:t>
      </w:r>
      <w:r>
        <w:rPr>
          <w:color w:val="000000"/>
          <w:spacing w:val="0"/>
          <w:w w:val="100"/>
          <w:position w:val="0"/>
        </w:rPr>
        <w:t>水质 凯氏氮的测定 气相分子吸收光谱法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HJ/T </w:t>
      </w:r>
      <w:r>
        <w:rPr>
          <w:rFonts w:ascii="Times New Roman" w:eastAsia="Times New Roman" w:hAnsi="Times New Roman" w:cs="Times New Roman"/>
          <w:color w:val="000000"/>
          <w:spacing w:val="0"/>
          <w:w w:val="100"/>
          <w:position w:val="0"/>
        </w:rPr>
        <w:t>197</w:t>
      </w:r>
      <w:r>
        <w:rPr>
          <w:color w:val="000000"/>
          <w:spacing w:val="0"/>
          <w:w w:val="100"/>
          <w:position w:val="0"/>
        </w:rPr>
        <w:t>水质亚硝酸盐氮的测定气相分子吸收光谱法</w:t>
      </w:r>
    </w:p>
    <w:p>
      <w:pPr>
        <w:pStyle w:val="Bodytext10"/>
        <w:keepNext w:val="0"/>
        <w:keepLines w:val="0"/>
        <w:widowControl w:val="0"/>
        <w:shd w:val="clear" w:color="auto" w:fill="auto"/>
        <w:bidi w:val="0"/>
        <w:spacing w:before="0" w:after="0"/>
        <w:ind w:left="0" w:right="0" w:firstLine="560"/>
        <w:jc w:val="left"/>
      </w:pPr>
      <w:r>
        <w:rPr>
          <w:rFonts w:ascii="Times New Roman" w:eastAsia="Times New Roman" w:hAnsi="Times New Roman" w:cs="Times New Roman"/>
          <w:color w:val="000000"/>
          <w:spacing w:val="0"/>
          <w:w w:val="100"/>
          <w:position w:val="0"/>
          <w:lang w:val="en-US" w:eastAsia="en-US" w:bidi="en-US"/>
        </w:rPr>
        <w:t xml:space="preserve">HJ/T </w:t>
      </w:r>
      <w:r>
        <w:rPr>
          <w:rFonts w:ascii="Times New Roman" w:eastAsia="Times New Roman" w:hAnsi="Times New Roman" w:cs="Times New Roman"/>
          <w:color w:val="000000"/>
          <w:spacing w:val="0"/>
          <w:w w:val="100"/>
          <w:position w:val="0"/>
        </w:rPr>
        <w:t>346</w:t>
      </w:r>
      <w:r>
        <w:rPr>
          <w:color w:val="000000"/>
          <w:spacing w:val="0"/>
          <w:w w:val="100"/>
          <w:position w:val="0"/>
        </w:rPr>
        <w:t>水质硝酸盐氮的测定紫外分光光度法</w:t>
      </w:r>
    </w:p>
    <w:p>
      <w:pPr>
        <w:pStyle w:val="Bodytext10"/>
        <w:keepNext w:val="0"/>
        <w:keepLines w:val="0"/>
        <w:widowControl w:val="0"/>
        <w:shd w:val="clear" w:color="auto" w:fill="auto"/>
        <w:bidi w:val="0"/>
        <w:spacing w:before="0" w:after="0"/>
        <w:ind w:left="0" w:right="0" w:firstLine="560"/>
        <w:jc w:val="left"/>
        <w:sectPr>
          <w:footerReference w:type="even" r:id="rId10"/>
          <w:footerReference w:type="default" r:id="rId11"/>
          <w:pgSz w:w="11900" w:h="16840"/>
          <w:pgMar w:top="1294" w:right="1103" w:bottom="1355" w:left="1389" w:header="866" w:footer="3" w:gutter="0"/>
          <w:pgNumType w:start="4"/>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rPr>
        <w:t>494</w:t>
      </w:r>
      <w:r>
        <w:rPr>
          <w:color w:val="000000"/>
          <w:spacing w:val="0"/>
          <w:w w:val="100"/>
          <w:position w:val="0"/>
        </w:rPr>
        <w:t>水质采样技术指导</w:t>
      </w:r>
    </w:p>
    <w:p>
      <w:pPr>
        <w:pStyle w:val="Bodytext10"/>
        <w:keepNext w:val="0"/>
        <w:keepLines w:val="0"/>
        <w:widowControl w:val="0"/>
        <w:shd w:val="clear" w:color="auto" w:fill="auto"/>
        <w:bidi w:val="0"/>
        <w:spacing w:before="0" w:after="0" w:line="470" w:lineRule="exact"/>
        <w:ind w:left="0" w:right="0" w:firstLine="580"/>
        <w:jc w:val="left"/>
      </w:pPr>
      <w:hyperlink r:id="rId9" w:history="1">
        <w:r>
          <w:rPr>
            <w:rFonts w:ascii="Times New Roman" w:eastAsia="Times New Roman" w:hAnsi="Times New Roman" w:cs="Times New Roman"/>
            <w:color w:val="000000"/>
            <w:spacing w:val="0"/>
            <w:w w:val="100"/>
            <w:position w:val="0"/>
            <w:lang w:val="en-US" w:eastAsia="en-US" w:bidi="en-US"/>
          </w:rPr>
          <w:t>HJ 493</w:t>
        </w:r>
      </w:hyperlink>
      <w:hyperlink r:id="rId12" w:history="1">
        <w:r>
          <w:rPr>
            <w:color w:val="000000"/>
            <w:spacing w:val="0"/>
            <w:w w:val="100"/>
            <w:position w:val="0"/>
          </w:rPr>
          <w:t>水质采样样品的保存和管理技术规定</w:t>
        </w:r>
      </w:hyperlink>
    </w:p>
    <w:p>
      <w:pPr>
        <w:pStyle w:val="Bodytext10"/>
        <w:keepNext w:val="0"/>
        <w:keepLines w:val="0"/>
        <w:widowControl w:val="0"/>
        <w:shd w:val="clear" w:color="auto" w:fill="auto"/>
        <w:bidi w:val="0"/>
        <w:spacing w:before="0" w:after="0" w:line="470" w:lineRule="exact"/>
        <w:ind w:left="0" w:right="0" w:firstLine="580"/>
        <w:jc w:val="left"/>
      </w:pPr>
      <w:r>
        <w:rPr>
          <w:rFonts w:ascii="Times New Roman" w:eastAsia="Times New Roman" w:hAnsi="Times New Roman" w:cs="Times New Roman"/>
          <w:color w:val="000000"/>
          <w:spacing w:val="0"/>
          <w:w w:val="100"/>
          <w:position w:val="0"/>
          <w:lang w:val="en-US" w:eastAsia="en-US" w:bidi="en-US"/>
        </w:rPr>
        <w:t>HJ 710.7</w:t>
      </w:r>
      <w:hyperlink r:id="rId13" w:history="1">
        <w:r>
          <w:rPr>
            <w:color w:val="000000"/>
            <w:spacing w:val="0"/>
            <w:w w:val="100"/>
            <w:position w:val="0"/>
          </w:rPr>
          <w:t>生物多样性观测技术导则内陆水域鱼类</w:t>
        </w:r>
      </w:hyperlink>
    </w:p>
    <w:p>
      <w:pPr>
        <w:pStyle w:val="Bodytext10"/>
        <w:keepNext w:val="0"/>
        <w:keepLines w:val="0"/>
        <w:widowControl w:val="0"/>
        <w:shd w:val="clear" w:color="auto" w:fill="auto"/>
        <w:bidi w:val="0"/>
        <w:spacing w:before="0" w:after="140" w:line="470" w:lineRule="exact"/>
        <w:ind w:left="0" w:right="0" w:firstLine="580"/>
        <w:jc w:val="left"/>
      </w:pPr>
      <w:r>
        <w:rPr>
          <w:rFonts w:ascii="Times New Roman" w:eastAsia="Times New Roman" w:hAnsi="Times New Roman" w:cs="Times New Roman"/>
          <w:color w:val="000000"/>
          <w:spacing w:val="0"/>
          <w:w w:val="100"/>
          <w:position w:val="0"/>
          <w:lang w:val="en-US" w:eastAsia="en-US" w:bidi="en-US"/>
        </w:rPr>
        <w:t>HJ 710.8</w:t>
      </w:r>
      <w:hyperlink r:id="rId14" w:history="1">
        <w:r>
          <w:rPr>
            <w:color w:val="000000"/>
            <w:spacing w:val="0"/>
            <w:w w:val="100"/>
            <w:position w:val="0"/>
          </w:rPr>
          <w:t>生物多样性观测技术导则淡水底栖大型无脊柱动物</w:t>
        </w:r>
      </w:hyperlink>
    </w:p>
    <w:p>
      <w:pPr>
        <w:pStyle w:val="Bodytext10"/>
        <w:keepNext w:val="0"/>
        <w:keepLines w:val="0"/>
        <w:widowControl w:val="0"/>
        <w:shd w:val="clear" w:color="auto" w:fill="auto"/>
        <w:bidi w:val="0"/>
        <w:spacing w:before="0" w:after="0" w:line="470" w:lineRule="exact"/>
        <w:ind w:left="0" w:right="0" w:firstLine="0"/>
        <w:jc w:val="left"/>
      </w:pPr>
      <w:bookmarkStart w:id="18" w:name="bookmark18"/>
      <w:r>
        <w:rPr>
          <w:rFonts w:ascii="Times New Roman" w:eastAsia="Times New Roman" w:hAnsi="Times New Roman" w:cs="Times New Roman"/>
          <w:color w:val="000000"/>
          <w:spacing w:val="0"/>
          <w:w w:val="100"/>
          <w:position w:val="0"/>
        </w:rPr>
        <w:t>3</w:t>
      </w:r>
      <w:r>
        <w:rPr>
          <w:b/>
          <w:bCs/>
          <w:color w:val="000000"/>
          <w:spacing w:val="0"/>
          <w:w w:val="100"/>
          <w:position w:val="0"/>
        </w:rPr>
        <w:t>术语和定义</w:t>
      </w:r>
      <w:bookmarkEnd w:id="18"/>
    </w:p>
    <w:p>
      <w:pPr>
        <w:pStyle w:val="Bodytext10"/>
        <w:keepNext w:val="0"/>
        <w:keepLines w:val="0"/>
        <w:widowControl w:val="0"/>
        <w:shd w:val="clear" w:color="auto" w:fill="auto"/>
        <w:bidi w:val="0"/>
        <w:spacing w:before="0" w:after="380" w:line="470" w:lineRule="exact"/>
        <w:ind w:left="0" w:right="0" w:firstLine="420"/>
        <w:jc w:val="left"/>
      </w:pPr>
      <w:r>
        <w:rPr>
          <w:color w:val="000000"/>
          <w:spacing w:val="0"/>
          <w:w w:val="100"/>
          <w:position w:val="0"/>
        </w:rPr>
        <w:t>下列术语和定义适用于本文件。</w:t>
      </w:r>
    </w:p>
    <w:p>
      <w:pPr>
        <w:pStyle w:val="Bodytext20"/>
        <w:keepNext w:val="0"/>
        <w:keepLines w:val="0"/>
        <w:widowControl w:val="0"/>
        <w:shd w:val="clear" w:color="auto" w:fill="auto"/>
        <w:bidi w:val="0"/>
        <w:spacing w:before="0" w:after="0" w:line="492" w:lineRule="auto"/>
        <w:ind w:left="0" w:right="0" w:firstLine="0"/>
        <w:jc w:val="left"/>
      </w:pPr>
      <w:bookmarkStart w:id="19" w:name="bookmark19"/>
      <w:r>
        <w:rPr>
          <w:rFonts w:ascii="Times New Roman" w:eastAsia="Times New Roman" w:hAnsi="Times New Roman" w:cs="Times New Roman"/>
          <w:color w:val="000000"/>
          <w:spacing w:val="0"/>
          <w:w w:val="100"/>
          <w:position w:val="0"/>
          <w:lang w:val="en-US" w:eastAsia="en-US" w:bidi="en-US"/>
        </w:rPr>
        <w:t>3</w:t>
      </w:r>
      <w:bookmarkEnd w:id="19"/>
      <w:r>
        <w:rPr>
          <w:rFonts w:ascii="Times New Roman" w:eastAsia="Times New Roman" w:hAnsi="Times New Roman" w:cs="Times New Roman"/>
          <w:color w:val="000000"/>
          <w:spacing w:val="0"/>
          <w:w w:val="100"/>
          <w:position w:val="0"/>
          <w:lang w:val="en-US" w:eastAsia="en-US" w:bidi="en-US"/>
        </w:rPr>
        <w:t>.1</w:t>
      </w:r>
    </w:p>
    <w:p>
      <w:pPr>
        <w:pStyle w:val="Bodytext20"/>
        <w:keepNext w:val="0"/>
        <w:keepLines w:val="0"/>
        <w:widowControl w:val="0"/>
        <w:shd w:val="clear" w:color="auto" w:fill="auto"/>
        <w:bidi w:val="0"/>
        <w:spacing w:before="0" w:after="0" w:line="470" w:lineRule="exact"/>
        <w:ind w:left="0" w:right="0" w:firstLine="420"/>
        <w:jc w:val="left"/>
      </w:pPr>
      <w:r>
        <w:rPr>
          <w:rFonts w:ascii="SimSun" w:eastAsia="SimSun" w:hAnsi="SimSun" w:cs="SimSun"/>
          <w:b/>
          <w:bCs/>
          <w:color w:val="000000"/>
          <w:spacing w:val="0"/>
          <w:w w:val="100"/>
          <w:position w:val="0"/>
          <w:lang w:val="zh-TW" w:eastAsia="zh-TW" w:bidi="zh-TW"/>
        </w:rPr>
        <w:t xml:space="preserve">营养物 </w:t>
      </w:r>
      <w:r>
        <w:rPr>
          <w:rFonts w:ascii="Times New Roman" w:eastAsia="Times New Roman" w:hAnsi="Times New Roman" w:cs="Times New Roman"/>
          <w:color w:val="000000"/>
          <w:spacing w:val="0"/>
          <w:w w:val="100"/>
          <w:position w:val="0"/>
          <w:lang w:val="en-US" w:eastAsia="en-US" w:bidi="en-US"/>
        </w:rPr>
        <w:t>nutrient</w:t>
      </w:r>
    </w:p>
    <w:p>
      <w:pPr>
        <w:pStyle w:val="Bodytext10"/>
        <w:keepNext w:val="0"/>
        <w:keepLines w:val="0"/>
        <w:widowControl w:val="0"/>
        <w:shd w:val="clear" w:color="auto" w:fill="auto"/>
        <w:bidi w:val="0"/>
        <w:spacing w:before="0" w:after="380" w:line="470" w:lineRule="exact"/>
        <w:ind w:left="0" w:right="0" w:firstLine="420"/>
        <w:jc w:val="left"/>
      </w:pPr>
      <w:r>
        <w:rPr>
          <w:color w:val="000000"/>
          <w:spacing w:val="0"/>
          <w:w w:val="100"/>
          <w:position w:val="0"/>
        </w:rPr>
        <w:t>为维持有机体生命活动所必须的物质，是评价河流水质营养状态的重要指标。</w:t>
      </w:r>
    </w:p>
    <w:p>
      <w:pPr>
        <w:pStyle w:val="Bodytext20"/>
        <w:keepNext w:val="0"/>
        <w:keepLines w:val="0"/>
        <w:widowControl w:val="0"/>
        <w:shd w:val="clear" w:color="auto" w:fill="auto"/>
        <w:bidi w:val="0"/>
        <w:spacing w:before="0" w:after="0" w:line="492" w:lineRule="auto"/>
        <w:ind w:left="0" w:right="0" w:firstLine="0"/>
        <w:jc w:val="left"/>
      </w:pPr>
      <w:bookmarkStart w:id="20" w:name="bookmark20"/>
      <w:r>
        <w:rPr>
          <w:rFonts w:ascii="Times New Roman" w:eastAsia="Times New Roman" w:hAnsi="Times New Roman" w:cs="Times New Roman"/>
          <w:color w:val="000000"/>
          <w:spacing w:val="0"/>
          <w:w w:val="100"/>
          <w:position w:val="0"/>
          <w:lang w:val="en-US" w:eastAsia="en-US" w:bidi="en-US"/>
        </w:rPr>
        <w:t>3</w:t>
      </w:r>
      <w:bookmarkEnd w:id="20"/>
      <w:r>
        <w:rPr>
          <w:rFonts w:ascii="Times New Roman" w:eastAsia="Times New Roman" w:hAnsi="Times New Roman" w:cs="Times New Roman"/>
          <w:color w:val="000000"/>
          <w:spacing w:val="0"/>
          <w:w w:val="100"/>
          <w:position w:val="0"/>
          <w:lang w:val="en-US" w:eastAsia="en-US" w:bidi="en-US"/>
        </w:rPr>
        <w:t>.2</w:t>
      </w:r>
    </w:p>
    <w:p>
      <w:pPr>
        <w:pStyle w:val="Bodytext20"/>
        <w:keepNext w:val="0"/>
        <w:keepLines w:val="0"/>
        <w:widowControl w:val="0"/>
        <w:shd w:val="clear" w:color="auto" w:fill="auto"/>
        <w:bidi w:val="0"/>
        <w:spacing w:before="0" w:after="0" w:line="470" w:lineRule="exact"/>
        <w:ind w:left="0" w:right="0" w:firstLine="420"/>
        <w:jc w:val="left"/>
      </w:pPr>
      <w:r>
        <w:rPr>
          <w:rFonts w:ascii="SimSun" w:eastAsia="SimSun" w:hAnsi="SimSun" w:cs="SimSun"/>
          <w:b/>
          <w:bCs/>
          <w:color w:val="000000"/>
          <w:spacing w:val="0"/>
          <w:w w:val="100"/>
          <w:position w:val="0"/>
          <w:lang w:val="zh-TW" w:eastAsia="zh-TW" w:bidi="zh-TW"/>
        </w:rPr>
        <w:t xml:space="preserve">营养物基准 </w:t>
      </w:r>
      <w:r>
        <w:rPr>
          <w:rFonts w:ascii="Times New Roman" w:eastAsia="Times New Roman" w:hAnsi="Times New Roman" w:cs="Times New Roman"/>
          <w:color w:val="000000"/>
          <w:spacing w:val="0"/>
          <w:w w:val="100"/>
          <w:position w:val="0"/>
          <w:lang w:val="en-US" w:eastAsia="en-US" w:bidi="en-US"/>
        </w:rPr>
        <w:t>nutrient cr i teria</w:t>
      </w:r>
    </w:p>
    <w:p>
      <w:pPr>
        <w:pStyle w:val="Bodytext10"/>
        <w:keepNext w:val="0"/>
        <w:keepLines w:val="0"/>
        <w:widowControl w:val="0"/>
        <w:shd w:val="clear" w:color="auto" w:fill="auto"/>
        <w:bidi w:val="0"/>
        <w:spacing w:before="0" w:after="380" w:line="470" w:lineRule="exact"/>
        <w:ind w:left="0" w:right="0" w:firstLine="420"/>
        <w:jc w:val="left"/>
      </w:pPr>
      <w:r>
        <w:rPr>
          <w:color w:val="000000"/>
          <w:spacing w:val="0"/>
          <w:w w:val="100"/>
          <w:position w:val="0"/>
        </w:rPr>
        <w:t>属于生态学基准，是指对水体产生的生态效应不危及其功能或用途的营养物浓度或水平，可体现受 人类开发活动影响程度最小的地表水体富营养化情况，应体现区域特征差异和水体类型。</w:t>
      </w:r>
    </w:p>
    <w:p>
      <w:pPr>
        <w:pStyle w:val="Bodytext2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Bodytext20"/>
        <w:keepNext w:val="0"/>
        <w:keepLines w:val="0"/>
        <w:widowControl w:val="0"/>
        <w:shd w:val="clear" w:color="auto" w:fill="auto"/>
        <w:bidi w:val="0"/>
        <w:spacing w:before="0" w:after="0" w:line="470" w:lineRule="exact"/>
        <w:ind w:left="0" w:right="0" w:firstLine="420"/>
        <w:jc w:val="left"/>
      </w:pPr>
      <w:r>
        <w:rPr>
          <w:rFonts w:ascii="SimSun" w:eastAsia="SimSun" w:hAnsi="SimSun" w:cs="SimSun"/>
          <w:b/>
          <w:bCs/>
          <w:color w:val="000000"/>
          <w:spacing w:val="0"/>
          <w:w w:val="100"/>
          <w:position w:val="0"/>
          <w:lang w:val="zh-TW" w:eastAsia="zh-TW" w:bidi="zh-TW"/>
        </w:rPr>
        <w:t xml:space="preserve">候选变量 </w:t>
      </w:r>
      <w:r>
        <w:rPr>
          <w:rFonts w:ascii="Times New Roman" w:eastAsia="Times New Roman" w:hAnsi="Times New Roman" w:cs="Times New Roman"/>
          <w:color w:val="000000"/>
          <w:spacing w:val="0"/>
          <w:w w:val="100"/>
          <w:position w:val="0"/>
          <w:lang w:val="en-US" w:eastAsia="en-US" w:bidi="en-US"/>
        </w:rPr>
        <w:t>cand i date var i ab I e</w:t>
      </w:r>
    </w:p>
    <w:p>
      <w:pPr>
        <w:pStyle w:val="Bodytext10"/>
        <w:keepNext w:val="0"/>
        <w:keepLines w:val="0"/>
        <w:widowControl w:val="0"/>
        <w:shd w:val="clear" w:color="auto" w:fill="auto"/>
        <w:bidi w:val="0"/>
        <w:spacing w:before="0" w:after="380" w:line="470" w:lineRule="exact"/>
        <w:ind w:left="0" w:right="0" w:firstLine="420"/>
        <w:jc w:val="left"/>
      </w:pPr>
      <w:r>
        <w:rPr>
          <w:color w:val="000000"/>
          <w:spacing w:val="0"/>
          <w:w w:val="100"/>
          <w:position w:val="0"/>
        </w:rPr>
        <w:t>有助于评估或预测水体富营养化程度的可测量的变量指标，例如总氮、总磷和藻类生物量等。</w:t>
      </w:r>
    </w:p>
    <w:p>
      <w:pPr>
        <w:pStyle w:val="Bodytext2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p>
      <w:pPr>
        <w:pStyle w:val="Bodytext20"/>
        <w:keepNext w:val="0"/>
        <w:keepLines w:val="0"/>
        <w:widowControl w:val="0"/>
        <w:shd w:val="clear" w:color="auto" w:fill="auto"/>
        <w:bidi w:val="0"/>
        <w:spacing w:before="0" w:after="0" w:line="470" w:lineRule="exact"/>
        <w:ind w:left="0" w:right="0" w:firstLine="420"/>
        <w:jc w:val="left"/>
      </w:pPr>
      <w:r>
        <w:rPr>
          <w:rFonts w:ascii="SimSun" w:eastAsia="SimSun" w:hAnsi="SimSun" w:cs="SimSun"/>
          <w:b/>
          <w:bCs/>
          <w:color w:val="000000"/>
          <w:spacing w:val="0"/>
          <w:w w:val="100"/>
          <w:position w:val="0"/>
          <w:lang w:val="zh-TW" w:eastAsia="zh-TW" w:bidi="zh-TW"/>
        </w:rPr>
        <w:t xml:space="preserve">参照状态 </w:t>
      </w:r>
      <w:r>
        <w:rPr>
          <w:rFonts w:ascii="Times New Roman" w:eastAsia="Times New Roman" w:hAnsi="Times New Roman" w:cs="Times New Roman"/>
          <w:color w:val="000000"/>
          <w:spacing w:val="0"/>
          <w:w w:val="100"/>
          <w:position w:val="0"/>
          <w:lang w:val="en-US" w:eastAsia="en-US" w:bidi="en-US"/>
        </w:rPr>
        <w:t>reference cond i</w:t>
      </w:r>
      <w:r>
        <w:rPr>
          <w:rFonts w:ascii="Times New Roman" w:eastAsia="Times New Roman" w:hAnsi="Times New Roman" w:cs="Times New Roman"/>
          <w:color w:val="000000"/>
          <w:spacing w:val="0"/>
          <w:w w:val="100"/>
          <w:position w:val="0"/>
          <w:vertAlign w:val="superscript"/>
          <w:lang w:val="zh-TW" w:eastAsia="zh-TW" w:bidi="zh-TW"/>
        </w:rPr>
        <w:t>+</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i on</w:t>
      </w:r>
    </w:p>
    <w:p>
      <w:pPr>
        <w:pStyle w:val="Bodytext10"/>
        <w:keepNext w:val="0"/>
        <w:keepLines w:val="0"/>
        <w:widowControl w:val="0"/>
        <w:shd w:val="clear" w:color="auto" w:fill="auto"/>
        <w:bidi w:val="0"/>
        <w:spacing w:before="0" w:after="380" w:line="470" w:lineRule="exact"/>
        <w:ind w:left="0" w:right="0" w:firstLine="420"/>
        <w:jc w:val="left"/>
      </w:pPr>
      <w:r>
        <w:rPr>
          <w:color w:val="000000"/>
          <w:spacing w:val="0"/>
          <w:w w:val="100"/>
          <w:position w:val="0"/>
        </w:rPr>
        <w:t>未受人类活动影响</w:t>
      </w:r>
      <w:r>
        <w:rPr>
          <w:color w:val="25292E"/>
          <w:spacing w:val="0"/>
          <w:w w:val="100"/>
          <w:position w:val="0"/>
        </w:rPr>
        <w:t>或受人类活动影响非</w:t>
      </w:r>
      <w:r>
        <w:rPr>
          <w:color w:val="000000"/>
          <w:spacing w:val="0"/>
          <w:w w:val="100"/>
          <w:position w:val="0"/>
        </w:rPr>
        <w:t>常小、在控制人类活动情况下可达到的最佳状态，是接近河 流生态系统的自然营养状态。</w:t>
      </w:r>
    </w:p>
    <w:p>
      <w:pPr>
        <w:pStyle w:val="Bodytext2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5</w:t>
      </w:r>
    </w:p>
    <w:p>
      <w:pPr>
        <w:pStyle w:val="Bodytext20"/>
        <w:keepNext w:val="0"/>
        <w:keepLines w:val="0"/>
        <w:widowControl w:val="0"/>
        <w:shd w:val="clear" w:color="auto" w:fill="auto"/>
        <w:bidi w:val="0"/>
        <w:spacing w:before="0" w:after="0" w:line="475" w:lineRule="exact"/>
        <w:ind w:left="0" w:right="0" w:firstLine="420"/>
        <w:jc w:val="left"/>
      </w:pPr>
      <w:r>
        <w:rPr>
          <w:rFonts w:ascii="SimSun" w:eastAsia="SimSun" w:hAnsi="SimSun" w:cs="SimSun"/>
          <w:b/>
          <w:bCs/>
          <w:color w:val="000000"/>
          <w:spacing w:val="0"/>
          <w:w w:val="100"/>
          <w:position w:val="0"/>
          <w:lang w:val="zh-TW" w:eastAsia="zh-TW" w:bidi="zh-TW"/>
        </w:rPr>
        <w:t xml:space="preserve">生态阈值 </w:t>
      </w:r>
      <w:r>
        <w:rPr>
          <w:rFonts w:ascii="Times New Roman" w:eastAsia="Times New Roman" w:hAnsi="Times New Roman" w:cs="Times New Roman"/>
          <w:color w:val="000000"/>
          <w:spacing w:val="0"/>
          <w:w w:val="100"/>
          <w:position w:val="0"/>
          <w:lang w:val="en-US" w:eastAsia="en-US" w:bidi="en-US"/>
        </w:rPr>
        <w:t>ecological threshoId</w:t>
      </w:r>
    </w:p>
    <w:p>
      <w:pPr>
        <w:pStyle w:val="Bodytext10"/>
        <w:keepNext w:val="0"/>
        <w:keepLines w:val="0"/>
        <w:widowControl w:val="0"/>
        <w:shd w:val="clear" w:color="auto" w:fill="auto"/>
        <w:bidi w:val="0"/>
        <w:spacing w:before="0" w:after="380" w:line="475" w:lineRule="exact"/>
        <w:ind w:left="0" w:right="0" w:firstLine="420"/>
        <w:jc w:val="both"/>
      </w:pPr>
      <w:r>
        <w:rPr>
          <w:color w:val="000000"/>
          <w:spacing w:val="0"/>
          <w:w w:val="100"/>
          <w:position w:val="0"/>
        </w:rPr>
        <w:t>依据生态系统中某一个或多个关键生态因子（营养物等）与生物之间的胁弟响应关系确定的河流生 态系统受损发生风险较低的生态临界条件。</w:t>
      </w:r>
    </w:p>
    <w:p>
      <w:pPr>
        <w:pStyle w:val="Bodytext20"/>
        <w:keepNext w:val="0"/>
        <w:keepLines w:val="0"/>
        <w:widowControl w:val="0"/>
        <w:shd w:val="clear" w:color="auto" w:fill="auto"/>
        <w:bidi w:val="0"/>
        <w:spacing w:before="0" w:after="14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p>
      <w:pPr>
        <w:pStyle w:val="Bodytext20"/>
        <w:keepNext w:val="0"/>
        <w:keepLines w:val="0"/>
        <w:widowControl w:val="0"/>
        <w:shd w:val="clear" w:color="auto" w:fill="auto"/>
        <w:bidi w:val="0"/>
        <w:spacing w:before="0" w:after="380" w:line="240" w:lineRule="auto"/>
        <w:ind w:left="0" w:right="0" w:firstLine="420"/>
        <w:jc w:val="left"/>
        <w:sectPr>
          <w:footerReference w:type="even" r:id="rId15"/>
          <w:footerReference w:type="default" r:id="rId16"/>
          <w:footerReference w:type="first" r:id="rId17"/>
          <w:pgSz w:w="11900" w:h="16840"/>
          <w:pgMar w:top="1294" w:right="1103" w:bottom="1355" w:left="1389" w:header="0" w:footer="3" w:gutter="0"/>
          <w:pgNumType w:start="2"/>
          <w:cols w:space="720"/>
          <w:noEndnote/>
          <w:titlePg/>
          <w:rtlGutter w:val="0"/>
          <w:docGrid w:linePitch="360"/>
        </w:sectPr>
      </w:pPr>
      <w:r>
        <w:rPr>
          <w:rFonts w:ascii="SimSun" w:eastAsia="SimSun" w:hAnsi="SimSun" w:cs="SimSun"/>
          <w:b/>
          <w:bCs/>
          <w:color w:val="000000"/>
          <w:spacing w:val="0"/>
          <w:w w:val="100"/>
          <w:position w:val="0"/>
          <w:lang w:val="zh-TW" w:eastAsia="zh-TW" w:bidi="zh-TW"/>
        </w:rPr>
        <w:t xml:space="preserve">参照河段 </w:t>
      </w:r>
      <w:r>
        <w:rPr>
          <w:rFonts w:ascii="Times New Roman" w:eastAsia="Times New Roman" w:hAnsi="Times New Roman" w:cs="Times New Roman"/>
          <w:color w:val="000000"/>
          <w:spacing w:val="0"/>
          <w:w w:val="100"/>
          <w:position w:val="0"/>
          <w:lang w:val="en-US" w:eastAsia="en-US" w:bidi="en-US"/>
        </w:rPr>
        <w:t>reference reach</w:t>
      </w: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河段生境（河床、堤岸和缓冲带等）和所在流域未受或极少受人类活动影响，水环境中营养物和藻</w:t>
      </w:r>
    </w:p>
    <w:p>
      <w:pPr>
        <w:pStyle w:val="Bodytext10"/>
        <w:keepNext w:val="0"/>
        <w:keepLines w:val="0"/>
        <w:widowControl w:val="0"/>
        <w:shd w:val="clear" w:color="auto" w:fill="auto"/>
        <w:bidi w:val="0"/>
        <w:spacing w:before="0" w:after="380" w:line="240" w:lineRule="auto"/>
        <w:ind w:left="0" w:right="0" w:firstLine="0"/>
        <w:jc w:val="left"/>
      </w:pPr>
      <w:bookmarkStart w:id="21" w:name="bookmark21"/>
      <w:r>
        <w:rPr>
          <w:color w:val="000000"/>
          <w:spacing w:val="0"/>
          <w:w w:val="100"/>
          <w:position w:val="0"/>
        </w:rPr>
        <w:t>类生物量水平接近自然原始状态的河段，可作为区域河流生态系统自然生物完整性的参照。</w:t>
      </w:r>
      <w:bookmarkEnd w:id="21"/>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营养物基准制定技术流程</w:t>
      </w:r>
    </w:p>
    <w:p>
      <w:pPr>
        <w:pStyle w:val="Bodytext10"/>
        <w:keepNext w:val="0"/>
        <w:keepLines w:val="0"/>
        <w:widowControl w:val="0"/>
        <w:shd w:val="clear" w:color="auto" w:fill="auto"/>
        <w:bidi w:val="0"/>
        <w:spacing w:before="0" w:after="320" w:line="240" w:lineRule="auto"/>
        <w:ind w:left="0" w:right="0" w:firstLine="640"/>
        <w:jc w:val="left"/>
      </w:pPr>
      <w:r>
        <w:rPr>
          <w:color w:val="000000"/>
          <w:spacing w:val="0"/>
          <w:w w:val="100"/>
          <w:position w:val="0"/>
        </w:rPr>
        <w:t>技术流程见图</w:t>
      </w:r>
      <w:r>
        <w:rPr>
          <w:rFonts w:ascii="Times New Roman" w:eastAsia="Times New Roman" w:hAnsi="Times New Roman" w:cs="Times New Roman"/>
          <w:color w:val="000000"/>
          <w:spacing w:val="0"/>
          <w:w w:val="100"/>
          <w:position w:val="0"/>
        </w:rPr>
        <w:t>1</w:t>
      </w:r>
      <w:r>
        <w:rPr>
          <w:color w:val="000000"/>
          <w:spacing w:val="0"/>
          <w:w w:val="100"/>
          <w:position w:val="0"/>
        </w:rPr>
        <w:t>。</w:t>
      </w:r>
    </w:p>
    <w:p>
      <w:pPr>
        <w:pStyle w:val="Bodytext10"/>
        <w:keepNext w:val="0"/>
        <w:keepLines w:val="0"/>
        <w:widowControl w:val="0"/>
        <w:shd w:val="clear" w:color="auto" w:fill="auto"/>
        <w:bidi w:val="0"/>
        <w:spacing w:before="0" w:after="580" w:line="240" w:lineRule="auto"/>
        <w:ind w:left="0" w:right="0" w:firstLine="0"/>
        <w:jc w:val="center"/>
        <w:rPr>
          <w:sz w:val="19"/>
          <w:szCs w:val="19"/>
        </w:rPr>
      </w:pPr>
      <w:r>
        <w:rPr>
          <w:color w:val="000000"/>
          <w:spacing w:val="0"/>
          <w:w w:val="100"/>
          <w:position w:val="0"/>
          <w:sz w:val="19"/>
          <w:szCs w:val="19"/>
        </w:rPr>
        <w:t>彌定保神目标</w:t>
      </w:r>
    </w:p>
    <w:p>
      <w:pPr>
        <w:pStyle w:val="Bodytext10"/>
        <w:keepNext w:val="0"/>
        <w:keepLines w:val="0"/>
        <w:widowControl w:val="0"/>
        <w:shd w:val="clear" w:color="auto" w:fill="auto"/>
        <w:bidi w:val="0"/>
        <w:spacing w:before="0" w:after="40" w:line="240" w:lineRule="auto"/>
        <w:ind w:left="4400" w:right="0" w:firstLine="0"/>
        <w:jc w:val="left"/>
        <w:rPr>
          <w:sz w:val="19"/>
          <w:szCs w:val="19"/>
        </w:rPr>
      </w:pPr>
      <w:r>
        <w:rPr>
          <w:color w:val="000000"/>
          <w:spacing w:val="0"/>
          <w:w w:val="100"/>
          <w:position w:val="0"/>
          <w:sz w:val="19"/>
          <w:szCs w:val="19"/>
        </w:rPr>
        <w:t>山</w:t>
      </w:r>
    </w:p>
    <w:p>
      <w:pPr>
        <w:pStyle w:val="Bodytext10"/>
        <w:keepNext w:val="0"/>
        <w:keepLines w:val="0"/>
        <w:widowControl w:val="0"/>
        <w:shd w:val="clear" w:color="auto" w:fill="auto"/>
        <w:bidi w:val="0"/>
        <w:spacing w:before="0" w:after="80" w:line="240" w:lineRule="auto"/>
        <w:ind w:left="0" w:right="0" w:firstLine="0"/>
        <w:jc w:val="center"/>
        <w:rPr>
          <w:sz w:val="19"/>
          <w:szCs w:val="19"/>
        </w:rPr>
      </w:pPr>
      <w:r>
        <w:rPr>
          <w:color w:val="000000"/>
          <w:spacing w:val="0"/>
          <w:w w:val="100"/>
          <w:position w:val="0"/>
          <w:sz w:val="19"/>
          <w:szCs w:val="19"/>
        </w:rPr>
        <w:t>数据收集</w:t>
      </w:r>
    </w:p>
    <w:p>
      <w:pPr>
        <w:pStyle w:val="Bodytext30"/>
        <w:keepNext w:val="0"/>
        <w:keepLines w:val="0"/>
        <w:widowControl w:val="0"/>
        <w:shd w:val="clear" w:color="auto" w:fill="auto"/>
        <w:bidi w:val="0"/>
        <w:spacing w:before="0" w:line="240" w:lineRule="auto"/>
        <w:ind w:right="0" w:firstLine="0"/>
        <w:jc w:val="left"/>
      </w:pPr>
      <w:r>
        <w:rPr>
          <w:color w:val="000000"/>
          <w:spacing w:val="0"/>
          <w:w w:val="100"/>
          <w:position w:val="0"/>
        </w:rPr>
        <w:t>由</w:t>
      </w:r>
    </w:p>
    <w:p>
      <w:pPr>
        <w:pStyle w:val="Bodytext10"/>
        <w:keepNext w:val="0"/>
        <w:keepLines w:val="0"/>
        <w:widowControl w:val="0"/>
        <w:shd w:val="clear" w:color="auto" w:fill="auto"/>
        <w:bidi w:val="0"/>
        <w:spacing w:before="0" w:after="40" w:line="240" w:lineRule="auto"/>
        <w:ind w:left="0" w:right="0" w:firstLine="0"/>
        <w:jc w:val="center"/>
        <w:rPr>
          <w:sz w:val="19"/>
          <w:szCs w:val="19"/>
        </w:rPr>
      </w:pPr>
      <w:r>
        <w:rPr>
          <w:color w:val="000000"/>
          <w:spacing w:val="0"/>
          <w:w w:val="100"/>
          <w:position w:val="0"/>
          <w:sz w:val="19"/>
          <w:szCs w:val="19"/>
          <w:u w:val="single"/>
          <w:lang w:val="zh-CN" w:eastAsia="zh-CN" w:bidi="zh-CN"/>
        </w:rPr>
        <w:t>■否满</w:t>
      </w:r>
      <w:r>
        <w:rPr>
          <w:color w:val="000000"/>
          <w:spacing w:val="0"/>
          <w:w w:val="100"/>
          <w:position w:val="0"/>
          <w:sz w:val="19"/>
          <w:szCs w:val="19"/>
          <w:u w:val="single"/>
        </w:rPr>
        <w:t>足基准推导需要</w:t>
      </w:r>
      <w:r>
        <w:rPr>
          <w:color w:val="000000"/>
          <w:spacing w:val="0"/>
          <w:w w:val="100"/>
          <w:position w:val="0"/>
          <w:sz w:val="19"/>
          <w:szCs w:val="19"/>
          <w:u w:val="single"/>
          <w:lang w:val="zh-CN" w:eastAsia="zh-CN" w:bidi="zh-CN"/>
        </w:rPr>
        <w:t>|</w:t>
      </w:r>
    </w:p>
    <w:p>
      <w:pPr>
        <w:pStyle w:val="Bodytext20"/>
        <w:keepNext w:val="0"/>
        <w:keepLines w:val="0"/>
        <w:widowControl w:val="0"/>
        <w:shd w:val="clear" w:color="auto" w:fill="auto"/>
        <w:bidi w:val="0"/>
        <w:spacing w:before="0" w:after="4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22"/>
          <w:szCs w:val="22"/>
          <w:u w:val="single"/>
          <w:lang w:val="en-US" w:eastAsia="en-US" w:bidi="en-US"/>
        </w:rPr>
        <w:t xml:space="preserve">xl/ </w:t>
      </w:r>
      <w:r>
        <w:rPr>
          <w:rFonts w:ascii="SimSun" w:eastAsia="SimSun" w:hAnsi="SimSun" w:cs="SimSun"/>
          <w:color w:val="000000"/>
          <w:spacing w:val="0"/>
          <w:w w:val="100"/>
          <w:position w:val="0"/>
          <w:sz w:val="19"/>
          <w:szCs w:val="19"/>
          <w:u w:val="single"/>
          <w:lang w:val="zh-TW" w:eastAsia="zh-TW" w:bidi="zh-TW"/>
        </w:rPr>
        <w:t>是</w:t>
      </w:r>
    </w:p>
    <w:p>
      <w:pPr>
        <w:pStyle w:val="Bodytext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数据分析</w:t>
        <w:br/>
      </w:r>
      <w:r>
        <w:rPr>
          <w:color w:val="000000"/>
          <w:spacing w:val="0"/>
          <w:w w:val="100"/>
          <w:position w:val="0"/>
          <w:sz w:val="19"/>
          <w:szCs w:val="19"/>
        </w:rPr>
        <w:t>评估保炉目标的可达性</w:t>
      </w:r>
    </w:p>
    <w:p>
      <w:pPr>
        <w:pStyle w:val="Bodytext10"/>
        <w:keepNext w:val="0"/>
        <w:keepLines w:val="0"/>
        <w:widowControl w:val="0"/>
        <w:pBdr>
          <w:bottom w:val="single" w:sz="4" w:space="0" w:color="auto"/>
        </w:pBdr>
        <w:shd w:val="clear" w:color="auto" w:fill="auto"/>
        <w:bidi w:val="0"/>
        <w:spacing w:before="0" w:after="0" w:line="317" w:lineRule="exact"/>
        <w:ind w:left="3860" w:right="0" w:firstLine="560"/>
        <w:jc w:val="left"/>
        <w:rPr>
          <w:sz w:val="19"/>
          <w:szCs w:val="19"/>
        </w:rPr>
      </w:pPr>
      <w:r>
        <w:rPr>
          <w:color w:val="000000"/>
          <w:spacing w:val="0"/>
          <w:w w:val="100"/>
          <w:position w:val="0"/>
          <w:sz w:val="19"/>
          <w:szCs w:val="19"/>
          <w:lang w:val="en-US" w:eastAsia="en-US" w:bidi="en-US"/>
        </w:rPr>
        <w:t xml:space="preserve">* </w:t>
      </w:r>
      <w:r>
        <w:rPr>
          <w:color w:val="000000"/>
          <w:spacing w:val="0"/>
          <w:w w:val="100"/>
          <w:position w:val="0"/>
          <w:sz w:val="19"/>
          <w:szCs w:val="19"/>
        </w:rPr>
        <w:t>疋 基准推导方法</w:t>
      </w:r>
    </w:p>
    <w:p>
      <w:pPr>
        <w:widowControl w:val="0"/>
        <w:spacing w:line="1" w:lineRule="exact"/>
        <w:sectPr>
          <w:footerReference w:type="even" r:id="rId18"/>
          <w:footerReference w:type="default" r:id="rId19"/>
          <w:footerReference w:type="first" r:id="rId20"/>
          <w:type w:val="nextPage"/>
          <w:pgSz w:w="11900" w:h="16840"/>
          <w:pgMar w:top="1294" w:right="1103" w:bottom="1355" w:left="1389" w:header="0" w:footer="3" w:gutter="0"/>
          <w:pgNumType w:start="3"/>
          <w:cols w:space="720"/>
          <w:noEndnote/>
          <w:titlePg w:val="0"/>
          <w:rtlGutter w:val="0"/>
          <w:docGrid w:linePitch="360"/>
        </w:sectPr>
      </w:pPr>
      <w:r>
        <mc:AlternateContent>
          <mc:Choice Requires="wps">
            <w:drawing>
              <wp:anchor distT="250190" distB="1847850" distL="0" distR="0" simplePos="0" relativeHeight="251659264" behindDoc="0" locked="0" layoutInCell="1" allowOverlap="1">
                <wp:simplePos x="0" y="0"/>
                <wp:positionH relativeFrom="page">
                  <wp:posOffset>2592070</wp:posOffset>
                </wp:positionH>
                <wp:positionV relativeFrom="paragraph">
                  <wp:posOffset>250190</wp:posOffset>
                </wp:positionV>
                <wp:extent cx="411480" cy="161290"/>
                <wp:wrapTopAndBottom/>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411480" cy="1612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学方法</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2" o:spid="_x0000_s1025" type="#_x0000_t202" style="width:32.4pt;height:12.7pt;margin-top:19.7pt;margin-left:204.1pt;mso-position-horizontal-relative:page;mso-wrap-distance-bottom:145.5pt;mso-wrap-distance-left:0;mso-wrap-distance-right:0;mso-wrap-distance-top:19.7pt;mso-wrap-style:none;position:absolute;v-text-anchor:top;z-index:25165824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学方法</w:t>
                      </w:r>
                    </w:p>
                  </w:txbxContent>
                </v:textbox>
                <w10:wrap type="topAndBottom"/>
              </v:shape>
            </w:pict>
          </mc:Fallback>
        </mc:AlternateContent>
      </w:r>
      <w:r>
        <mc:AlternateContent>
          <mc:Choice Requires="wps">
            <w:drawing>
              <wp:anchor distT="250190" distB="1847850" distL="0" distR="0" simplePos="0" relativeHeight="251661312" behindDoc="0" locked="0" layoutInCell="1" allowOverlap="1">
                <wp:simplePos x="0" y="0"/>
                <wp:positionH relativeFrom="page">
                  <wp:posOffset>3506470</wp:posOffset>
                </wp:positionH>
                <wp:positionV relativeFrom="paragraph">
                  <wp:posOffset>250190</wp:posOffset>
                </wp:positionV>
                <wp:extent cx="542290" cy="161290"/>
                <wp:wrapTopAndBottom/>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542290" cy="1612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生物方法</w:t>
                            </w:r>
                          </w:p>
                        </w:txbxContent>
                      </wps:txbx>
                      <wps:bodyPr wrap="none" lIns="0" tIns="0" rIns="0" bIns="0"/>
                    </wps:wsp>
                  </a:graphicData>
                </a:graphic>
              </wp:anchor>
            </w:drawing>
          </mc:Choice>
          <mc:Fallback>
            <w:pict>
              <v:shape id="Shape 14" o:spid="_x0000_s1026" type="#_x0000_t202" style="width:42.7pt;height:12.7pt;margin-top:19.7pt;margin-left:276.1pt;mso-position-horizontal-relative:page;mso-wrap-distance-bottom:145.5pt;mso-wrap-distance-left:0;mso-wrap-distance-right:0;mso-wrap-distance-top:19.7pt;mso-wrap-style:none;position:absolute;v-text-anchor:top;z-index:251660288" filled="f" fillcolor="this">
                <v:textbox inset="0,0,0,0">
                  <w:txbxContent>
                    <w:p>
                      <w:pPr>
                        <w:pStyle w:val="Bodytext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生物方法</w:t>
                      </w:r>
                    </w:p>
                  </w:txbxContent>
                </v:textbox>
                <w10:wrap type="topAndBottom"/>
              </v:shape>
            </w:pict>
          </mc:Fallback>
        </mc:AlternateContent>
      </w:r>
      <w:r>
        <mc:AlternateContent>
          <mc:Choice Requires="wps">
            <w:drawing>
              <wp:anchor distT="241300" distB="1856740" distL="0" distR="0" simplePos="0" relativeHeight="251663360" behindDoc="0" locked="0" layoutInCell="1" allowOverlap="1">
                <wp:simplePos x="0" y="0"/>
                <wp:positionH relativeFrom="page">
                  <wp:posOffset>4332605</wp:posOffset>
                </wp:positionH>
                <wp:positionV relativeFrom="paragraph">
                  <wp:posOffset>241300</wp:posOffset>
                </wp:positionV>
                <wp:extent cx="679450" cy="161290"/>
                <wp:wrapTopAndBottom/>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679450" cy="1612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公开资料法</w:t>
                            </w:r>
                          </w:p>
                        </w:txbxContent>
                      </wps:txbx>
                      <wps:bodyPr wrap="none" lIns="0" tIns="0" rIns="0" bIns="0"/>
                    </wps:wsp>
                  </a:graphicData>
                </a:graphic>
              </wp:anchor>
            </w:drawing>
          </mc:Choice>
          <mc:Fallback>
            <w:pict>
              <v:shape id="Shape 16" o:spid="_x0000_s1027" type="#_x0000_t202" style="width:53.5pt;height:12.7pt;margin-top:19pt;margin-left:341.15pt;mso-position-horizontal-relative:page;mso-wrap-distance-bottom:146.2pt;mso-wrap-distance-left:0;mso-wrap-distance-right:0;mso-wrap-distance-top:19pt;mso-wrap-style:none;position:absolute;v-text-anchor:top;z-index:25166233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公开资料法</w:t>
                      </w:r>
                    </w:p>
                  </w:txbxContent>
                </v:textbox>
                <w10:wrap type="topAndBottom"/>
              </v:shape>
            </w:pict>
          </mc:Fallback>
        </mc:AlternateContent>
      </w:r>
      <w:r>
        <mc:AlternateContent>
          <mc:Choice Requires="wps">
            <w:drawing>
              <wp:anchor distT="689610" distB="225425" distL="0" distR="0" simplePos="0" relativeHeight="251665408" behindDoc="0" locked="0" layoutInCell="1" allowOverlap="1">
                <wp:simplePos x="0" y="0"/>
                <wp:positionH relativeFrom="page">
                  <wp:posOffset>1696085</wp:posOffset>
                </wp:positionH>
                <wp:positionV relativeFrom="paragraph">
                  <wp:posOffset>689610</wp:posOffset>
                </wp:positionV>
                <wp:extent cx="149225" cy="1344295"/>
                <wp:wrapTopAndBottom/>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225" cy="1344295"/>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参暧河段专业判断法</w:t>
                            </w:r>
                          </w:p>
                        </w:txbxContent>
                      </wps:txbx>
                      <wps:bodyPr vert="eaVert" lIns="0" tIns="0" rIns="0" bIns="0" upright="1"/>
                    </wps:wsp>
                  </a:graphicData>
                </a:graphic>
              </wp:anchor>
            </w:drawing>
          </mc:Choice>
          <mc:Fallback>
            <w:pict>
              <v:shape id="Shape 18" o:spid="_x0000_s1028" type="#_x0000_t202" style="width:11.75pt;height:105.85pt;margin-top:54.3pt;margin-left:133.55pt;mso-position-horizontal-relative:page;mso-wrap-distance-bottom:17.75pt;mso-wrap-distance-left:0;mso-wrap-distance-right:0;mso-wrap-distance-top:54.3pt;position:absolute;v-text-anchor:top;z-index:251664384" filled="f" fillcolor="this">
                <v:textbox style="layout-flow:vertical-ideographic" inset="0,0,0,0">
                  <w:txbxContent>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参暧河段专业判断法</w:t>
                      </w:r>
                    </w:p>
                  </w:txbxContent>
                </v:textbox>
                <w10:wrap type="topAndBottom"/>
              </v:shape>
            </w:pict>
          </mc:Fallback>
        </mc:AlternateContent>
      </w:r>
      <w:r>
        <mc:AlternateContent>
          <mc:Choice Requires="wps">
            <w:drawing>
              <wp:anchor distT="707390" distB="226060" distL="0" distR="0" simplePos="0" relativeHeight="251667456" behindDoc="0" locked="0" layoutInCell="1" allowOverlap="1">
                <wp:simplePos x="0" y="0"/>
                <wp:positionH relativeFrom="page">
                  <wp:posOffset>2031365</wp:posOffset>
                </wp:positionH>
                <wp:positionV relativeFrom="paragraph">
                  <wp:posOffset>707390</wp:posOffset>
                </wp:positionV>
                <wp:extent cx="149225" cy="1325880"/>
                <wp:wrapTopAndBottom/>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225" cy="1325880"/>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河流群体分布二芳法</w:t>
                            </w:r>
                          </w:p>
                        </w:txbxContent>
                      </wps:txbx>
                      <wps:bodyPr vert="eaVert" lIns="0" tIns="0" rIns="0" bIns="0" upright="1"/>
                    </wps:wsp>
                  </a:graphicData>
                </a:graphic>
              </wp:anchor>
            </w:drawing>
          </mc:Choice>
          <mc:Fallback>
            <w:pict>
              <v:shape id="Shape 20" o:spid="_x0000_s1029" type="#_x0000_t202" style="width:11.75pt;height:104.4pt;margin-top:55.7pt;margin-left:159.95pt;mso-position-horizontal-relative:page;mso-wrap-distance-bottom:17.8pt;mso-wrap-distance-left:0;mso-wrap-distance-right:0;mso-wrap-distance-top:55.7pt;position:absolute;v-text-anchor:top;z-index:251666432" filled="f" fillcolor="this">
                <v:textbox style="layout-flow:vertical-ideographic" inset="0,0,0,0">
                  <w:txbxContent>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河流群体分布二芳法</w:t>
                      </w:r>
                    </w:p>
                  </w:txbxContent>
                </v:textbox>
                <w10:wrap type="topAndBottom"/>
              </v:shape>
            </w:pict>
          </mc:Fallback>
        </mc:AlternateContent>
      </w:r>
      <w:r>
        <mc:AlternateContent>
          <mc:Choice Requires="wps">
            <w:drawing>
              <wp:anchor distT="707390" distB="34290" distL="0" distR="0" simplePos="0" relativeHeight="251669504" behindDoc="0" locked="0" layoutInCell="1" allowOverlap="1">
                <wp:simplePos x="0" y="0"/>
                <wp:positionH relativeFrom="page">
                  <wp:posOffset>2275205</wp:posOffset>
                </wp:positionH>
                <wp:positionV relativeFrom="paragraph">
                  <wp:posOffset>707390</wp:posOffset>
                </wp:positionV>
                <wp:extent cx="648970" cy="1517650"/>
                <wp:wrapTopAndBottom/>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970" cy="1517650"/>
                        </a:xfrm>
                        <a:prstGeom prst="rect">
                          <a:avLst/>
                        </a:prstGeom>
                        <a:noFill/>
                      </wps:spPr>
                      <wps:txbx>
                        <w:txbxContent>
                          <w:p>
                            <w:pPr>
                              <w:pStyle w:val="Bodytext50"/>
                              <w:keepNext w:val="0"/>
                              <w:keepLines w:val="0"/>
                              <w:widowControl w:val="0"/>
                              <w:shd w:val="clear" w:color="auto" w:fill="auto"/>
                              <w:bidi w:val="0"/>
                              <w:spacing w:before="0" w:after="0" w:line="576" w:lineRule="exact"/>
                              <w:ind w:left="0" w:right="0" w:firstLine="0"/>
                              <w:jc w:val="center"/>
                            </w:pPr>
                            <w:r>
                              <w:rPr>
                                <w:color w:val="000000"/>
                                <w:spacing w:val="0"/>
                                <w:w w:val="100"/>
                                <w:position w:val="0"/>
                              </w:rPr>
                              <w:t>河流群体分布三分法</w:t>
                            </w:r>
                            <w:r>
                              <w:rPr>
                                <w:color w:val="000000"/>
                                <w:spacing w:val="0"/>
                                <w:w w:val="100"/>
                                <w:position w:val="0"/>
                                <w:lang w:val="zh-CN" w:eastAsia="zh-CN" w:bidi="zh-CN"/>
                              </w:rPr>
                              <w:t>丁</w:t>
                              <w:br/>
                            </w:r>
                            <w:r>
                              <w:rPr>
                                <w:color w:val="000000"/>
                                <w:spacing w:val="0"/>
                                <w:w w:val="100"/>
                                <w:position w:val="0"/>
                              </w:rPr>
                              <w:t>参暧河篷頻率分布当</w:t>
                            </w:r>
                            <w:r>
                              <w:rPr>
                                <w:color w:val="25292E"/>
                                <w:spacing w:val="0"/>
                                <w:w w:val="100"/>
                                <w:position w:val="0"/>
                              </w:rPr>
                              <w:t>——</w:t>
                            </w:r>
                          </w:p>
                        </w:txbxContent>
                      </wps:txbx>
                      <wps:bodyPr vert="eaVert" lIns="0" tIns="0" rIns="0" bIns="0" upright="1"/>
                    </wps:wsp>
                  </a:graphicData>
                </a:graphic>
              </wp:anchor>
            </w:drawing>
          </mc:Choice>
          <mc:Fallback>
            <w:pict>
              <v:shape id="Shape 22" o:spid="_x0000_s1030" type="#_x0000_t202" style="width:51.1pt;height:119.5pt;margin-top:55.7pt;margin-left:179.15pt;mso-position-horizontal-relative:page;mso-wrap-distance-bottom:2.7pt;mso-wrap-distance-left:0;mso-wrap-distance-right:0;mso-wrap-distance-top:55.7pt;position:absolute;v-text-anchor:top;z-index:251668480" filled="f" fillcolor="this">
                <v:textbox style="layout-flow:vertical-ideographic" inset="0,0,0,0">
                  <w:txbxContent>
                    <w:p>
                      <w:pPr>
                        <w:pStyle w:val="Bodytext50"/>
                        <w:keepNext w:val="0"/>
                        <w:keepLines w:val="0"/>
                        <w:widowControl w:val="0"/>
                        <w:shd w:val="clear" w:color="auto" w:fill="auto"/>
                        <w:bidi w:val="0"/>
                        <w:spacing w:before="0" w:after="0" w:line="576" w:lineRule="exact"/>
                        <w:ind w:left="0" w:right="0" w:firstLine="0"/>
                        <w:jc w:val="center"/>
                      </w:pPr>
                      <w:r>
                        <w:rPr>
                          <w:color w:val="000000"/>
                          <w:spacing w:val="0"/>
                          <w:w w:val="100"/>
                          <w:position w:val="0"/>
                        </w:rPr>
                        <w:t>河流群体分布三分法</w:t>
                      </w:r>
                      <w:r>
                        <w:rPr>
                          <w:color w:val="000000"/>
                          <w:spacing w:val="0"/>
                          <w:w w:val="100"/>
                          <w:position w:val="0"/>
                          <w:lang w:val="zh-CN" w:eastAsia="zh-CN" w:bidi="zh-CN"/>
                        </w:rPr>
                        <w:t>丁</w:t>
                        <w:br/>
                      </w:r>
                      <w:r>
                        <w:rPr>
                          <w:color w:val="000000"/>
                          <w:spacing w:val="0"/>
                          <w:w w:val="100"/>
                          <w:position w:val="0"/>
                        </w:rPr>
                        <w:t>参暧河篷頻率分布当</w:t>
                      </w:r>
                      <w:r>
                        <w:rPr>
                          <w:color w:val="25292E"/>
                          <w:spacing w:val="0"/>
                          <w:w w:val="100"/>
                          <w:position w:val="0"/>
                        </w:rPr>
                        <w:t>——</w:t>
                      </w:r>
                    </w:p>
                  </w:txbxContent>
                </v:textbox>
                <w10:wrap type="topAndBottom"/>
              </v:shape>
            </w:pict>
          </mc:Fallback>
        </mc:AlternateContent>
      </w:r>
      <w:r>
        <mc:AlternateContent>
          <mc:Choice Requires="wps">
            <w:drawing>
              <wp:anchor distT="1040130" distB="606425" distL="0" distR="0" simplePos="0" relativeHeight="251671552" behindDoc="0" locked="0" layoutInCell="1" allowOverlap="1">
                <wp:simplePos x="0" y="0"/>
                <wp:positionH relativeFrom="page">
                  <wp:posOffset>3049270</wp:posOffset>
                </wp:positionH>
                <wp:positionV relativeFrom="paragraph">
                  <wp:posOffset>1040130</wp:posOffset>
                </wp:positionV>
                <wp:extent cx="161290" cy="612775"/>
                <wp:wrapTopAndBottom/>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61290" cy="612775"/>
                        </a:xfrm>
                        <a:prstGeom prst="rect">
                          <a:avLst/>
                        </a:prstGeom>
                        <a:noFill/>
                      </wps:spPr>
                      <wps:txbx>
                        <w:txbxContent>
                          <w:p>
                            <w:pPr>
                              <w:pStyle w:val="Bodytext10"/>
                              <w:keepNext w:val="0"/>
                              <w:keepLines w:val="0"/>
                              <w:widowControl w:val="0"/>
                              <w:shd w:val="clear" w:color="auto" w:fill="auto"/>
                              <w:bidi w:val="0"/>
                              <w:spacing w:before="0" w:after="0" w:line="240" w:lineRule="exact"/>
                              <w:ind w:left="0" w:right="0" w:firstLine="0"/>
                              <w:jc w:val="both"/>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Y </w:t>
                            </w:r>
                            <w:r>
                              <w:rPr>
                                <w:color w:val="000000"/>
                                <w:spacing w:val="0"/>
                                <w:w w:val="100"/>
                                <w:position w:val="0"/>
                                <w:sz w:val="19"/>
                                <w:szCs w:val="19"/>
                              </w:rPr>
                              <w:t>截 距 法</w:t>
                            </w:r>
                          </w:p>
                        </w:txbxContent>
                      </wps:txbx>
                      <wps:bodyPr lIns="0" tIns="0" rIns="0" bIns="0"/>
                    </wps:wsp>
                  </a:graphicData>
                </a:graphic>
              </wp:anchor>
            </w:drawing>
          </mc:Choice>
          <mc:Fallback>
            <w:pict>
              <v:shape id="Shape 24" o:spid="_x0000_s1031" type="#_x0000_t202" style="width:12.7pt;height:48.25pt;margin-top:81.9pt;margin-left:240.1pt;mso-position-horizontal-relative:page;mso-wrap-distance-bottom:47.75pt;mso-wrap-distance-left:0;mso-wrap-distance-right:0;mso-wrap-distance-top:81.9pt;position:absolute;v-text-anchor:top;z-index:251670528" filled="f" fillcolor="this">
                <v:textbox inset="0,0,0,0">
                  <w:txbxContent>
                    <w:p>
                      <w:pPr>
                        <w:pStyle w:val="Bodytext10"/>
                        <w:keepNext w:val="0"/>
                        <w:keepLines w:val="0"/>
                        <w:widowControl w:val="0"/>
                        <w:shd w:val="clear" w:color="auto" w:fill="auto"/>
                        <w:bidi w:val="0"/>
                        <w:spacing w:before="0" w:after="0" w:line="240" w:lineRule="exact"/>
                        <w:ind w:left="0" w:right="0" w:firstLine="0"/>
                        <w:jc w:val="both"/>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Y </w:t>
                      </w:r>
                      <w:r>
                        <w:rPr>
                          <w:color w:val="000000"/>
                          <w:spacing w:val="0"/>
                          <w:w w:val="100"/>
                          <w:position w:val="0"/>
                          <w:sz w:val="19"/>
                          <w:szCs w:val="19"/>
                        </w:rPr>
                        <w:t>截 距 法</w:t>
                      </w:r>
                    </w:p>
                  </w:txbxContent>
                </v:textbox>
                <w10:wrap type="topAndBottom"/>
              </v:shape>
            </w:pict>
          </mc:Fallback>
        </mc:AlternateContent>
      </w:r>
      <w:r>
        <mc:AlternateContent>
          <mc:Choice Requires="wps">
            <w:drawing>
              <wp:anchor distT="866140" distB="494030" distL="0" distR="0" simplePos="0" relativeHeight="251673600" behindDoc="0" locked="0" layoutInCell="1" allowOverlap="1">
                <wp:simplePos x="0" y="0"/>
                <wp:positionH relativeFrom="page">
                  <wp:posOffset>3506470</wp:posOffset>
                </wp:positionH>
                <wp:positionV relativeFrom="paragraph">
                  <wp:posOffset>866140</wp:posOffset>
                </wp:positionV>
                <wp:extent cx="149225" cy="899160"/>
                <wp:wrapTopAndBottom/>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225" cy="899160"/>
                        </a:xfrm>
                        <a:prstGeom prst="rect">
                          <a:avLst/>
                        </a:prstGeom>
                        <a:noFill/>
                      </wps:spPr>
                      <wps:txbx>
                        <w:txbxContent>
                          <w:p>
                            <w:pPr>
                              <w:pStyle w:val="Bodytext10"/>
                              <w:keepNext w:val="0"/>
                              <w:keepLines w:val="0"/>
                              <w:widowControl w:val="0"/>
                              <w:shd w:val="clear" w:color="auto" w:fill="auto"/>
                              <w:bidi w:val="0"/>
                              <w:spacing w:before="0" w:after="0" w:line="232" w:lineRule="exact"/>
                              <w:ind w:left="0" w:right="0" w:firstLine="0"/>
                              <w:jc w:val="left"/>
                              <w:rPr>
                                <w:sz w:val="19"/>
                                <w:szCs w:val="19"/>
                              </w:rPr>
                            </w:pPr>
                            <w:r>
                              <w:rPr>
                                <w:color w:val="000000"/>
                                <w:spacing w:val="0"/>
                                <w:w w:val="100"/>
                                <w:position w:val="0"/>
                                <w:sz w:val="19"/>
                                <w:szCs w:val="19"/>
                              </w:rPr>
                              <w:t>线 性 回 归 分 析</w:t>
                            </w:r>
                          </w:p>
                        </w:txbxContent>
                      </wps:txbx>
                      <wps:bodyPr lIns="0" tIns="0" rIns="0" bIns="0"/>
                    </wps:wsp>
                  </a:graphicData>
                </a:graphic>
              </wp:anchor>
            </w:drawing>
          </mc:Choice>
          <mc:Fallback>
            <w:pict>
              <v:shape id="Shape 26" o:spid="_x0000_s1032" type="#_x0000_t202" style="width:11.75pt;height:70.8pt;margin-top:68.2pt;margin-left:276.1pt;mso-position-horizontal-relative:page;mso-wrap-distance-bottom:38.9pt;mso-wrap-distance-left:0;mso-wrap-distance-right:0;mso-wrap-distance-top:68.2pt;position:absolute;v-text-anchor:top;z-index:251672576" filled="f" fillcolor="this">
                <v:textbox inset="0,0,0,0">
                  <w:txbxContent>
                    <w:p>
                      <w:pPr>
                        <w:pStyle w:val="Bodytext10"/>
                        <w:keepNext w:val="0"/>
                        <w:keepLines w:val="0"/>
                        <w:widowControl w:val="0"/>
                        <w:shd w:val="clear" w:color="auto" w:fill="auto"/>
                        <w:bidi w:val="0"/>
                        <w:spacing w:before="0" w:after="0" w:line="232" w:lineRule="exact"/>
                        <w:ind w:left="0" w:right="0" w:firstLine="0"/>
                        <w:jc w:val="left"/>
                        <w:rPr>
                          <w:sz w:val="19"/>
                          <w:szCs w:val="19"/>
                        </w:rPr>
                      </w:pPr>
                      <w:r>
                        <w:rPr>
                          <w:color w:val="000000"/>
                          <w:spacing w:val="0"/>
                          <w:w w:val="100"/>
                          <w:position w:val="0"/>
                          <w:sz w:val="19"/>
                          <w:szCs w:val="19"/>
                        </w:rPr>
                        <w:t>线 性 回 归 分 析</w:t>
                      </w:r>
                    </w:p>
                  </w:txbxContent>
                </v:textbox>
                <w10:wrap type="topAndBottom"/>
              </v:shape>
            </w:pict>
          </mc:Fallback>
        </mc:AlternateContent>
      </w:r>
      <w:r>
        <mc:AlternateContent>
          <mc:Choice Requires="wps">
            <w:drawing>
              <wp:anchor distT="661670" distB="189230" distL="381000" distR="0" simplePos="0" relativeHeight="251675648" behindDoc="0" locked="0" layoutInCell="1" allowOverlap="1">
                <wp:simplePos x="0" y="0"/>
                <wp:positionH relativeFrom="page">
                  <wp:posOffset>4241165</wp:posOffset>
                </wp:positionH>
                <wp:positionV relativeFrom="paragraph">
                  <wp:posOffset>661670</wp:posOffset>
                </wp:positionV>
                <wp:extent cx="841375" cy="1408430"/>
                <wp:wrapTopAndBottom/>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841375" cy="1408430"/>
                        </a:xfrm>
                        <a:prstGeom prst="rect">
                          <a:avLst/>
                        </a:prstGeom>
                        <a:noFill/>
                      </wps:spPr>
                      <wps:txbx>
                        <w:txbxContent>
                          <w:tbl>
                            <w:tblPr>
                              <w:tblStyle w:val="TableNormal"/>
                              <w:tblOverlap w:val="never"/>
                              <w:jc w:val="left"/>
                              <w:tblLayout w:type="fixed"/>
                              <w:tblCellMar>
                                <w:top w:w="0" w:type="dxa"/>
                                <w:left w:w="10" w:type="dxa"/>
                                <w:bottom w:w="0" w:type="dxa"/>
                                <w:right w:w="10" w:type="dxa"/>
                              </w:tblCellMar>
                            </w:tblPr>
                            <w:tblGrid>
                              <w:gridCol w:w="739"/>
                              <w:gridCol w:w="125"/>
                              <w:gridCol w:w="461"/>
                            </w:tblGrid>
                            <w:tr>
                              <w:tblPrEx>
                                <w:jc w:val="left"/>
                                <w:tblLayout w:type="fixed"/>
                                <w:tblCellMar>
                                  <w:top w:w="0" w:type="dxa"/>
                                  <w:left w:w="10" w:type="dxa"/>
                                  <w:bottom w:w="0" w:type="dxa"/>
                                  <w:right w:w="10" w:type="dxa"/>
                                </w:tblCellMar>
                              </w:tblPrEx>
                              <w:trPr>
                                <w:trHeight w:hRule="exact" w:val="538"/>
                                <w:tblHeader/>
                                <w:jc w:val="left"/>
                              </w:trPr>
                              <w:tc>
                                <w:tcPr>
                                  <w:tcW w:w="73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35" w:lineRule="exact"/>
                                    <w:ind w:left="0" w:right="0" w:firstLine="0"/>
                                    <w:jc w:val="left"/>
                                    <w:rPr>
                                      <w:sz w:val="19"/>
                                      <w:szCs w:val="19"/>
                                    </w:rPr>
                                  </w:pPr>
                                  <w:r>
                                    <w:rPr>
                                      <w:color w:val="000000"/>
                                      <w:spacing w:val="0"/>
                                      <w:w w:val="100"/>
                                      <w:position w:val="0"/>
                                      <w:sz w:val="19"/>
                                      <w:szCs w:val="19"/>
                                    </w:rPr>
                                    <w:t>应相流 用似营</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lang w:val="en-US" w:eastAsia="en-US" w:bidi="en-US"/>
                                    </w:rPr>
                                    <w:t>B5</w:t>
                                  </w:r>
                                </w:p>
                              </w:tc>
                            </w:tr>
                            <w:tr>
                              <w:tblPrEx>
                                <w:jc w:val="left"/>
                                <w:tblLayout w:type="fixed"/>
                                <w:tblCellMar>
                                  <w:top w:w="0" w:type="dxa"/>
                                  <w:left w:w="10" w:type="dxa"/>
                                  <w:bottom w:w="0" w:type="dxa"/>
                                  <w:right w:w="10" w:type="dxa"/>
                                </w:tblCellMar>
                              </w:tblPrEx>
                              <w:trPr>
                                <w:trHeight w:hRule="exact" w:val="235"/>
                                <w:jc w:val="left"/>
                              </w:trPr>
                              <w:tc>
                                <w:tcPr>
                                  <w:tcW w:w="739" w:type="dxa"/>
                                  <w:tcBorders>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文地养</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史</w:t>
                                  </w:r>
                                </w:p>
                              </w:tc>
                            </w:tr>
                            <w:tr>
                              <w:tblPrEx>
                                <w:jc w:val="left"/>
                                <w:tblLayout w:type="fixed"/>
                                <w:tblCellMar>
                                  <w:top w:w="0" w:type="dxa"/>
                                  <w:left w:w="10" w:type="dxa"/>
                                  <w:bottom w:w="0" w:type="dxa"/>
                                  <w:right w:w="10" w:type="dxa"/>
                                </w:tblCellMar>
                              </w:tblPrEx>
                              <w:trPr>
                                <w:trHeight w:hRule="exact" w:val="235"/>
                                <w:jc w:val="left"/>
                              </w:trPr>
                              <w:tc>
                                <w:tcPr>
                                  <w:tcW w:w="739" w:type="dxa"/>
                                  <w:tcBorders>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献理物</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i/>
                                      <w:iCs/>
                                      <w:color w:val="000000"/>
                                      <w:spacing w:val="0"/>
                                      <w:w w:val="100"/>
                                      <w:position w:val="0"/>
                                      <w:sz w:val="19"/>
                                      <w:szCs w:val="19"/>
                                    </w:rPr>
                                    <w:t>数</w:t>
                                  </w:r>
                                </w:p>
                              </w:tc>
                            </w:tr>
                            <w:tr>
                              <w:tblPrEx>
                                <w:jc w:val="left"/>
                                <w:tblLayout w:type="fixed"/>
                                <w:tblCellMar>
                                  <w:top w:w="0" w:type="dxa"/>
                                  <w:left w:w="10" w:type="dxa"/>
                                  <w:bottom w:w="0" w:type="dxa"/>
                                  <w:right w:w="10" w:type="dxa"/>
                                </w:tblCellMar>
                              </w:tblPrEx>
                              <w:trPr>
                                <w:trHeight w:hRule="exact" w:val="230"/>
                                <w:jc w:val="left"/>
                              </w:trPr>
                              <w:tc>
                                <w:tcPr>
                                  <w:tcW w:w="739" w:type="dxa"/>
                                  <w:tcBorders>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lang w:val="zh-CN" w:eastAsia="zh-CN" w:bidi="zh-CN"/>
                                    </w:rPr>
                                    <w:t>推特闹</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据</w:t>
                                  </w:r>
                                </w:p>
                              </w:tc>
                            </w:tr>
                            <w:tr>
                              <w:tblPrEx>
                                <w:jc w:val="left"/>
                                <w:tblLayout w:type="fixed"/>
                                <w:tblCellMar>
                                  <w:top w:w="0" w:type="dxa"/>
                                  <w:left w:w="10" w:type="dxa"/>
                                  <w:bottom w:w="0" w:type="dxa"/>
                                  <w:right w:w="10" w:type="dxa"/>
                                </w:tblCellMar>
                              </w:tblPrEx>
                              <w:trPr>
                                <w:trHeight w:hRule="exact" w:val="979"/>
                                <w:jc w:val="left"/>
                              </w:trPr>
                              <w:tc>
                                <w:tcPr>
                                  <w:tcW w:w="739" w:type="dxa"/>
                                  <w:tcBorders>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both"/>
                                    <w:rPr>
                                      <w:sz w:val="19"/>
                                      <w:szCs w:val="19"/>
                                    </w:rPr>
                                  </w:pPr>
                                  <w:r>
                                    <w:rPr>
                                      <w:color w:val="000000"/>
                                      <w:spacing w:val="0"/>
                                      <w:w w:val="100"/>
                                      <w:position w:val="0"/>
                                      <w:sz w:val="19"/>
                                      <w:szCs w:val="19"/>
                                    </w:rPr>
                                    <w:t>茬征值 的区 具域 有河</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法</w:t>
                                  </w:r>
                                </w:p>
                              </w:tc>
                            </w:tr>
                          </w:tbl>
                          <w:p>
                            <w:pPr>
                              <w:widowControl w:val="0"/>
                              <w:spacing w:line="1" w:lineRule="exact"/>
                            </w:pPr>
                          </w:p>
                        </w:txbxContent>
                      </wps:txbx>
                      <wps:bodyPr lIns="0" tIns="0" rIns="0" bIns="0"/>
                    </wps:wsp>
                  </a:graphicData>
                </a:graphic>
              </wp:anchor>
            </w:drawing>
          </mc:Choice>
          <mc:Fallback>
            <w:pict>
              <v:shape id="Shape 28" o:spid="_x0000_s1033" type="#_x0000_t202" style="width:66.25pt;height:110.9pt;margin-top:52.1pt;margin-left:333.95pt;mso-position-horizontal-relative:page;mso-wrap-distance-bottom:14.9pt;mso-wrap-distance-left:30pt;mso-wrap-distance-right:0;mso-wrap-distance-top:52.1pt;position:absolute;v-text-anchor:top;z-index:251674624" filled="f" fillcolor="this">
                <v:textbox inset="0,0,0,0">
                  <w:txbxContent>
                    <w:tbl>
                      <w:tblPr>
                        <w:tblStyle w:val="TableNormal"/>
                        <w:tblOverlap w:val="never"/>
                        <w:jc w:val="left"/>
                        <w:tblLayout w:type="fixed"/>
                        <w:tblCellMar>
                          <w:top w:w="0" w:type="dxa"/>
                          <w:left w:w="10" w:type="dxa"/>
                          <w:bottom w:w="0" w:type="dxa"/>
                          <w:right w:w="10" w:type="dxa"/>
                        </w:tblCellMar>
                      </w:tblPr>
                      <w:tblGrid>
                        <w:gridCol w:w="739"/>
                        <w:gridCol w:w="125"/>
                        <w:gridCol w:w="461"/>
                      </w:tblGrid>
                      <w:tr>
                        <w:tblPrEx>
                          <w:jc w:val="left"/>
                          <w:tblLayout w:type="fixed"/>
                          <w:tblCellMar>
                            <w:top w:w="0" w:type="dxa"/>
                            <w:left w:w="10" w:type="dxa"/>
                            <w:bottom w:w="0" w:type="dxa"/>
                            <w:right w:w="10" w:type="dxa"/>
                          </w:tblCellMar>
                        </w:tblPrEx>
                        <w:trPr>
                          <w:trHeight w:hRule="exact" w:val="538"/>
                          <w:tblHeader/>
                          <w:jc w:val="left"/>
                        </w:trPr>
                        <w:tc>
                          <w:tcPr>
                            <w:tcW w:w="73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35" w:lineRule="exact"/>
                              <w:ind w:left="0" w:right="0" w:firstLine="0"/>
                              <w:jc w:val="left"/>
                              <w:rPr>
                                <w:sz w:val="19"/>
                                <w:szCs w:val="19"/>
                              </w:rPr>
                            </w:pPr>
                            <w:r>
                              <w:rPr>
                                <w:color w:val="000000"/>
                                <w:spacing w:val="0"/>
                                <w:w w:val="100"/>
                                <w:position w:val="0"/>
                                <w:sz w:val="19"/>
                                <w:szCs w:val="19"/>
                              </w:rPr>
                              <w:t>应相流 用似营</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lang w:val="en-US" w:eastAsia="en-US" w:bidi="en-US"/>
                              </w:rPr>
                              <w:t>B5</w:t>
                            </w:r>
                          </w:p>
                        </w:tc>
                      </w:tr>
                      <w:tr>
                        <w:tblPrEx>
                          <w:jc w:val="left"/>
                          <w:tblLayout w:type="fixed"/>
                          <w:tblCellMar>
                            <w:top w:w="0" w:type="dxa"/>
                            <w:left w:w="10" w:type="dxa"/>
                            <w:bottom w:w="0" w:type="dxa"/>
                            <w:right w:w="10" w:type="dxa"/>
                          </w:tblCellMar>
                        </w:tblPrEx>
                        <w:trPr>
                          <w:trHeight w:hRule="exact" w:val="235"/>
                          <w:jc w:val="left"/>
                        </w:trPr>
                        <w:tc>
                          <w:tcPr>
                            <w:tcW w:w="739" w:type="dxa"/>
                            <w:tcBorders>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文地养</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史</w:t>
                            </w:r>
                          </w:p>
                        </w:tc>
                      </w:tr>
                      <w:tr>
                        <w:tblPrEx>
                          <w:jc w:val="left"/>
                          <w:tblLayout w:type="fixed"/>
                          <w:tblCellMar>
                            <w:top w:w="0" w:type="dxa"/>
                            <w:left w:w="10" w:type="dxa"/>
                            <w:bottom w:w="0" w:type="dxa"/>
                            <w:right w:w="10" w:type="dxa"/>
                          </w:tblCellMar>
                        </w:tblPrEx>
                        <w:trPr>
                          <w:trHeight w:hRule="exact" w:val="235"/>
                          <w:jc w:val="left"/>
                        </w:trPr>
                        <w:tc>
                          <w:tcPr>
                            <w:tcW w:w="739" w:type="dxa"/>
                            <w:tcBorders>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献理物</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i/>
                                <w:iCs/>
                                <w:color w:val="000000"/>
                                <w:spacing w:val="0"/>
                                <w:w w:val="100"/>
                                <w:position w:val="0"/>
                                <w:sz w:val="19"/>
                                <w:szCs w:val="19"/>
                              </w:rPr>
                              <w:t>数</w:t>
                            </w:r>
                          </w:p>
                        </w:tc>
                      </w:tr>
                      <w:tr>
                        <w:tblPrEx>
                          <w:jc w:val="left"/>
                          <w:tblLayout w:type="fixed"/>
                          <w:tblCellMar>
                            <w:top w:w="0" w:type="dxa"/>
                            <w:left w:w="10" w:type="dxa"/>
                            <w:bottom w:w="0" w:type="dxa"/>
                            <w:right w:w="10" w:type="dxa"/>
                          </w:tblCellMar>
                        </w:tblPrEx>
                        <w:trPr>
                          <w:trHeight w:hRule="exact" w:val="230"/>
                          <w:jc w:val="left"/>
                        </w:trPr>
                        <w:tc>
                          <w:tcPr>
                            <w:tcW w:w="739" w:type="dxa"/>
                            <w:tcBorders>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lang w:val="zh-CN" w:eastAsia="zh-CN" w:bidi="zh-CN"/>
                              </w:rPr>
                              <w:t>推特闹</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据</w:t>
                            </w:r>
                          </w:p>
                        </w:tc>
                      </w:tr>
                      <w:tr>
                        <w:tblPrEx>
                          <w:jc w:val="left"/>
                          <w:tblLayout w:type="fixed"/>
                          <w:tblCellMar>
                            <w:top w:w="0" w:type="dxa"/>
                            <w:left w:w="10" w:type="dxa"/>
                            <w:bottom w:w="0" w:type="dxa"/>
                            <w:right w:w="10" w:type="dxa"/>
                          </w:tblCellMar>
                        </w:tblPrEx>
                        <w:trPr>
                          <w:trHeight w:hRule="exact" w:val="979"/>
                          <w:jc w:val="left"/>
                        </w:trPr>
                        <w:tc>
                          <w:tcPr>
                            <w:tcW w:w="739" w:type="dxa"/>
                            <w:tcBorders>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both"/>
                              <w:rPr>
                                <w:sz w:val="19"/>
                                <w:szCs w:val="19"/>
                              </w:rPr>
                            </w:pPr>
                            <w:r>
                              <w:rPr>
                                <w:color w:val="000000"/>
                                <w:spacing w:val="0"/>
                                <w:w w:val="100"/>
                                <w:position w:val="0"/>
                                <w:sz w:val="19"/>
                                <w:szCs w:val="19"/>
                              </w:rPr>
                              <w:t>茬征值 的区 具域 有河</w:t>
                            </w:r>
                          </w:p>
                        </w:tc>
                        <w:tc>
                          <w:tcPr>
                            <w:tcW w:w="125" w:type="dxa"/>
                            <w:tcBorders>
                              <w:left w:val="single" w:sz="4" w:space="0" w:color="auto"/>
                            </w:tcBorders>
                            <w:shd w:val="clear" w:color="auto" w:fill="FFFFFF"/>
                            <w:vAlign w:val="top"/>
                          </w:tcPr>
                          <w:p>
                            <w:pPr>
                              <w:widowControl w:val="0"/>
                              <w:rPr>
                                <w:sz w:val="10"/>
                                <w:szCs w:val="10"/>
                              </w:rPr>
                            </w:pPr>
                          </w:p>
                        </w:tc>
                        <w:tc>
                          <w:tcPr>
                            <w:tcW w:w="461" w:type="dxa"/>
                            <w:tcBorders>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法</w:t>
                            </w:r>
                          </w:p>
                        </w:tc>
                      </w:tr>
                    </w:tbl>
                    <w:p>
                      <w:pPr>
                        <w:widowControl w:val="0"/>
                        <w:spacing w:line="1" w:lineRule="exact"/>
                      </w:pPr>
                    </w:p>
                  </w:txbxContent>
                </v:textbox>
                <w10:wrap type="topAndBottom"/>
              </v:shape>
            </w:pict>
          </mc:Fallback>
        </mc:AlternateContent>
      </w:r>
      <w:r>
        <mc:AlternateContent>
          <mc:Choice Requires="wps">
            <w:drawing>
              <wp:anchor distT="0" distB="0" distL="0" distR="0" simplePos="0" relativeHeight="251679744" behindDoc="0" locked="0" layoutInCell="1" allowOverlap="1">
                <wp:simplePos x="0" y="0"/>
                <wp:positionH relativeFrom="page">
                  <wp:posOffset>3860165</wp:posOffset>
                </wp:positionH>
                <wp:positionV relativeFrom="paragraph">
                  <wp:posOffset>866140</wp:posOffset>
                </wp:positionV>
                <wp:extent cx="152400" cy="749935"/>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49935"/>
                        </a:xfrm>
                        <a:prstGeom prst="rect">
                          <a:avLst/>
                        </a:prstGeom>
                        <a:noFill/>
                      </wps:spPr>
                      <wps:txbx>
                        <w:txbxContent>
                          <w:p>
                            <w:pPr>
                              <w:pStyle w:val="Tablecaption10"/>
                              <w:keepNext w:val="0"/>
                              <w:keepLines w:val="0"/>
                              <w:widowControl w:val="0"/>
                              <w:shd w:val="clear" w:color="auto" w:fill="auto"/>
                              <w:bidi w:val="0"/>
                              <w:spacing w:before="0" w:after="0"/>
                              <w:ind w:left="0" w:right="0" w:firstLine="0"/>
                              <w:jc w:val="left"/>
                            </w:pPr>
                            <w:r>
                              <w:rPr>
                                <w:color w:val="000000"/>
                                <w:spacing w:val="0"/>
                                <w:w w:val="100"/>
                                <w:position w:val="0"/>
                              </w:rPr>
                              <w:t>分 类 回 归 树</w:t>
                            </w:r>
                          </w:p>
                        </w:txbxContent>
                      </wps:txbx>
                      <wps:bodyPr lIns="0" tIns="0" rIns="0" bIns="0"/>
                    </wps:wsp>
                  </a:graphicData>
                </a:graphic>
              </wp:anchor>
            </w:drawing>
          </mc:Choice>
          <mc:Fallback>
            <w:pict>
              <v:shape id="Shape 30" o:spid="_x0000_s1034" type="#_x0000_t202" style="width:12pt;height:59.05pt;margin-top:68.2pt;margin-left:303.95pt;mso-position-horizontal-relative:page;mso-wrap-distance-bottom:0;mso-wrap-distance-left:0;mso-wrap-distance-right:0;mso-wrap-distance-top:0;position:absolute;v-text-anchor:top;z-index:251678720" filled="f" fillcolor="this">
                <v:textbox inset="0,0,0,0">
                  <w:txbxContent>
                    <w:p>
                      <w:pPr>
                        <w:pStyle w:val="Tablecaption10"/>
                        <w:keepNext w:val="0"/>
                        <w:keepLines w:val="0"/>
                        <w:widowControl w:val="0"/>
                        <w:shd w:val="clear" w:color="auto" w:fill="auto"/>
                        <w:bidi w:val="0"/>
                        <w:spacing w:before="0" w:after="0"/>
                        <w:ind w:left="0" w:right="0" w:firstLine="0"/>
                        <w:jc w:val="left"/>
                      </w:pPr>
                      <w:r>
                        <w:rPr>
                          <w:color w:val="000000"/>
                          <w:spacing w:val="0"/>
                          <w:w w:val="100"/>
                          <w:position w:val="0"/>
                        </w:rPr>
                        <w:t>分 类 回 归 树</w:t>
                      </w:r>
                    </w:p>
                  </w:txbxContent>
                </v:textbox>
              </v:shape>
            </w:pict>
          </mc:Fallback>
        </mc:AlternateContent>
      </w:r>
      <w:r>
        <mc:AlternateContent>
          <mc:Choice Requires="wps">
            <w:drawing>
              <wp:anchor distT="2106930" distB="0" distL="0" distR="0" simplePos="0" relativeHeight="251677696" behindDoc="0" locked="0" layoutInCell="1" allowOverlap="1">
                <wp:simplePos x="0" y="0"/>
                <wp:positionH relativeFrom="page">
                  <wp:posOffset>3110230</wp:posOffset>
                </wp:positionH>
                <wp:positionV relativeFrom="paragraph">
                  <wp:posOffset>2106930</wp:posOffset>
                </wp:positionV>
                <wp:extent cx="1807210" cy="152400"/>
                <wp:wrapTopAndBottom/>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07210" cy="152400"/>
                        </a:xfrm>
                        <a:prstGeom prst="rect">
                          <a:avLst/>
                        </a:prstGeom>
                        <a:noFill/>
                      </wps:spPr>
                      <wps:txbx>
                        <w:txbxContent>
                          <w:p>
                            <w:pPr>
                              <w:pStyle w:val="Bodytext20"/>
                              <w:keepNext w:val="0"/>
                              <w:keepLines w:val="0"/>
                              <w:widowControl w:val="0"/>
                              <w:shd w:val="clear" w:color="auto" w:fill="auto"/>
                              <w:tabs>
                                <w:tab w:val="left" w:pos="2798"/>
                              </w:tabs>
                              <w:bidi w:val="0"/>
                              <w:spacing w:before="0" w:after="0" w:line="240" w:lineRule="auto"/>
                              <w:ind w:left="0" w:right="0" w:firstLine="0"/>
                              <w:jc w:val="left"/>
                              <w:rPr>
                                <w:sz w:val="19"/>
                                <w:szCs w:val="19"/>
                              </w:rPr>
                            </w:pPr>
                            <w:r>
                              <w:rPr>
                                <w:rFonts w:ascii="Times New Roman" w:eastAsia="Times New Roman" w:hAnsi="Times New Roman" w:cs="Times New Roman"/>
                                <w:color w:val="25292E"/>
                                <w:spacing w:val="0"/>
                                <w:w w:val="100"/>
                                <w:position w:val="0"/>
                                <w:sz w:val="19"/>
                                <w:szCs w:val="19"/>
                                <w:lang w:val="en-US" w:eastAsia="en-US" w:bidi="en-US"/>
                              </w:rPr>
                              <w:t>L</w:t>
                            </w:r>
                            <w:r>
                              <w:rPr>
                                <w:sz w:val="20"/>
                                <w:szCs w:val="20"/>
                                <w:u w:val="single"/>
                              </w:rPr>
                              <w:t xml:space="preserve"> </w:t>
                              <w:tab/>
                            </w:r>
                          </w:p>
                        </w:txbxContent>
                      </wps:txbx>
                      <wps:bodyPr wrap="none" lIns="0" tIns="0" rIns="0" bIns="0"/>
                    </wps:wsp>
                  </a:graphicData>
                </a:graphic>
              </wp:anchor>
            </w:drawing>
          </mc:Choice>
          <mc:Fallback>
            <w:pict>
              <v:shape id="Shape 32" o:spid="_x0000_s1035" type="#_x0000_t202" style="width:142.3pt;height:12pt;margin-top:165.9pt;margin-left:244.9pt;mso-position-horizontal-relative:page;mso-wrap-distance-bottom:0;mso-wrap-distance-left:0;mso-wrap-distance-right:0;mso-wrap-distance-top:165.9pt;mso-wrap-style:none;position:absolute;v-text-anchor:top;z-index:251676672" filled="f" fillcolor="this">
                <v:textbox inset="0,0,0,0">
                  <w:txbxContent>
                    <w:p>
                      <w:pPr>
                        <w:pStyle w:val="Bodytext20"/>
                        <w:keepNext w:val="0"/>
                        <w:keepLines w:val="0"/>
                        <w:widowControl w:val="0"/>
                        <w:shd w:val="clear" w:color="auto" w:fill="auto"/>
                        <w:tabs>
                          <w:tab w:val="left" w:pos="2798"/>
                        </w:tabs>
                        <w:bidi w:val="0"/>
                        <w:spacing w:before="0" w:after="0" w:line="240" w:lineRule="auto"/>
                        <w:ind w:left="0" w:right="0" w:firstLine="0"/>
                        <w:jc w:val="left"/>
                        <w:rPr>
                          <w:sz w:val="19"/>
                          <w:szCs w:val="19"/>
                        </w:rPr>
                      </w:pPr>
                      <w:r>
                        <w:rPr>
                          <w:rFonts w:ascii="Times New Roman" w:eastAsia="Times New Roman" w:hAnsi="Times New Roman" w:cs="Times New Roman"/>
                          <w:color w:val="25292E"/>
                          <w:spacing w:val="0"/>
                          <w:w w:val="100"/>
                          <w:position w:val="0"/>
                          <w:sz w:val="19"/>
                          <w:szCs w:val="19"/>
                          <w:lang w:val="en-US" w:eastAsia="en-US" w:bidi="en-US"/>
                        </w:rPr>
                        <w:t>L</w:t>
                      </w:r>
                      <w:r>
                        <w:rPr>
                          <w:sz w:val="20"/>
                          <w:szCs w:val="20"/>
                          <w:u w:val="single"/>
                        </w:rPr>
                        <w:t xml:space="preserve"> </w:t>
                        <w:tab/>
                      </w:r>
                    </w:p>
                  </w:txbxContent>
                </v:textbox>
                <w10:wrap type="topAndBottom"/>
              </v:shape>
            </w:pict>
          </mc:Fallback>
        </mc:AlternateContent>
      </w:r>
    </w:p>
    <w:p>
      <w:pPr>
        <w:widowControl w:val="0"/>
        <w:spacing w:line="240" w:lineRule="exact"/>
        <w:rPr>
          <w:sz w:val="19"/>
          <w:szCs w:val="19"/>
        </w:rPr>
      </w:pPr>
    </w:p>
    <w:p>
      <w:pPr>
        <w:widowControl w:val="0"/>
        <w:spacing w:line="240" w:lineRule="exact"/>
        <w:rPr>
          <w:sz w:val="19"/>
          <w:szCs w:val="19"/>
        </w:rPr>
      </w:pPr>
    </w:p>
    <w:p>
      <w:pPr>
        <w:widowControl w:val="0"/>
        <w:spacing w:before="20" w:after="20" w:line="240" w:lineRule="exact"/>
        <w:rPr>
          <w:sz w:val="19"/>
          <w:szCs w:val="19"/>
        </w:rPr>
      </w:pPr>
    </w:p>
    <w:p>
      <w:pPr>
        <w:widowControl w:val="0"/>
        <w:spacing w:line="1" w:lineRule="exact"/>
        <w:sectPr>
          <w:footerReference w:type="even" r:id="rId21"/>
          <w:footerReference w:type="default" r:id="rId22"/>
          <w:footerReference w:type="first" r:id="rId23"/>
          <w:type w:val="continuous"/>
          <w:pgSz w:w="11900" w:h="16840"/>
          <w:pgMar w:top="1375" w:right="0" w:bottom="1274" w:left="0" w:header="0" w:footer="3" w:gutter="0"/>
          <w:pgNumType w:start="4"/>
          <w:cols w:space="720"/>
          <w:noEndnote/>
          <w:rtlGutter w:val="0"/>
          <w:docGrid w:linePitch="360"/>
        </w:sectPr>
      </w:pPr>
    </w:p>
    <w:p>
      <w:pPr>
        <w:pStyle w:val="Bodytext10"/>
        <w:keepNext w:val="0"/>
        <w:keepLines w:val="0"/>
        <w:widowControl w:val="0"/>
        <w:shd w:val="clear" w:color="auto" w:fill="auto"/>
        <w:bidi w:val="0"/>
        <w:spacing w:before="0" w:after="280" w:line="240" w:lineRule="auto"/>
        <w:ind w:left="0" w:right="0" w:firstLine="0"/>
        <w:jc w:val="center"/>
        <w:rPr>
          <w:sz w:val="19"/>
          <w:szCs w:val="19"/>
        </w:rPr>
      </w:pPr>
      <w:r>
        <w:rPr>
          <w:color w:val="000000"/>
          <w:spacing w:val="0"/>
          <w:w w:val="100"/>
          <w:position w:val="0"/>
          <w:sz w:val="19"/>
          <w:szCs w:val="19"/>
        </w:rPr>
        <w:t xml:space="preserve">基准值审校 </w:t>
      </w:r>
      <w:r>
        <w:rPr>
          <w:color w:val="000000"/>
          <w:spacing w:val="0"/>
          <w:w w:val="100"/>
          <w:position w:val="0"/>
          <w:sz w:val="19"/>
          <w:szCs w:val="19"/>
          <w:lang w:val="en-US" w:eastAsia="en-US" w:bidi="en-US"/>
        </w:rPr>
        <w:t>]</w:t>
      </w:r>
    </w:p>
    <w:p>
      <w:pPr>
        <w:pStyle w:val="Bodytext10"/>
        <w:keepNext w:val="0"/>
        <w:keepLines w:val="0"/>
        <w:widowControl w:val="0"/>
        <w:shd w:val="clear" w:color="auto" w:fill="auto"/>
        <w:tabs>
          <w:tab w:val="left" w:leader="hyphen" w:pos="2707"/>
        </w:tabs>
        <w:bidi w:val="0"/>
        <w:spacing w:before="0" w:after="0" w:line="235" w:lineRule="exact"/>
        <w:ind w:left="0" w:right="0" w:firstLine="0"/>
        <w:jc w:val="center"/>
        <w:rPr>
          <w:sz w:val="19"/>
          <w:szCs w:val="19"/>
        </w:rPr>
      </w:pPr>
      <w:r>
        <w:rPr>
          <w:color w:val="000000"/>
          <w:spacing w:val="0"/>
          <w:w w:val="100"/>
          <w:position w:val="0"/>
          <w:sz w:val="19"/>
          <w:szCs w:val="19"/>
        </w:rPr>
        <w:t>基准值后续评估（管理 否</w:t>
        <w:br/>
        <w:t>措施得当，评估保神巨</w:t>
        <w:tab/>
      </w:r>
    </w:p>
    <w:p>
      <w:pPr>
        <w:pStyle w:val="Bodytext10"/>
        <w:keepNext w:val="0"/>
        <w:keepLines w:val="0"/>
        <w:widowControl w:val="0"/>
        <w:shd w:val="clear" w:color="auto" w:fill="auto"/>
        <w:bidi w:val="0"/>
        <w:spacing w:before="0" w:after="40" w:line="235" w:lineRule="exact"/>
        <w:ind w:left="3560" w:right="0" w:firstLine="0"/>
        <w:jc w:val="left"/>
        <w:rPr>
          <w:sz w:val="19"/>
          <w:szCs w:val="19"/>
        </w:rPr>
      </w:pPr>
      <w:r>
        <w:rPr>
          <w:color w:val="000000"/>
          <w:spacing w:val="0"/>
          <w:w w:val="100"/>
          <w:position w:val="0"/>
          <w:sz w:val="19"/>
          <w:szCs w:val="19"/>
        </w:rPr>
        <w:t>标的可达性）</w:t>
      </w:r>
    </w:p>
    <w:p>
      <w:pPr>
        <w:pStyle w:val="Bodytext10"/>
        <w:keepNext w:val="0"/>
        <w:keepLines w:val="0"/>
        <w:widowControl w:val="0"/>
        <w:shd w:val="clear" w:color="auto" w:fill="auto"/>
        <w:bidi w:val="0"/>
        <w:spacing w:before="0" w:after="360" w:line="223" w:lineRule="auto"/>
        <w:ind w:left="0" w:right="0" w:firstLine="0"/>
        <w:jc w:val="center"/>
        <w:rPr>
          <w:sz w:val="19"/>
          <w:szCs w:val="19"/>
        </w:rPr>
      </w:pPr>
      <w:r>
        <w:rPr>
          <w:rFonts w:ascii="Times New Roman" w:eastAsia="Times New Roman" w:hAnsi="Times New Roman" w:cs="Times New Roman"/>
          <w:color w:val="000000"/>
          <w:spacing w:val="0"/>
          <w:w w:val="100"/>
          <w:position w:val="0"/>
          <w:sz w:val="22"/>
          <w:szCs w:val="22"/>
          <w:lang w:val="en-US" w:eastAsia="en-US" w:bidi="en-US"/>
        </w:rPr>
        <w:t xml:space="preserve">W </w:t>
      </w:r>
      <w:r>
        <w:rPr>
          <w:color w:val="000000"/>
          <w:spacing w:val="0"/>
          <w:w w:val="100"/>
          <w:position w:val="0"/>
          <w:sz w:val="19"/>
          <w:szCs w:val="19"/>
        </w:rPr>
        <w:t>是</w:t>
        <w:br/>
      </w:r>
      <w:r>
        <w:rPr>
          <w:color w:val="000000"/>
          <w:spacing w:val="0"/>
          <w:w w:val="100"/>
          <w:position w:val="0"/>
          <w:sz w:val="19"/>
          <w:szCs w:val="19"/>
        </w:rPr>
        <w:t>营养物基准</w:t>
      </w:r>
    </w:p>
    <w:p>
      <w:pPr>
        <w:pStyle w:val="Bodytext10"/>
        <w:keepNext w:val="0"/>
        <w:keepLines w:val="0"/>
        <w:widowControl w:val="0"/>
        <w:shd w:val="clear" w:color="auto" w:fill="auto"/>
        <w:bidi w:val="0"/>
        <w:spacing w:before="0" w:after="760" w:line="240" w:lineRule="auto"/>
        <w:ind w:left="0" w:right="0" w:firstLine="0"/>
        <w:jc w:val="center"/>
      </w:pPr>
      <w:r>
        <w:rPr>
          <w:b/>
          <w:bCs/>
          <w:color w:val="000000"/>
          <w:spacing w:val="0"/>
          <w:w w:val="100"/>
          <w:position w:val="0"/>
        </w:rPr>
        <w:t>图</w:t>
      </w:r>
      <w:r>
        <w:rPr>
          <w:rFonts w:ascii="Times New Roman" w:eastAsia="Times New Roman" w:hAnsi="Times New Roman" w:cs="Times New Roman"/>
          <w:color w:val="000000"/>
          <w:spacing w:val="0"/>
          <w:w w:val="100"/>
          <w:position w:val="0"/>
        </w:rPr>
        <w:t>1</w:t>
      </w:r>
      <w:r>
        <w:rPr>
          <w:b/>
          <w:bCs/>
          <w:color w:val="000000"/>
          <w:spacing w:val="0"/>
          <w:w w:val="100"/>
          <w:position w:val="0"/>
        </w:rPr>
        <w:t>河流营养物基准制定流程</w:t>
      </w:r>
    </w:p>
    <w:p>
      <w:pPr>
        <w:pStyle w:val="Bodytext10"/>
        <w:keepNext w:val="0"/>
        <w:keepLines w:val="0"/>
        <w:widowControl w:val="0"/>
        <w:shd w:val="clear" w:color="auto" w:fill="auto"/>
        <w:bidi w:val="0"/>
        <w:spacing w:before="0" w:after="320" w:line="240" w:lineRule="auto"/>
        <w:ind w:left="0" w:right="0" w:firstLine="0"/>
        <w:jc w:val="left"/>
      </w:pPr>
      <w:bookmarkStart w:id="22" w:name="bookmark22"/>
      <w:r>
        <w:rPr>
          <w:rFonts w:ascii="Times New Roman" w:eastAsia="Times New Roman" w:hAnsi="Times New Roman" w:cs="Times New Roman"/>
          <w:color w:val="000000"/>
          <w:spacing w:val="0"/>
          <w:w w:val="100"/>
          <w:position w:val="0"/>
        </w:rPr>
        <w:t>5</w:t>
      </w:r>
      <w:r>
        <w:rPr>
          <w:b/>
          <w:bCs/>
          <w:color w:val="000000"/>
          <w:spacing w:val="0"/>
          <w:w w:val="100"/>
          <w:position w:val="0"/>
        </w:rPr>
        <w:t>基准制定候选指标及选取</w:t>
      </w:r>
      <w:bookmarkEnd w:id="22"/>
    </w:p>
    <w:p>
      <w:pPr>
        <w:pStyle w:val="Bodytext10"/>
        <w:keepNext w:val="0"/>
        <w:keepLines w:val="0"/>
        <w:widowControl w:val="0"/>
        <w:shd w:val="clear" w:color="auto" w:fill="auto"/>
        <w:bidi w:val="0"/>
        <w:spacing w:before="0" w:after="140" w:line="240" w:lineRule="auto"/>
        <w:ind w:left="0" w:right="0" w:firstLine="420"/>
        <w:jc w:val="both"/>
      </w:pPr>
      <w:r>
        <w:rPr>
          <w:color w:val="000000"/>
          <w:spacing w:val="0"/>
          <w:w w:val="100"/>
          <w:position w:val="0"/>
        </w:rPr>
        <w:t>候选指标包括基本变量和辅助性响应变量两大类。</w:t>
      </w:r>
    </w:p>
    <w:p>
      <w:pPr>
        <w:pStyle w:val="Bodytext10"/>
        <w:keepNext w:val="0"/>
        <w:keepLines w:val="0"/>
        <w:widowControl w:val="0"/>
        <w:shd w:val="clear" w:color="auto" w:fill="auto"/>
        <w:bidi w:val="0"/>
        <w:spacing w:before="0" w:after="0" w:line="472" w:lineRule="exact"/>
        <w:ind w:left="0" w:right="0" w:firstLine="0"/>
        <w:jc w:val="both"/>
        <w:sectPr>
          <w:footerReference w:type="even" r:id="rId24"/>
          <w:footerReference w:type="default" r:id="rId25"/>
          <w:footerReference w:type="first" r:id="rId26"/>
          <w:type w:val="continuous"/>
          <w:pgSz w:w="11900" w:h="16840"/>
          <w:pgMar w:top="1375" w:right="1035" w:bottom="1274" w:left="1357" w:header="0" w:footer="3" w:gutter="0"/>
          <w:pgNumType w:start="5"/>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5.1</w:t>
      </w:r>
      <w:r>
        <w:rPr>
          <w:b/>
          <w:bCs/>
          <w:color w:val="000000"/>
          <w:spacing w:val="0"/>
          <w:w w:val="100"/>
          <w:position w:val="0"/>
        </w:rPr>
        <w:t>基本变量</w:t>
      </w:r>
    </w:p>
    <w:p>
      <w:pPr>
        <w:pStyle w:val="Bodytext10"/>
        <w:keepNext w:val="0"/>
        <w:keepLines w:val="0"/>
        <w:widowControl w:val="0"/>
        <w:shd w:val="clear" w:color="auto" w:fill="auto"/>
        <w:bidi w:val="0"/>
        <w:spacing w:before="0" w:after="220" w:line="472" w:lineRule="exact"/>
        <w:ind w:left="0" w:right="0" w:firstLine="420"/>
        <w:jc w:val="both"/>
      </w:pPr>
      <w:r>
        <w:rPr>
          <w:color w:val="000000"/>
          <w:spacing w:val="0"/>
          <w:w w:val="100"/>
          <w:position w:val="0"/>
        </w:rPr>
        <w:t>包括营养物等基本原因变量和着生</w:t>
      </w:r>
      <w:r>
        <w:rPr>
          <w:rFonts w:ascii="Times New Roman" w:eastAsia="Times New Roman" w:hAnsi="Times New Roman" w:cs="Times New Roman"/>
          <w:color w:val="000000"/>
          <w:spacing w:val="0"/>
          <w:w w:val="100"/>
          <w:position w:val="0"/>
        </w:rPr>
        <w:t>/</w:t>
      </w:r>
      <w:r>
        <w:rPr>
          <w:color w:val="000000"/>
          <w:spacing w:val="0"/>
          <w:w w:val="100"/>
          <w:position w:val="0"/>
        </w:rPr>
        <w:t>浮游藻类生物量、浊度和透明度等响应变量。</w:t>
      </w:r>
    </w:p>
    <w:p>
      <w:pPr>
        <w:pStyle w:val="Bodytext20"/>
        <w:keepNext w:val="0"/>
        <w:keepLines w:val="0"/>
        <w:widowControl w:val="0"/>
        <w:numPr>
          <w:ilvl w:val="0"/>
          <w:numId w:val="1"/>
        </w:numPr>
        <w:shd w:val="clear" w:color="auto" w:fill="auto"/>
        <w:tabs>
          <w:tab w:val="left" w:pos="680"/>
        </w:tabs>
        <w:bidi w:val="0"/>
        <w:spacing w:before="0" w:after="0" w:line="492" w:lineRule="auto"/>
        <w:ind w:left="0" w:right="0" w:firstLine="0"/>
        <w:jc w:val="both"/>
      </w:pPr>
      <w:bookmarkStart w:id="23" w:name="bookmark23"/>
      <w:bookmarkEnd w:id="23"/>
      <w:r>
        <w:rPr>
          <w:rFonts w:ascii="SimSun" w:eastAsia="SimSun" w:hAnsi="SimSun" w:cs="SimSun"/>
          <w:b/>
          <w:bCs/>
          <w:color w:val="000000"/>
          <w:spacing w:val="0"/>
          <w:w w:val="100"/>
          <w:position w:val="0"/>
          <w:lang w:val="zh-TW" w:eastAsia="zh-TW" w:bidi="zh-TW"/>
        </w:rPr>
        <w:t>氮</w:t>
      </w:r>
    </w:p>
    <w:p>
      <w:pPr>
        <w:pStyle w:val="Bodytext20"/>
        <w:keepNext w:val="0"/>
        <w:keepLines w:val="0"/>
        <w:widowControl w:val="0"/>
        <w:shd w:val="clear" w:color="auto" w:fill="auto"/>
        <w:bidi w:val="0"/>
        <w:spacing w:before="0" w:after="300" w:line="472" w:lineRule="exact"/>
        <w:ind w:left="0" w:right="0" w:firstLine="440"/>
        <w:jc w:val="both"/>
      </w:pPr>
      <w:r>
        <w:rPr>
          <w:rFonts w:ascii="SimSun" w:eastAsia="SimSun" w:hAnsi="SimSun" w:cs="SimSun"/>
          <w:color w:val="000000"/>
          <w:spacing w:val="0"/>
          <w:w w:val="100"/>
          <w:position w:val="0"/>
          <w:lang w:val="zh-TW" w:eastAsia="zh-TW" w:bidi="zh-TW"/>
        </w:rPr>
        <w:t>水体中总氮</w:t>
      </w:r>
      <w:r>
        <w:rPr>
          <w:rFonts w:ascii="Times New Roman" w:eastAsia="Times New Roman" w:hAnsi="Times New Roman" w:cs="Times New Roman"/>
          <w:color w:val="000000"/>
          <w:spacing w:val="0"/>
          <w:w w:val="100"/>
          <w:position w:val="0"/>
          <w:lang w:val="en-US" w:eastAsia="en-US" w:bidi="en-US"/>
        </w:rPr>
        <w:t>（TN</w:t>
      </w:r>
      <w:r>
        <w:rPr>
          <w:rFonts w:ascii="SimSun" w:eastAsia="SimSun" w:hAnsi="SimSun" w:cs="SimSu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主要包括所有溶解性无机氮、颗粒态和溶解性有机态组分,分析方法采用</w:t>
      </w:r>
      <w:r>
        <w:rPr>
          <w:rFonts w:ascii="Times New Roman" w:eastAsia="Times New Roman" w:hAnsi="Times New Roman" w:cs="Times New Roman"/>
          <w:color w:val="000000"/>
          <w:spacing w:val="0"/>
          <w:w w:val="100"/>
          <w:position w:val="0"/>
          <w:lang w:val="en-US" w:eastAsia="en-US" w:bidi="en-US"/>
        </w:rPr>
        <w:t>HJ636</w:t>
      </w:r>
      <w:r>
        <w:rPr>
          <w:rFonts w:ascii="SimSun" w:eastAsia="SimSun" w:hAnsi="SimSun" w:cs="SimSun"/>
          <w:color w:val="000000"/>
          <w:spacing w:val="0"/>
          <w:w w:val="100"/>
          <w:position w:val="0"/>
          <w:lang w:val="en-US" w:eastAsia="en-US" w:bidi="en-US"/>
        </w:rPr>
        <w:t xml:space="preserve">, </w:t>
      </w:r>
      <w:r>
        <w:rPr>
          <w:rFonts w:ascii="SimSun" w:eastAsia="SimSun" w:hAnsi="SimSun" w:cs="SimSun"/>
          <w:color w:val="000000"/>
          <w:spacing w:val="0"/>
          <w:w w:val="100"/>
          <w:position w:val="0"/>
          <w:lang w:val="zh-TW" w:eastAsia="zh-TW" w:bidi="zh-TW"/>
        </w:rPr>
        <w:t>单位为</w:t>
      </w:r>
      <w:r>
        <w:rPr>
          <w:rFonts w:ascii="Times New Roman" w:eastAsia="Times New Roman" w:hAnsi="Times New Roman" w:cs="Times New Roman"/>
          <w:color w:val="000000"/>
          <w:spacing w:val="0"/>
          <w:w w:val="100"/>
          <w:position w:val="0"/>
          <w:lang w:val="en-US" w:eastAsia="en-US" w:bidi="en-US"/>
        </w:rPr>
        <w:t>mg/L</w:t>
      </w:r>
      <w:r>
        <w:rPr>
          <w:rFonts w:ascii="SimSun" w:eastAsia="SimSun" w:hAnsi="SimSun" w:cs="SimSu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溶解性无机氮</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DIN</w:t>
      </w:r>
      <w:r>
        <w:rPr>
          <w:rFonts w:ascii="SimSun" w:eastAsia="SimSun" w:hAnsi="SimSun" w:cs="SimSu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包括硝酸盐氮</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NO</w:t>
      </w:r>
      <w:r>
        <w:rPr>
          <w:rFonts w:ascii="Times New Roman" w:eastAsia="Times New Roman" w:hAnsi="Times New Roman" w:cs="Times New Roman"/>
          <w:color w:val="000000"/>
          <w:spacing w:val="0"/>
          <w:w w:val="100"/>
          <w:position w:val="0"/>
          <w:sz w:val="14"/>
          <w:szCs w:val="14"/>
          <w:lang w:val="en-US" w:eastAsia="en-US" w:bidi="en-US"/>
        </w:rPr>
        <w:t>3</w:t>
      </w:r>
      <w:r>
        <w:rPr>
          <w:rFonts w:ascii="Times New Roman" w:eastAsia="Times New Roman" w:hAnsi="Times New Roman" w:cs="Times New Roman"/>
          <w:color w:val="000000"/>
          <w:spacing w:val="0"/>
          <w:w w:val="100"/>
          <w:position w:val="0"/>
          <w:lang w:val="en-US" w:eastAsia="en-US" w:bidi="en-US"/>
        </w:rPr>
        <w:t>—N</w:t>
      </w:r>
      <w:r>
        <w:rPr>
          <w:rFonts w:ascii="SimSun" w:eastAsia="SimSun" w:hAnsi="SimSun" w:cs="SimSu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、亚硝酸盐氮</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NO</w:t>
      </w:r>
      <w:r>
        <w:rPr>
          <w:rFonts w:ascii="Times New Roman" w:eastAsia="Times New Roman" w:hAnsi="Times New Roman" w:cs="Times New Roman"/>
          <w:color w:val="000000"/>
          <w:spacing w:val="0"/>
          <w:w w:val="100"/>
          <w:position w:val="0"/>
          <w:sz w:val="14"/>
          <w:szCs w:val="14"/>
          <w:lang w:val="en-US" w:eastAsia="en-US" w:bidi="en-US"/>
        </w:rPr>
        <w:t>2</w:t>
      </w:r>
      <w:r>
        <w:rPr>
          <w:rFonts w:ascii="Times New Roman" w:eastAsia="Times New Roman" w:hAnsi="Times New Roman" w:cs="Times New Roman"/>
          <w:color w:val="000000"/>
          <w:spacing w:val="0"/>
          <w:w w:val="100"/>
          <w:position w:val="0"/>
          <w:lang w:val="en-US" w:eastAsia="en-US" w:bidi="en-US"/>
        </w:rPr>
        <w:t>—N</w:t>
      </w:r>
      <w:r>
        <w:rPr>
          <w:rFonts w:ascii="SimSun" w:eastAsia="SimSun" w:hAnsi="SimSun" w:cs="SimSu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、氨氮</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NH</w:t>
      </w:r>
      <w:r>
        <w:rPr>
          <w:rFonts w:ascii="Times New Roman" w:eastAsia="Times New Roman" w:hAnsi="Times New Roman" w:cs="Times New Roman"/>
          <w:color w:val="000000"/>
          <w:spacing w:val="0"/>
          <w:w w:val="100"/>
          <w:position w:val="0"/>
          <w:sz w:val="14"/>
          <w:szCs w:val="14"/>
          <w:lang w:val="en-US" w:eastAsia="en-US" w:bidi="en-US"/>
        </w:rPr>
        <w:t xml:space="preserve">3 </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N</w:t>
      </w:r>
      <w:r>
        <w:rPr>
          <w:rFonts w:ascii="SimSun" w:eastAsia="SimSun" w:hAnsi="SimSun" w:cs="SimSu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lang w:val="en-US" w:eastAsia="en-US" w:bidi="en-US"/>
        </w:rPr>
        <w:t>DIN</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NO</w:t>
      </w:r>
      <w:r>
        <w:rPr>
          <w:rFonts w:ascii="Times New Roman" w:eastAsia="Times New Roman" w:hAnsi="Times New Roman" w:cs="Times New Roman"/>
          <w:color w:val="000000"/>
          <w:spacing w:val="0"/>
          <w:w w:val="100"/>
          <w:position w:val="0"/>
          <w:sz w:val="14"/>
          <w:szCs w:val="14"/>
          <w:lang w:val="en-US" w:eastAsia="en-US" w:bidi="en-US"/>
        </w:rPr>
        <w:t>3</w:t>
      </w:r>
      <w:r>
        <w:rPr>
          <w:rFonts w:ascii="Times New Roman" w:eastAsia="Times New Roman" w:hAnsi="Times New Roman" w:cs="Times New Roman"/>
          <w:color w:val="000000"/>
          <w:spacing w:val="0"/>
          <w:w w:val="100"/>
          <w:position w:val="0"/>
          <w:lang w:val="en-US" w:eastAsia="en-US" w:bidi="en-US"/>
        </w:rPr>
        <w:t xml:space="preserve">—N </w:t>
      </w:r>
      <w:r>
        <w:rPr>
          <w:rFonts w:ascii="SimSun" w:eastAsia="SimSun" w:hAnsi="SimSun" w:cs="SimSun"/>
          <w:color w:val="000000"/>
          <w:spacing w:val="0"/>
          <w:w w:val="100"/>
          <w:position w:val="0"/>
          <w:lang w:val="zh-TW" w:eastAsia="zh-TW" w:bidi="zh-TW"/>
        </w:rPr>
        <w:t xml:space="preserve">（分析方法采用 </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7480</w:t>
      </w:r>
      <w:r>
        <w:rPr>
          <w:rFonts w:ascii="SimSun" w:eastAsia="SimSun" w:hAnsi="SimSun" w:cs="SimSun"/>
          <w:color w:val="000000"/>
          <w:spacing w:val="0"/>
          <w:w w:val="100"/>
          <w:position w:val="0"/>
          <w:lang w:val="zh-TW" w:eastAsia="zh-TW" w:bidi="zh-TW"/>
        </w:rPr>
        <w:t>、</w:t>
      </w:r>
      <w:hyperlink r:id="rId27" w:history="1">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lang w:val="zh-TW" w:eastAsia="zh-TW" w:bidi="zh-TW"/>
          </w:rPr>
          <w:t xml:space="preserve">84 </w:t>
        </w:r>
        <w:r>
          <w:rPr>
            <w:rFonts w:ascii="SimSun" w:eastAsia="SimSun" w:hAnsi="SimSun" w:cs="SimSun"/>
            <w:color w:val="000000"/>
            <w:spacing w:val="0"/>
            <w:w w:val="100"/>
            <w:position w:val="0"/>
            <w:lang w:val="zh-TW" w:eastAsia="zh-TW" w:bidi="zh-TW"/>
          </w:rPr>
          <w:t>或</w:t>
        </w:r>
      </w:hyperlink>
      <w:hyperlink r:id="rId28" w:history="1">
        <w:r>
          <w:rPr>
            <w:rFonts w:ascii="SimSun" w:eastAsia="SimSun" w:hAnsi="SimSun" w:cs="SimSu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 xml:space="preserve">HJ/T </w:t>
        </w:r>
        <w:r>
          <w:rPr>
            <w:rFonts w:ascii="Times New Roman" w:eastAsia="Times New Roman" w:hAnsi="Times New Roman" w:cs="Times New Roman"/>
            <w:color w:val="000000"/>
            <w:spacing w:val="0"/>
            <w:w w:val="100"/>
            <w:position w:val="0"/>
            <w:lang w:val="zh-TW" w:eastAsia="zh-TW" w:bidi="zh-TW"/>
          </w:rPr>
          <w:t>346,</w:t>
        </w:r>
      </w:hyperlink>
      <w:r>
        <w:rPr>
          <w:rFonts w:ascii="SimSun" w:eastAsia="SimSun" w:hAnsi="SimSun" w:cs="SimSun"/>
          <w:color w:val="000000"/>
          <w:spacing w:val="0"/>
          <w:w w:val="100"/>
          <w:position w:val="0"/>
          <w:lang w:val="zh-TW" w:eastAsia="zh-TW" w:bidi="zh-TW"/>
        </w:rPr>
        <w:t>下同）、</w:t>
      </w:r>
      <w:r>
        <w:rPr>
          <w:rFonts w:ascii="Times New Roman" w:eastAsia="Times New Roman" w:hAnsi="Times New Roman" w:cs="Times New Roman"/>
          <w:color w:val="000000"/>
          <w:spacing w:val="0"/>
          <w:w w:val="100"/>
          <w:position w:val="0"/>
          <w:lang w:val="en-US" w:eastAsia="en-US" w:bidi="en-US"/>
        </w:rPr>
        <w:t>NO</w:t>
      </w:r>
      <w:r>
        <w:rPr>
          <w:rFonts w:ascii="Times New Roman" w:eastAsia="Times New Roman" w:hAnsi="Times New Roman" w:cs="Times New Roman"/>
          <w:color w:val="000000"/>
          <w:spacing w:val="0"/>
          <w:w w:val="100"/>
          <w:position w:val="0"/>
          <w:sz w:val="14"/>
          <w:szCs w:val="14"/>
          <w:lang w:val="en-US" w:eastAsia="en-US" w:bidi="en-US"/>
        </w:rPr>
        <w:t>2</w:t>
      </w:r>
      <w:r>
        <w:rPr>
          <w:rFonts w:ascii="Times New Roman" w:eastAsia="Times New Roman" w:hAnsi="Times New Roman" w:cs="Times New Roman"/>
          <w:color w:val="000000"/>
          <w:spacing w:val="0"/>
          <w:w w:val="100"/>
          <w:position w:val="0"/>
          <w:lang w:val="en-US" w:eastAsia="en-US" w:bidi="en-US"/>
        </w:rPr>
        <w:t xml:space="preserve">—N </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lang w:val="zh-TW" w:eastAsia="zh-TW" w:bidi="zh-TW"/>
        </w:rPr>
        <w:t>84</w:t>
      </w:r>
      <w:r>
        <w:rPr>
          <w:rFonts w:ascii="SimSun" w:eastAsia="SimSun" w:hAnsi="SimSun" w:cs="SimSu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 xml:space="preserve">HJ/T </w:t>
      </w:r>
      <w:r>
        <w:rPr>
          <w:rFonts w:ascii="Times New Roman" w:eastAsia="Times New Roman" w:hAnsi="Times New Roman" w:cs="Times New Roman"/>
          <w:color w:val="000000"/>
          <w:spacing w:val="0"/>
          <w:w w:val="100"/>
          <w:position w:val="0"/>
          <w:lang w:val="zh-TW" w:eastAsia="zh-TW" w:bidi="zh-TW"/>
        </w:rPr>
        <w:t xml:space="preserve">197 </w:t>
      </w:r>
      <w:r>
        <w:rPr>
          <w:rFonts w:ascii="SimSun" w:eastAsia="SimSun" w:hAnsi="SimSun" w:cs="SimSun"/>
          <w:color w:val="000000"/>
          <w:spacing w:val="0"/>
          <w:w w:val="100"/>
          <w:position w:val="0"/>
          <w:lang w:val="zh-TW" w:eastAsia="zh-TW" w:bidi="zh-TW"/>
        </w:rPr>
        <w:t>或</w:t>
      </w:r>
      <w:hyperlink r:id="rId29" w:history="1">
        <w:r>
          <w:rPr>
            <w:rFonts w:ascii="SimSun" w:eastAsia="SimSun" w:hAnsi="SimSun" w:cs="SimSu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7493</w:t>
        </w:r>
        <w:r>
          <w:rPr>
            <w:rFonts w:ascii="SimSun" w:eastAsia="SimSun" w:hAnsi="SimSun" w:cs="SimSun"/>
            <w:color w:val="000000"/>
            <w:spacing w:val="0"/>
            <w:w w:val="100"/>
            <w:position w:val="0"/>
            <w:lang w:val="zh-TW" w:eastAsia="zh-TW" w:bidi="zh-TW"/>
          </w:rPr>
          <w:t>）</w:t>
        </w:r>
      </w:hyperlink>
      <w:r>
        <w:rPr>
          <w:rFonts w:ascii="SimSun" w:eastAsia="SimSun" w:hAnsi="SimSun" w:cs="SimSu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NH</w:t>
      </w:r>
      <w:r>
        <w:rPr>
          <w:rFonts w:ascii="Times New Roman" w:eastAsia="Times New Roman" w:hAnsi="Times New Roman" w:cs="Times New Roman"/>
          <w:color w:val="000000"/>
          <w:spacing w:val="0"/>
          <w:w w:val="100"/>
          <w:position w:val="0"/>
          <w:sz w:val="14"/>
          <w:szCs w:val="14"/>
          <w:vertAlign w:val="subscript"/>
          <w:lang w:val="en-US" w:eastAsia="en-US" w:bidi="en-US"/>
        </w:rPr>
        <w:t>3</w:t>
      </w:r>
      <w:r>
        <w:rPr>
          <w:rFonts w:ascii="Times New Roman" w:eastAsia="Times New Roman" w:hAnsi="Times New Roman" w:cs="Times New Roman"/>
          <w:color w:val="000000"/>
          <w:spacing w:val="0"/>
          <w:w w:val="100"/>
          <w:position w:val="0"/>
          <w:lang w:val="en-US" w:eastAsia="en-US" w:bidi="en-US"/>
        </w:rPr>
        <w:t xml:space="preserve">—N </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lang w:val="zh-TW" w:eastAsia="zh-TW" w:bidi="zh-TW"/>
        </w:rPr>
        <w:t xml:space="preserve">535 </w:t>
      </w:r>
      <w:r>
        <w:rPr>
          <w:rFonts w:ascii="SimSun" w:eastAsia="SimSun" w:hAnsi="SimSun" w:cs="SimSun"/>
          <w:color w:val="000000"/>
          <w:spacing w:val="0"/>
          <w:w w:val="100"/>
          <w:position w:val="0"/>
          <w:lang w:val="zh-TW" w:eastAsia="zh-TW" w:bidi="zh-TW"/>
        </w:rPr>
        <w:t xml:space="preserve">或 </w:t>
      </w: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lang w:val="zh-TW" w:eastAsia="zh-TW" w:bidi="zh-TW"/>
        </w:rPr>
        <w:t>536</w:t>
      </w:r>
      <w:r>
        <w:rPr>
          <w:rFonts w:ascii="SimSun" w:eastAsia="SimSun" w:hAnsi="SimSun" w:cs="SimSun"/>
          <w:color w:val="000000"/>
          <w:spacing w:val="0"/>
          <w:w w:val="100"/>
          <w:position w:val="0"/>
          <w:lang w:val="zh-TW" w:eastAsia="zh-TW" w:bidi="zh-TW"/>
        </w:rPr>
        <w:t>）和总凯氏氮</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TKN</w:t>
      </w:r>
      <w:r>
        <w:rPr>
          <w:rFonts w:ascii="SimSun" w:eastAsia="SimSun" w:hAnsi="SimSun" w:cs="SimSu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lang w:val="en-US" w:eastAsia="en-US" w:bidi="en-US"/>
        </w:rPr>
        <w:t xml:space="preserve">HJ/T </w:t>
      </w:r>
      <w:r>
        <w:rPr>
          <w:rFonts w:ascii="Times New Roman" w:eastAsia="Times New Roman" w:hAnsi="Times New Roman" w:cs="Times New Roman"/>
          <w:color w:val="000000"/>
          <w:spacing w:val="0"/>
          <w:w w:val="100"/>
          <w:position w:val="0"/>
          <w:lang w:val="zh-TW" w:eastAsia="zh-TW" w:bidi="zh-TW"/>
        </w:rPr>
        <w:t xml:space="preserve">196 </w:t>
      </w:r>
      <w:r>
        <w:rPr>
          <w:rFonts w:ascii="SimSun" w:eastAsia="SimSun" w:hAnsi="SimSun" w:cs="SimSun"/>
          <w:color w:val="000000"/>
          <w:spacing w:val="0"/>
          <w:w w:val="100"/>
          <w:position w:val="0"/>
          <w:lang w:val="zh-TW" w:eastAsia="zh-TW" w:bidi="zh-TW"/>
        </w:rPr>
        <w:t>或</w:t>
      </w:r>
      <w:hyperlink r:id="rId30" w:history="1">
        <w:r>
          <w:rPr>
            <w:rFonts w:ascii="SimSun" w:eastAsia="SimSun" w:hAnsi="SimSun" w:cs="SimSu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11891</w:t>
        </w:r>
        <w:r>
          <w:rPr>
            <w:rFonts w:ascii="SimSun" w:eastAsia="SimSun" w:hAnsi="SimSun" w:cs="SimSun"/>
            <w:color w:val="000000"/>
            <w:spacing w:val="0"/>
            <w:w w:val="100"/>
            <w:position w:val="0"/>
            <w:lang w:val="zh-TW" w:eastAsia="zh-TW" w:bidi="zh-TW"/>
          </w:rPr>
          <w:t>）</w:t>
        </w:r>
      </w:hyperlink>
      <w:r>
        <w:rPr>
          <w:rFonts w:ascii="SimSun" w:eastAsia="SimSun" w:hAnsi="SimSun" w:cs="SimSun"/>
          <w:color w:val="000000"/>
          <w:spacing w:val="0"/>
          <w:w w:val="100"/>
          <w:position w:val="0"/>
          <w:lang w:val="zh-TW" w:eastAsia="zh-TW" w:bidi="zh-TW"/>
        </w:rPr>
        <w:t>可作 为可选指标。</w:t>
      </w:r>
    </w:p>
    <w:p>
      <w:pPr>
        <w:pStyle w:val="Bodytext20"/>
        <w:keepNext w:val="0"/>
        <w:keepLines w:val="0"/>
        <w:widowControl w:val="0"/>
        <w:numPr>
          <w:ilvl w:val="0"/>
          <w:numId w:val="1"/>
        </w:numPr>
        <w:shd w:val="clear" w:color="auto" w:fill="auto"/>
        <w:tabs>
          <w:tab w:val="left" w:pos="709"/>
        </w:tabs>
        <w:bidi w:val="0"/>
        <w:spacing w:before="0" w:after="0" w:line="492" w:lineRule="auto"/>
        <w:ind w:left="0" w:right="0" w:firstLine="0"/>
        <w:jc w:val="both"/>
      </w:pPr>
      <w:bookmarkStart w:id="24" w:name="bookmark24"/>
      <w:bookmarkEnd w:id="24"/>
      <w:r>
        <w:rPr>
          <w:rFonts w:ascii="SimSun" w:eastAsia="SimSun" w:hAnsi="SimSun" w:cs="SimSun"/>
          <w:b/>
          <w:bCs/>
          <w:color w:val="000000"/>
          <w:spacing w:val="0"/>
          <w:w w:val="100"/>
          <w:position w:val="0"/>
          <w:lang w:val="zh-TW" w:eastAsia="zh-TW" w:bidi="zh-TW"/>
        </w:rPr>
        <w:t>磷</w:t>
      </w:r>
    </w:p>
    <w:p>
      <w:pPr>
        <w:pStyle w:val="Bodytext10"/>
        <w:keepNext w:val="0"/>
        <w:keepLines w:val="0"/>
        <w:widowControl w:val="0"/>
        <w:shd w:val="clear" w:color="auto" w:fill="auto"/>
        <w:bidi w:val="0"/>
        <w:spacing w:before="0" w:after="60" w:line="475" w:lineRule="exact"/>
        <w:ind w:left="0" w:right="0" w:firstLine="440"/>
        <w:jc w:val="both"/>
      </w:pPr>
      <w:r>
        <w:rPr>
          <w:color w:val="000000"/>
          <w:spacing w:val="0"/>
          <w:w w:val="100"/>
          <w:position w:val="0"/>
        </w:rPr>
        <w:t>水体中</w:t>
      </w:r>
      <w:r>
        <w:rPr>
          <w:rFonts w:ascii="Times New Roman" w:eastAsia="Times New Roman" w:hAnsi="Times New Roman" w:cs="Times New Roman"/>
          <w:color w:val="000000"/>
          <w:spacing w:val="0"/>
          <w:w w:val="100"/>
          <w:position w:val="0"/>
          <w:lang w:val="en-US" w:eastAsia="en-US" w:bidi="en-US"/>
        </w:rPr>
        <w:t>TP</w:t>
      </w:r>
      <w:r>
        <w:rPr>
          <w:color w:val="000000"/>
          <w:spacing w:val="0"/>
          <w:w w:val="100"/>
          <w:position w:val="0"/>
        </w:rPr>
        <w:t>包括所有溶解性无机磷、颗粒态磷和溶解性有机磷，分析方法采用</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11893</w:t>
      </w:r>
      <w:r>
        <w:rPr>
          <w:color w:val="000000"/>
          <w:spacing w:val="0"/>
          <w:w w:val="100"/>
          <w:position w:val="0"/>
        </w:rPr>
        <w:t>,单位为</w:t>
      </w:r>
      <w:r>
        <w:rPr>
          <w:rFonts w:ascii="Times New Roman" w:eastAsia="Times New Roman" w:hAnsi="Times New Roman" w:cs="Times New Roman"/>
          <w:color w:val="000000"/>
          <w:spacing w:val="0"/>
          <w:w w:val="100"/>
          <w:position w:val="0"/>
          <w:lang w:val="en-US" w:eastAsia="en-US" w:bidi="en-US"/>
        </w:rPr>
        <w:t xml:space="preserve">gg/L </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mg/L</w:t>
      </w:r>
      <w:r>
        <w:rPr>
          <w:color w:val="000000"/>
          <w:spacing w:val="0"/>
          <w:w w:val="100"/>
          <w:position w:val="0"/>
        </w:rPr>
        <w:t>，溶解性正磷酸盐</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SRP</w:t>
      </w:r>
      <w:r>
        <w:rPr>
          <w:color w:val="000000"/>
          <w:spacing w:val="0"/>
          <w:w w:val="100"/>
          <w:position w:val="0"/>
          <w:lang w:val="en-US" w:eastAsia="en-US" w:bidi="en-US"/>
        </w:rPr>
        <w:t>）</w:t>
      </w:r>
      <w:r>
        <w:rPr>
          <w:color w:val="000000"/>
          <w:spacing w:val="0"/>
          <w:w w:val="100"/>
          <w:position w:val="0"/>
        </w:rPr>
        <w:t>和溶解性总磷酸盐（</w:t>
      </w:r>
      <w:r>
        <w:rPr>
          <w:rFonts w:ascii="Times New Roman" w:eastAsia="Times New Roman" w:hAnsi="Times New Roman" w:cs="Times New Roman"/>
          <w:color w:val="000000"/>
          <w:spacing w:val="0"/>
          <w:w w:val="100"/>
          <w:position w:val="0"/>
          <w:lang w:val="en-US" w:eastAsia="en-US" w:bidi="en-US"/>
        </w:rPr>
        <w:t>TSP</w:t>
      </w:r>
      <w:r>
        <w:rPr>
          <w:color w:val="000000"/>
          <w:spacing w:val="0"/>
          <w:w w:val="100"/>
          <w:position w:val="0"/>
          <w:lang w:val="en-US" w:eastAsia="en-US" w:bidi="en-US"/>
        </w:rPr>
        <w:t>）</w:t>
      </w:r>
      <w:r>
        <w:rPr>
          <w:color w:val="000000"/>
          <w:spacing w:val="0"/>
          <w:w w:val="100"/>
          <w:position w:val="0"/>
        </w:rPr>
        <w:t>可作为可选指标。</w:t>
      </w:r>
    </w:p>
    <w:p>
      <w:pPr>
        <w:pStyle w:val="Bodytext20"/>
        <w:keepNext w:val="0"/>
        <w:keepLines w:val="0"/>
        <w:widowControl w:val="0"/>
        <w:numPr>
          <w:ilvl w:val="0"/>
          <w:numId w:val="1"/>
        </w:numPr>
        <w:shd w:val="clear" w:color="auto" w:fill="auto"/>
        <w:tabs>
          <w:tab w:val="left" w:pos="709"/>
        </w:tabs>
        <w:bidi w:val="0"/>
        <w:spacing w:before="0" w:after="60" w:line="472" w:lineRule="exact"/>
        <w:ind w:left="0" w:right="0" w:firstLine="0"/>
        <w:jc w:val="both"/>
      </w:pPr>
      <w:bookmarkStart w:id="25" w:name="bookmark25"/>
      <w:bookmarkEnd w:id="25"/>
      <w:r>
        <w:rPr>
          <w:rFonts w:ascii="SimSun" w:eastAsia="SimSun" w:hAnsi="SimSun" w:cs="SimSun"/>
          <w:b/>
          <w:bCs/>
          <w:color w:val="000000"/>
          <w:spacing w:val="0"/>
          <w:w w:val="100"/>
          <w:position w:val="0"/>
          <w:lang w:val="zh-TW" w:eastAsia="zh-TW" w:bidi="zh-TW"/>
        </w:rPr>
        <w:t>土地利用</w:t>
      </w:r>
    </w:p>
    <w:p>
      <w:pPr>
        <w:pStyle w:val="Bodytext10"/>
        <w:keepNext w:val="0"/>
        <w:keepLines w:val="0"/>
        <w:widowControl w:val="0"/>
        <w:shd w:val="clear" w:color="auto" w:fill="auto"/>
        <w:bidi w:val="0"/>
        <w:spacing w:before="0" w:after="60" w:line="475" w:lineRule="exact"/>
        <w:ind w:left="0" w:right="0" w:firstLine="440"/>
        <w:jc w:val="both"/>
      </w:pPr>
      <w:r>
        <w:rPr>
          <w:color w:val="000000"/>
          <w:spacing w:val="0"/>
          <w:w w:val="100"/>
          <w:position w:val="0"/>
        </w:rPr>
        <w:t>流域土地利用情况在河流参照河段选取和营养状态早期预警方面有重要指导意义。可通过收集区域 近年土地利用类型图或解译航空、航天遥感影像获取，应用地理信息系统</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ArcGIS）</w:t>
      </w:r>
      <w:r>
        <w:rPr>
          <w:color w:val="000000"/>
          <w:spacing w:val="0"/>
          <w:w w:val="100"/>
          <w:position w:val="0"/>
        </w:rPr>
        <w:t>软件水文分析功 能进行流域划分，生成矢量图并进一步计算各子流域土地利用类型百分比。</w:t>
      </w:r>
    </w:p>
    <w:p>
      <w:pPr>
        <w:pStyle w:val="Bodytext10"/>
        <w:keepNext w:val="0"/>
        <w:keepLines w:val="0"/>
        <w:widowControl w:val="0"/>
        <w:shd w:val="clear" w:color="auto" w:fill="auto"/>
        <w:bidi w:val="0"/>
        <w:spacing w:before="0" w:after="60" w:line="472" w:lineRule="exact"/>
        <w:ind w:left="0" w:right="0" w:firstLine="0"/>
        <w:jc w:val="left"/>
      </w:pPr>
      <w:r>
        <w:rPr>
          <w:rFonts w:ascii="Times New Roman" w:eastAsia="Times New Roman" w:hAnsi="Times New Roman" w:cs="Times New Roman"/>
          <w:color w:val="000000"/>
          <w:spacing w:val="0"/>
          <w:w w:val="100"/>
          <w:position w:val="0"/>
          <w:lang w:val="en-US" w:eastAsia="en-US" w:bidi="en-US"/>
        </w:rPr>
        <w:t>5.1.4</w:t>
      </w:r>
      <w:r>
        <w:rPr>
          <w:b/>
          <w:bCs/>
          <w:color w:val="000000"/>
          <w:spacing w:val="0"/>
          <w:w w:val="100"/>
          <w:position w:val="0"/>
        </w:rPr>
        <w:t>藻类生物量（叶绿素</w:t>
      </w:r>
      <w:r>
        <w:rPr>
          <w:rFonts w:ascii="Times New Roman" w:eastAsia="Times New Roman" w:hAnsi="Times New Roman" w:cs="Times New Roman"/>
          <w:color w:val="000000"/>
          <w:spacing w:val="0"/>
          <w:w w:val="100"/>
          <w:position w:val="0"/>
          <w:lang w:val="en-US" w:eastAsia="en-US" w:bidi="en-US"/>
        </w:rPr>
        <w:t>a）</w:t>
      </w:r>
    </w:p>
    <w:p>
      <w:pPr>
        <w:pStyle w:val="Bodytext10"/>
        <w:keepNext w:val="0"/>
        <w:keepLines w:val="0"/>
        <w:widowControl w:val="0"/>
        <w:shd w:val="clear" w:color="auto" w:fill="auto"/>
        <w:bidi w:val="0"/>
        <w:spacing w:before="0" w:after="60" w:line="466" w:lineRule="exact"/>
        <w:ind w:left="0" w:right="0" w:firstLine="440"/>
        <w:jc w:val="both"/>
      </w:pPr>
      <w:r>
        <w:rPr>
          <w:color w:val="000000"/>
          <w:spacing w:val="0"/>
          <w:w w:val="100"/>
          <w:position w:val="0"/>
        </w:rPr>
        <w:t>叶绿素</w:t>
      </w:r>
      <w:r>
        <w:rPr>
          <w:rFonts w:ascii="Times New Roman" w:eastAsia="Times New Roman" w:hAnsi="Times New Roman" w:cs="Times New Roman"/>
          <w:color w:val="000000"/>
          <w:spacing w:val="0"/>
          <w:w w:val="100"/>
          <w:position w:val="0"/>
          <w:lang w:val="en-US" w:eastAsia="en-US" w:bidi="en-US"/>
        </w:rPr>
        <w:t>a （Chia）</w:t>
      </w:r>
      <w:r>
        <w:rPr>
          <w:color w:val="575E67"/>
          <w:spacing w:val="0"/>
          <w:w w:val="100"/>
          <w:position w:val="0"/>
        </w:rPr>
        <w:t>是估算</w:t>
      </w:r>
      <w:r>
        <w:rPr>
          <w:color w:val="000000"/>
          <w:spacing w:val="0"/>
          <w:w w:val="100"/>
          <w:position w:val="0"/>
        </w:rPr>
        <w:t>藻类生物量及水体初级生产力的一个重要指标，是水体富营养化相关问题 最重要的生物响应变量，包括悬</w:t>
      </w:r>
      <w:r>
        <w:rPr>
          <w:color w:val="25292E"/>
          <w:spacing w:val="0"/>
          <w:w w:val="100"/>
          <w:position w:val="0"/>
        </w:rPr>
        <w:t>浮和着</w:t>
      </w:r>
      <w:r>
        <w:rPr>
          <w:color w:val="000000"/>
          <w:spacing w:val="0"/>
          <w:w w:val="100"/>
          <w:position w:val="0"/>
        </w:rPr>
        <w:t>生藻类</w:t>
      </w:r>
      <w:r>
        <w:rPr>
          <w:rFonts w:ascii="Times New Roman" w:eastAsia="Times New Roman" w:hAnsi="Times New Roman" w:cs="Times New Roman"/>
          <w:color w:val="000000"/>
          <w:spacing w:val="0"/>
          <w:w w:val="100"/>
          <w:position w:val="0"/>
          <w:lang w:val="en-US" w:eastAsia="en-US" w:bidi="en-US"/>
        </w:rPr>
        <w:t>Chi a,</w:t>
      </w:r>
      <w:r>
        <w:rPr>
          <w:color w:val="000000"/>
          <w:spacing w:val="0"/>
          <w:w w:val="100"/>
          <w:position w:val="0"/>
        </w:rPr>
        <w:t>单位分别为</w:t>
      </w:r>
      <w:r>
        <w:rPr>
          <w:rFonts w:ascii="Times New Roman" w:eastAsia="Times New Roman" w:hAnsi="Times New Roman" w:cs="Times New Roman"/>
          <w:color w:val="000000"/>
          <w:spacing w:val="0"/>
          <w:w w:val="100"/>
          <w:position w:val="0"/>
          <w:lang w:val="en-US" w:eastAsia="en-US" w:bidi="en-US"/>
        </w:rPr>
        <w:t>gg/L</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mg/m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水质</w:t>
      </w:r>
      <w:r>
        <w:rPr>
          <w:rFonts w:ascii="Times New Roman" w:eastAsia="Times New Roman" w:hAnsi="Times New Roman" w:cs="Times New Roman"/>
          <w:color w:val="000000"/>
          <w:spacing w:val="0"/>
          <w:w w:val="100"/>
          <w:position w:val="0"/>
          <w:lang w:val="en-US" w:eastAsia="en-US" w:bidi="en-US"/>
        </w:rPr>
        <w:t>Chi a</w:t>
      </w:r>
      <w:r>
        <w:rPr>
          <w:color w:val="000000"/>
          <w:spacing w:val="0"/>
          <w:w w:val="100"/>
          <w:position w:val="0"/>
        </w:rPr>
        <w:t>的分析方法 采用</w:t>
      </w: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rPr>
        <w:t>897</w:t>
      </w:r>
      <w:r>
        <w:rPr>
          <w:color w:val="000000"/>
          <w:spacing w:val="0"/>
          <w:w w:val="100"/>
          <w:position w:val="0"/>
        </w:rPr>
        <w:t>。</w:t>
      </w:r>
    </w:p>
    <w:p>
      <w:pPr>
        <w:pStyle w:val="Bodytext20"/>
        <w:keepNext w:val="0"/>
        <w:keepLines w:val="0"/>
        <w:widowControl w:val="0"/>
        <w:shd w:val="clear" w:color="auto" w:fill="auto"/>
        <w:bidi w:val="0"/>
        <w:spacing w:before="0" w:after="60" w:line="472" w:lineRule="exact"/>
        <w:ind w:left="0" w:right="0" w:firstLine="0"/>
        <w:jc w:val="both"/>
      </w:pPr>
      <w:r>
        <w:rPr>
          <w:rFonts w:ascii="Times New Roman" w:eastAsia="Times New Roman" w:hAnsi="Times New Roman" w:cs="Times New Roman"/>
          <w:color w:val="000000"/>
          <w:spacing w:val="0"/>
          <w:w w:val="100"/>
          <w:position w:val="0"/>
          <w:lang w:val="en-US" w:eastAsia="en-US" w:bidi="en-US"/>
        </w:rPr>
        <w:t>5. 1.5</w:t>
      </w:r>
      <w:r>
        <w:rPr>
          <w:rFonts w:ascii="SimSun" w:eastAsia="SimSun" w:hAnsi="SimSun" w:cs="SimSun"/>
          <w:b/>
          <w:bCs/>
          <w:color w:val="000000"/>
          <w:spacing w:val="0"/>
          <w:w w:val="100"/>
          <w:position w:val="0"/>
          <w:lang w:val="zh-TW" w:eastAsia="zh-TW" w:bidi="zh-TW"/>
        </w:rPr>
        <w:t>浊度</w:t>
      </w:r>
    </w:p>
    <w:p>
      <w:pPr>
        <w:pStyle w:val="Bodytext10"/>
        <w:keepNext w:val="0"/>
        <w:keepLines w:val="0"/>
        <w:widowControl w:val="0"/>
        <w:shd w:val="clear" w:color="auto" w:fill="auto"/>
        <w:bidi w:val="0"/>
        <w:spacing w:before="0" w:after="60" w:line="461" w:lineRule="exact"/>
        <w:ind w:left="0" w:right="0" w:firstLine="440"/>
        <w:jc w:val="both"/>
      </w:pPr>
      <w:r>
        <w:rPr>
          <w:color w:val="000000"/>
          <w:spacing w:val="0"/>
          <w:w w:val="100"/>
          <w:position w:val="0"/>
        </w:rPr>
        <w:t>表示水对光的吸收和散射程度，一般是由水中泥沙、</w:t>
      </w:r>
      <w:r>
        <w:rPr>
          <w:color w:val="25292E"/>
          <w:spacing w:val="0"/>
          <w:w w:val="100"/>
          <w:position w:val="0"/>
        </w:rPr>
        <w:t>粘土、</w:t>
      </w:r>
      <w:r>
        <w:rPr>
          <w:color w:val="575E67"/>
          <w:spacing w:val="0"/>
          <w:w w:val="100"/>
          <w:position w:val="0"/>
        </w:rPr>
        <w:t>.浮游</w:t>
      </w:r>
      <w:r>
        <w:rPr>
          <w:color w:val="000000"/>
          <w:spacing w:val="0"/>
          <w:w w:val="100"/>
          <w:position w:val="0"/>
        </w:rPr>
        <w:t>生物、微细的有机物与无机物和可 溶的有色有机化合物等悬浮物质造成的，分析方法采用</w:t>
      </w:r>
      <w:r>
        <w:rPr>
          <w:rFonts w:ascii="Times New Roman" w:eastAsia="Times New Roman" w:hAnsi="Times New Roman" w:cs="Times New Roman"/>
          <w:color w:val="000000"/>
          <w:spacing w:val="0"/>
          <w:w w:val="100"/>
          <w:position w:val="0"/>
          <w:lang w:val="en-US" w:eastAsia="en-US" w:bidi="en-US"/>
        </w:rPr>
        <w:t>GB13200,</w:t>
      </w:r>
      <w:r>
        <w:rPr>
          <w:color w:val="000000"/>
          <w:spacing w:val="0"/>
          <w:w w:val="100"/>
          <w:position w:val="0"/>
        </w:rPr>
        <w:t>单位为</w:t>
      </w:r>
      <w:r>
        <w:rPr>
          <w:rFonts w:ascii="Times New Roman" w:eastAsia="Times New Roman" w:hAnsi="Times New Roman" w:cs="Times New Roman"/>
          <w:color w:val="000000"/>
          <w:spacing w:val="0"/>
          <w:w w:val="100"/>
          <w:position w:val="0"/>
          <w:lang w:val="en-US" w:eastAsia="en-US" w:bidi="en-US"/>
        </w:rPr>
        <w:t>NTU’s</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472" w:lineRule="exact"/>
        <w:ind w:left="0" w:right="0" w:firstLine="0"/>
        <w:jc w:val="both"/>
      </w:pPr>
      <w:r>
        <w:rPr>
          <w:rFonts w:ascii="Times New Roman" w:eastAsia="Times New Roman" w:hAnsi="Times New Roman" w:cs="Times New Roman"/>
          <w:color w:val="000000"/>
          <w:spacing w:val="0"/>
          <w:w w:val="100"/>
          <w:position w:val="0"/>
          <w:lang w:val="en-US" w:eastAsia="en-US" w:bidi="en-US"/>
        </w:rPr>
        <w:t>5. 1.6</w:t>
      </w:r>
      <w:r>
        <w:rPr>
          <w:rFonts w:ascii="SimSun" w:eastAsia="SimSun" w:hAnsi="SimSun" w:cs="SimSun"/>
          <w:b/>
          <w:bCs/>
          <w:color w:val="000000"/>
          <w:spacing w:val="0"/>
          <w:w w:val="100"/>
          <w:position w:val="0"/>
          <w:lang w:val="zh-TW" w:eastAsia="zh-TW" w:bidi="zh-TW"/>
        </w:rPr>
        <w:t>透明度</w:t>
      </w:r>
    </w:p>
    <w:p>
      <w:pPr>
        <w:pStyle w:val="Bodytext10"/>
        <w:keepNext w:val="0"/>
        <w:keepLines w:val="0"/>
        <w:widowControl w:val="0"/>
        <w:shd w:val="clear" w:color="auto" w:fill="auto"/>
        <w:bidi w:val="0"/>
        <w:spacing w:before="0" w:after="60" w:line="472" w:lineRule="exact"/>
        <w:ind w:left="0" w:right="0" w:firstLine="420"/>
        <w:jc w:val="both"/>
      </w:pPr>
      <w:r>
        <w:rPr>
          <w:color w:val="000000"/>
          <w:spacing w:val="0"/>
          <w:w w:val="100"/>
          <w:position w:val="0"/>
        </w:rPr>
        <w:t>可作为河流藻类爆发的预测指标。透明度需现场测定，分析方法采用塞式盘法，单位为</w:t>
      </w:r>
      <w:r>
        <w:rPr>
          <w:rFonts w:ascii="Times New Roman" w:eastAsia="Times New Roman" w:hAnsi="Times New Roman" w:cs="Times New Roman"/>
          <w:color w:val="000000"/>
          <w:spacing w:val="0"/>
          <w:w w:val="100"/>
          <w:position w:val="0"/>
          <w:lang w:val="en-US" w:eastAsia="en-US" w:bidi="en-US"/>
        </w:rPr>
        <w:t>cm</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472" w:lineRule="exact"/>
        <w:ind w:left="0" w:right="0" w:firstLine="0"/>
        <w:jc w:val="both"/>
      </w:pPr>
      <w:r>
        <w:rPr>
          <w:rFonts w:ascii="Times New Roman" w:eastAsia="Times New Roman" w:hAnsi="Times New Roman" w:cs="Times New Roman"/>
          <w:color w:val="000000"/>
          <w:spacing w:val="0"/>
          <w:w w:val="100"/>
          <w:position w:val="0"/>
          <w:lang w:val="en-US" w:eastAsia="en-US" w:bidi="en-US"/>
        </w:rPr>
        <w:t>5. 1.7</w:t>
      </w:r>
      <w:r>
        <w:rPr>
          <w:rFonts w:ascii="SimSun" w:eastAsia="SimSun" w:hAnsi="SimSun" w:cs="SimSun"/>
          <w:b/>
          <w:bCs/>
          <w:color w:val="000000"/>
          <w:spacing w:val="0"/>
          <w:w w:val="100"/>
          <w:position w:val="0"/>
          <w:lang w:val="zh-TW" w:eastAsia="zh-TW" w:bidi="zh-TW"/>
        </w:rPr>
        <w:t>流速</w:t>
      </w:r>
    </w:p>
    <w:p>
      <w:pPr>
        <w:pStyle w:val="Bodytext10"/>
        <w:keepNext w:val="0"/>
        <w:keepLines w:val="0"/>
        <w:widowControl w:val="0"/>
        <w:shd w:val="clear" w:color="auto" w:fill="auto"/>
        <w:bidi w:val="0"/>
        <w:spacing w:before="0" w:after="60" w:line="472" w:lineRule="exact"/>
        <w:ind w:left="0" w:right="0" w:firstLine="420"/>
        <w:jc w:val="both"/>
      </w:pPr>
      <w:r>
        <w:rPr>
          <w:color w:val="000000"/>
          <w:spacing w:val="0"/>
          <w:w w:val="100"/>
          <w:position w:val="0"/>
        </w:rPr>
        <w:t>对河流着生/悬浮藻类、底栖动物等水生生物生长有影响。流速通常用横断面平均流速表示，测定</w:t>
      </w:r>
    </w:p>
    <w:p>
      <w:pPr>
        <w:pStyle w:val="Bodytext20"/>
        <w:keepNext w:val="0"/>
        <w:keepLines w:val="0"/>
        <w:widowControl w:val="0"/>
        <w:shd w:val="clear" w:color="auto" w:fill="auto"/>
        <w:bidi w:val="0"/>
        <w:spacing w:before="0" w:after="300" w:line="470" w:lineRule="exact"/>
        <w:ind w:left="0" w:right="0" w:firstLine="0"/>
        <w:jc w:val="left"/>
      </w:pPr>
      <w:r>
        <w:rPr>
          <w:rFonts w:ascii="SimSun" w:eastAsia="SimSun" w:hAnsi="SimSun" w:cs="SimSun"/>
          <w:color w:val="000000"/>
          <w:spacing w:val="0"/>
          <w:w w:val="100"/>
          <w:position w:val="0"/>
          <w:lang w:val="zh-TW" w:eastAsia="zh-TW" w:bidi="zh-TW"/>
        </w:rPr>
        <w:t>方法采用</w:t>
      </w:r>
      <w:r>
        <w:rPr>
          <w:rFonts w:ascii="Times New Roman" w:eastAsia="Times New Roman" w:hAnsi="Times New Roman" w:cs="Times New Roman"/>
          <w:color w:val="000000"/>
          <w:spacing w:val="0"/>
          <w:w w:val="100"/>
          <w:position w:val="0"/>
          <w:lang w:val="en-US" w:eastAsia="en-US" w:bidi="en-US"/>
        </w:rPr>
        <w:t>GB50179</w:t>
      </w:r>
      <w:r>
        <w:rPr>
          <w:rFonts w:ascii="SimSun" w:eastAsia="SimSun" w:hAnsi="SimSun" w:cs="SimSu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单位为</w:t>
      </w:r>
      <w:r>
        <w:rPr>
          <w:rFonts w:ascii="Times New Roman" w:eastAsia="Times New Roman" w:hAnsi="Times New Roman" w:cs="Times New Roman"/>
          <w:color w:val="000000"/>
          <w:spacing w:val="0"/>
          <w:w w:val="100"/>
          <w:position w:val="0"/>
          <w:lang w:val="en-US" w:eastAsia="en-US" w:bidi="en-US"/>
        </w:rPr>
        <w:t>m/so</w:t>
      </w:r>
    </w:p>
    <w:p>
      <w:pPr>
        <w:pStyle w:val="Bodytext2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5.1.8</w:t>
      </w:r>
      <w:r>
        <w:rPr>
          <w:rFonts w:ascii="SimSun" w:eastAsia="SimSun" w:hAnsi="SimSun" w:cs="SimSun"/>
          <w:b/>
          <w:bCs/>
          <w:color w:val="000000"/>
          <w:spacing w:val="0"/>
          <w:w w:val="100"/>
          <w:position w:val="0"/>
          <w:lang w:val="zh-TW" w:eastAsia="zh-TW" w:bidi="zh-TW"/>
        </w:rPr>
        <w:t>流量</w:t>
      </w:r>
    </w:p>
    <w:p>
      <w:pPr>
        <w:pStyle w:val="Bodytext10"/>
        <w:keepNext w:val="0"/>
        <w:keepLines w:val="0"/>
        <w:widowControl w:val="0"/>
        <w:shd w:val="clear" w:color="auto" w:fill="auto"/>
        <w:bidi w:val="0"/>
        <w:spacing w:before="0" w:after="60" w:line="470" w:lineRule="exact"/>
        <w:ind w:left="0" w:right="0" w:firstLine="420"/>
        <w:jc w:val="left"/>
        <w:sectPr>
          <w:footerReference w:type="even" r:id="rId31"/>
          <w:footerReference w:type="default" r:id="rId32"/>
          <w:footerReference w:type="first" r:id="rId33"/>
          <w:type w:val="nextPage"/>
          <w:pgSz w:w="11900" w:h="16840"/>
          <w:pgMar w:top="1375" w:right="1035" w:bottom="1274" w:left="1357" w:header="0" w:footer="3" w:gutter="0"/>
          <w:pgNumType w:start="6"/>
          <w:cols w:space="720"/>
          <w:noEndnote/>
          <w:titlePg w:val="0"/>
          <w:rtlGutter w:val="0"/>
          <w:docGrid w:linePitch="360"/>
        </w:sectPr>
      </w:pPr>
      <w:r>
        <w:rPr>
          <w:color w:val="000000"/>
          <w:spacing w:val="0"/>
          <w:w w:val="100"/>
          <w:position w:val="0"/>
        </w:rPr>
        <w:t>影响河流营养物的浓度与分布，测量方法采用</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50179</w:t>
      </w:r>
      <w:r>
        <w:rPr>
          <w:color w:val="000000"/>
          <w:spacing w:val="0"/>
          <w:w w:val="100"/>
          <w:position w:val="0"/>
        </w:rPr>
        <w:t>,单位为</w:t>
      </w:r>
      <w:r>
        <w:rPr>
          <w:rFonts w:ascii="Times New Roman" w:eastAsia="Times New Roman" w:hAnsi="Times New Roman" w:cs="Times New Roman"/>
          <w:color w:val="000000"/>
          <w:spacing w:val="0"/>
          <w:w w:val="100"/>
          <w:position w:val="0"/>
          <w:lang w:val="en-US" w:eastAsia="en-US" w:bidi="en-US"/>
        </w:rPr>
        <w:t>m</w:t>
      </w:r>
      <w:r>
        <w:rPr>
          <w:rFonts w:ascii="Times New Roman" w:eastAsia="Times New Roman" w:hAnsi="Times New Roman" w:cs="Times New Roman"/>
          <w:color w:val="000000"/>
          <w:spacing w:val="0"/>
          <w:w w:val="100"/>
          <w:position w:val="0"/>
          <w:vertAlign w:val="superscript"/>
          <w:lang w:val="en-US" w:eastAsia="en-US" w:bidi="en-US"/>
        </w:rPr>
        <w:t>3</w:t>
      </w:r>
      <w:r>
        <w:rPr>
          <w:rFonts w:ascii="Times New Roman" w:eastAsia="Times New Roman" w:hAnsi="Times New Roman" w:cs="Times New Roman"/>
          <w:color w:val="000000"/>
          <w:spacing w:val="0"/>
          <w:w w:val="100"/>
          <w:position w:val="0"/>
          <w:lang w:val="en-US" w:eastAsia="en-US" w:bidi="en-US"/>
        </w:rPr>
        <w:t>/so</w:t>
      </w:r>
    </w:p>
    <w:p>
      <w:pPr>
        <w:pStyle w:val="Bodytext10"/>
        <w:keepNext w:val="0"/>
        <w:keepLines w:val="0"/>
        <w:widowControl w:val="0"/>
        <w:shd w:val="clear" w:color="auto" w:fill="auto"/>
        <w:bidi w:val="0"/>
        <w:spacing w:before="0" w:after="6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5.2</w:t>
      </w:r>
      <w:r>
        <w:rPr>
          <w:b/>
          <w:bCs/>
          <w:color w:val="000000"/>
          <w:spacing w:val="0"/>
          <w:w w:val="100"/>
          <w:position w:val="0"/>
        </w:rPr>
        <w:t>辅助性响应变量</w:t>
      </w:r>
    </w:p>
    <w:p>
      <w:pPr>
        <w:pStyle w:val="Bodytext10"/>
        <w:keepNext w:val="0"/>
        <w:keepLines w:val="0"/>
        <w:widowControl w:val="0"/>
        <w:shd w:val="clear" w:color="auto" w:fill="auto"/>
        <w:bidi w:val="0"/>
        <w:spacing w:before="0" w:after="300" w:line="470" w:lineRule="exact"/>
        <w:ind w:left="0" w:right="0" w:firstLine="420"/>
        <w:jc w:val="left"/>
      </w:pPr>
      <w:r>
        <w:rPr>
          <w:color w:val="000000"/>
          <w:spacing w:val="0"/>
          <w:w w:val="100"/>
          <w:position w:val="0"/>
        </w:rPr>
        <w:t>辅助性响应变量包括河流的物理、化学和生物学参数。</w:t>
      </w:r>
    </w:p>
    <w:p>
      <w:pPr>
        <w:pStyle w:val="Bodytext2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5.2.1</w:t>
      </w:r>
      <w:r>
        <w:rPr>
          <w:rFonts w:ascii="SimSun" w:eastAsia="SimSun" w:hAnsi="SimSun" w:cs="SimSun"/>
          <w:b/>
          <w:bCs/>
          <w:color w:val="000000"/>
          <w:spacing w:val="0"/>
          <w:w w:val="100"/>
          <w:position w:val="0"/>
          <w:lang w:val="zh-TW" w:eastAsia="zh-TW" w:bidi="zh-TW"/>
        </w:rPr>
        <w:t>溶解氧</w:t>
      </w:r>
    </w:p>
    <w:p>
      <w:pPr>
        <w:pStyle w:val="Bodytext10"/>
        <w:keepNext w:val="0"/>
        <w:keepLines w:val="0"/>
        <w:widowControl w:val="0"/>
        <w:shd w:val="clear" w:color="auto" w:fill="auto"/>
        <w:bidi w:val="0"/>
        <w:spacing w:before="0" w:after="300" w:line="466" w:lineRule="exact"/>
        <w:ind w:left="0" w:right="0" w:firstLine="440"/>
        <w:jc w:val="both"/>
      </w:pPr>
      <w:r>
        <w:rPr>
          <w:color w:val="000000"/>
          <w:spacing w:val="0"/>
          <w:w w:val="100"/>
          <w:position w:val="0"/>
        </w:rPr>
        <w:t>属敏感型反应变量，可作为水体营养状态变化的指示</w:t>
      </w:r>
      <w:r>
        <w:rPr>
          <w:color w:val="000000"/>
          <w:spacing w:val="0"/>
          <w:w w:val="100"/>
          <w:position w:val="0"/>
          <w:lang w:val="zh-CN" w:eastAsia="zh-CN" w:bidi="zh-CN"/>
        </w:rPr>
        <w:t>指标。</w:t>
      </w:r>
      <w:r>
        <w:rPr>
          <w:color w:val="000000"/>
          <w:spacing w:val="0"/>
          <w:w w:val="100"/>
          <w:position w:val="0"/>
        </w:rPr>
        <w:t>分析方法采用</w:t>
      </w:r>
      <w:hyperlink r:id="rId34" w:history="1">
        <w:r>
          <w:rPr>
            <w:rFonts w:ascii="Times New Roman" w:eastAsia="Times New Roman" w:hAnsi="Times New Roman" w:cs="Times New Roman"/>
            <w:color w:val="000000"/>
            <w:spacing w:val="0"/>
            <w:w w:val="100"/>
            <w:position w:val="0"/>
            <w:lang w:val="en-US" w:eastAsia="en-US" w:bidi="en-US"/>
          </w:rPr>
          <w:t>GB7489</w:t>
        </w:r>
        <w:r>
          <w:rPr>
            <w:color w:val="000000"/>
            <w:spacing w:val="0"/>
            <w:w w:val="100"/>
            <w:position w:val="0"/>
          </w:rPr>
          <w:t>或</w:t>
        </w:r>
      </w:hyperlink>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rPr>
        <w:t>506</w:t>
      </w:r>
      <w:r>
        <w:rPr>
          <w:color w:val="000000"/>
          <w:spacing w:val="0"/>
          <w:w w:val="100"/>
          <w:position w:val="0"/>
        </w:rPr>
        <w:t xml:space="preserve">,单位 为 </w:t>
      </w:r>
      <w:r>
        <w:rPr>
          <w:rFonts w:ascii="Times New Roman" w:eastAsia="Times New Roman" w:hAnsi="Times New Roman" w:cs="Times New Roman"/>
          <w:color w:val="000000"/>
          <w:spacing w:val="0"/>
          <w:w w:val="100"/>
          <w:position w:val="0"/>
          <w:lang w:val="en-US" w:eastAsia="en-US" w:bidi="en-US"/>
        </w:rPr>
        <w:t>mg/Lo</w:t>
      </w:r>
    </w:p>
    <w:p>
      <w:pPr>
        <w:pStyle w:val="Bodytext20"/>
        <w:keepNext w:val="0"/>
        <w:keepLines w:val="0"/>
        <w:widowControl w:val="0"/>
        <w:numPr>
          <w:ilvl w:val="0"/>
          <w:numId w:val="2"/>
        </w:numPr>
        <w:shd w:val="clear" w:color="auto" w:fill="auto"/>
        <w:tabs>
          <w:tab w:val="left" w:pos="709"/>
        </w:tabs>
        <w:bidi w:val="0"/>
        <w:spacing w:before="0" w:after="0" w:line="492" w:lineRule="auto"/>
        <w:ind w:left="0" w:right="0" w:firstLine="0"/>
        <w:jc w:val="left"/>
      </w:pPr>
      <w:bookmarkStart w:id="26" w:name="bookmark26"/>
      <w:bookmarkEnd w:id="26"/>
      <w:r>
        <w:rPr>
          <w:rFonts w:ascii="Times New Roman" w:eastAsia="Times New Roman" w:hAnsi="Times New Roman" w:cs="Times New Roman"/>
          <w:color w:val="000000"/>
          <w:spacing w:val="0"/>
          <w:w w:val="100"/>
          <w:position w:val="0"/>
          <w:lang w:val="en-US" w:eastAsia="en-US" w:bidi="en-US"/>
        </w:rPr>
        <w:t xml:space="preserve">pH </w:t>
      </w:r>
      <w:r>
        <w:rPr>
          <w:rFonts w:ascii="SimSun" w:eastAsia="SimSun" w:hAnsi="SimSun" w:cs="SimSun"/>
          <w:b/>
          <w:bCs/>
          <w:color w:val="000000"/>
          <w:spacing w:val="0"/>
          <w:w w:val="100"/>
          <w:position w:val="0"/>
          <w:lang w:val="zh-TW" w:eastAsia="zh-TW" w:bidi="zh-TW"/>
        </w:rPr>
        <w:t>值</w:t>
      </w:r>
    </w:p>
    <w:p>
      <w:pPr>
        <w:pStyle w:val="Bodytext10"/>
        <w:keepNext w:val="0"/>
        <w:keepLines w:val="0"/>
        <w:widowControl w:val="0"/>
        <w:shd w:val="clear" w:color="auto" w:fill="auto"/>
        <w:bidi w:val="0"/>
        <w:spacing w:before="0" w:after="300" w:line="470" w:lineRule="exact"/>
        <w:ind w:left="0" w:right="0" w:firstLine="440"/>
        <w:jc w:val="both"/>
      </w:pPr>
      <w:r>
        <w:rPr>
          <w:color w:val="000000"/>
          <w:spacing w:val="0"/>
          <w:w w:val="100"/>
          <w:position w:val="0"/>
        </w:rPr>
        <w:t>是水化学中常用的监测指标，藻类生物量高于有害水平的水体通常会在</w:t>
      </w:r>
      <w:r>
        <w:rPr>
          <w:rFonts w:ascii="Times New Roman" w:eastAsia="Times New Roman" w:hAnsi="Times New Roman" w:cs="Times New Roman"/>
          <w:color w:val="000000"/>
          <w:spacing w:val="0"/>
          <w:w w:val="100"/>
          <w:position w:val="0"/>
          <w:lang w:val="en-US" w:eastAsia="en-US" w:bidi="en-US"/>
        </w:rPr>
        <w:t>pH</w:t>
      </w:r>
      <w:r>
        <w:rPr>
          <w:color w:val="000000"/>
          <w:spacing w:val="0"/>
          <w:w w:val="100"/>
          <w:position w:val="0"/>
        </w:rPr>
        <w:t>值上产生较大的日变化, 该指标需现场测定，分析方法采用</w:t>
      </w:r>
      <w:hyperlink r:id="rId35" w:history="1">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6920</w:t>
        </w:r>
        <w:r>
          <w:rPr>
            <w:rFonts w:ascii="Times New Roman" w:eastAsia="Times New Roman" w:hAnsi="Times New Roman" w:cs="Times New Roman"/>
            <w:color w:val="000000"/>
            <w:spacing w:val="0"/>
            <w:w w:val="100"/>
            <w:position w:val="0"/>
            <w:lang w:val="en-US" w:eastAsia="en-US" w:bidi="en-US"/>
          </w:rPr>
          <w:t>o</w:t>
        </w:r>
      </w:hyperlink>
    </w:p>
    <w:p>
      <w:pPr>
        <w:pStyle w:val="Bodytext2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5.2.3</w:t>
      </w:r>
      <w:r>
        <w:rPr>
          <w:rFonts w:ascii="SimSun" w:eastAsia="SimSun" w:hAnsi="SimSun" w:cs="SimSun"/>
          <w:b/>
          <w:bCs/>
          <w:color w:val="000000"/>
          <w:spacing w:val="0"/>
          <w:w w:val="100"/>
          <w:position w:val="0"/>
          <w:lang w:val="zh-TW" w:eastAsia="zh-TW" w:bidi="zh-TW"/>
        </w:rPr>
        <w:t>电导率</w:t>
      </w:r>
    </w:p>
    <w:p>
      <w:pPr>
        <w:pStyle w:val="Bodytext10"/>
        <w:keepNext w:val="0"/>
        <w:keepLines w:val="0"/>
        <w:widowControl w:val="0"/>
        <w:shd w:val="clear" w:color="auto" w:fill="auto"/>
        <w:bidi w:val="0"/>
        <w:spacing w:before="0" w:after="60" w:line="456" w:lineRule="exact"/>
        <w:ind w:left="0" w:right="0" w:firstLine="440"/>
        <w:jc w:val="both"/>
      </w:pPr>
      <w:r>
        <w:rPr>
          <w:color w:val="000000"/>
          <w:spacing w:val="0"/>
          <w:w w:val="100"/>
          <w:position w:val="0"/>
        </w:rPr>
        <w:t>对盐度变化非常敏感，可作为水体营养状态变化指示指标，不适用于含碳酸钙或溶解盐浓度高的区 域。分析方法为电导率仪法，现场测定为宜，标准单位为</w:t>
      </w:r>
      <w:r>
        <w:rPr>
          <w:rFonts w:ascii="Times New Roman" w:eastAsia="Times New Roman" w:hAnsi="Times New Roman" w:cs="Times New Roman"/>
          <w:color w:val="000000"/>
          <w:spacing w:val="0"/>
          <w:w w:val="100"/>
          <w:position w:val="0"/>
          <w:lang w:val="en-US" w:eastAsia="en-US" w:bidi="en-US"/>
        </w:rPr>
        <w:t xml:space="preserve">S/m, </w:t>
      </w:r>
      <w:r>
        <w:rPr>
          <w:color w:val="000000"/>
          <w:spacing w:val="0"/>
          <w:w w:val="100"/>
          <w:position w:val="0"/>
        </w:rPr>
        <w:t>一般实际使用单位为</w:t>
      </w:r>
      <w:r>
        <w:rPr>
          <w:rFonts w:ascii="Times New Roman" w:eastAsia="Times New Roman" w:hAnsi="Times New Roman" w:cs="Times New Roman"/>
          <w:color w:val="000000"/>
          <w:spacing w:val="0"/>
          <w:w w:val="100"/>
          <w:position w:val="0"/>
          <w:lang w:val="en-US" w:eastAsia="en-US" w:bidi="en-US"/>
        </w:rPr>
        <w:t>pS/cm</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5. 2. </w:t>
      </w:r>
      <w:r>
        <w:rPr>
          <w:rFonts w:ascii="Times New Roman" w:eastAsia="Times New Roman" w:hAnsi="Times New Roman" w:cs="Times New Roman"/>
          <w:color w:val="000000"/>
          <w:spacing w:val="0"/>
          <w:w w:val="100"/>
          <w:position w:val="0"/>
          <w:lang w:val="zh-TW" w:eastAsia="zh-TW" w:bidi="zh-TW"/>
        </w:rPr>
        <w:t>4</w:t>
      </w:r>
      <w:r>
        <w:rPr>
          <w:rFonts w:ascii="SimSun" w:eastAsia="SimSun" w:hAnsi="SimSun" w:cs="SimSun"/>
          <w:b/>
          <w:bCs/>
          <w:color w:val="000000"/>
          <w:spacing w:val="0"/>
          <w:w w:val="100"/>
          <w:position w:val="0"/>
          <w:lang w:val="zh-TW" w:eastAsia="zh-TW" w:bidi="zh-TW"/>
        </w:rPr>
        <w:t>可溶性有机碳</w:t>
      </w:r>
    </w:p>
    <w:p>
      <w:pPr>
        <w:pStyle w:val="Bodytext10"/>
        <w:keepNext w:val="0"/>
        <w:keepLines w:val="0"/>
        <w:widowControl w:val="0"/>
        <w:shd w:val="clear" w:color="auto" w:fill="auto"/>
        <w:bidi w:val="0"/>
        <w:spacing w:before="0" w:after="60" w:line="466" w:lineRule="exact"/>
        <w:ind w:left="0" w:right="0" w:firstLine="440"/>
        <w:jc w:val="both"/>
      </w:pPr>
      <w:r>
        <w:rPr>
          <w:color w:val="000000"/>
          <w:spacing w:val="0"/>
          <w:w w:val="100"/>
          <w:position w:val="0"/>
        </w:rPr>
        <w:t>水中可溶性有机碳可影响河流的藻类生长繁殖，可溶性有机碳是水化学指标，水样过</w:t>
      </w:r>
      <w:r>
        <w:rPr>
          <w:rFonts w:ascii="Times New Roman" w:eastAsia="Times New Roman" w:hAnsi="Times New Roman" w:cs="Times New Roman"/>
          <w:color w:val="000000"/>
          <w:spacing w:val="0"/>
          <w:w w:val="100"/>
          <w:position w:val="0"/>
          <w:lang w:val="en-US" w:eastAsia="en-US" w:bidi="en-US"/>
        </w:rPr>
        <w:t>0.45</w:t>
      </w:r>
      <w:r>
        <w:rPr>
          <w:color w:val="000000"/>
          <w:spacing w:val="0"/>
          <w:w w:val="100"/>
          <w:position w:val="0"/>
        </w:rPr>
        <w:t>呻微孔 滤膜，分析方法采用单位为</w:t>
      </w:r>
      <w:r>
        <w:rPr>
          <w:rFonts w:ascii="Times New Roman" w:eastAsia="Times New Roman" w:hAnsi="Times New Roman" w:cs="Times New Roman"/>
          <w:color w:val="000000"/>
          <w:spacing w:val="0"/>
          <w:w w:val="100"/>
          <w:position w:val="0"/>
          <w:lang w:val="en-US" w:eastAsia="en-US" w:bidi="en-US"/>
        </w:rPr>
        <w:t>mg/L</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6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5. 2. </w:t>
      </w:r>
      <w:r>
        <w:rPr>
          <w:rFonts w:ascii="Times New Roman" w:eastAsia="Times New Roman" w:hAnsi="Times New Roman" w:cs="Times New Roman"/>
          <w:color w:val="000000"/>
          <w:spacing w:val="0"/>
          <w:w w:val="100"/>
          <w:position w:val="0"/>
        </w:rPr>
        <w:t>5</w:t>
      </w:r>
      <w:r>
        <w:rPr>
          <w:b/>
          <w:bCs/>
          <w:color w:val="000000"/>
          <w:spacing w:val="0"/>
          <w:w w:val="100"/>
          <w:position w:val="0"/>
        </w:rPr>
        <w:t>着生藻类无灰分干重</w:t>
      </w:r>
    </w:p>
    <w:p>
      <w:pPr>
        <w:pStyle w:val="Bodytext10"/>
        <w:keepNext w:val="0"/>
        <w:keepLines w:val="0"/>
        <w:widowControl w:val="0"/>
        <w:shd w:val="clear" w:color="auto" w:fill="auto"/>
        <w:bidi w:val="0"/>
        <w:spacing w:before="0" w:after="60" w:line="475" w:lineRule="exact"/>
        <w:ind w:left="0" w:right="0" w:firstLine="440"/>
        <w:jc w:val="both"/>
      </w:pPr>
      <w:r>
        <w:rPr>
          <w:color w:val="000000"/>
          <w:spacing w:val="0"/>
          <w:w w:val="100"/>
          <w:position w:val="0"/>
        </w:rPr>
        <w:t>无灰分干重</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AFDM）</w:t>
      </w:r>
      <w:r>
        <w:rPr>
          <w:color w:val="000000"/>
          <w:spacing w:val="0"/>
          <w:w w:val="100"/>
          <w:position w:val="0"/>
        </w:rPr>
        <w:t>是测量包括细菌、真菌、小型动物类群和碎屑等有机物质生物量的方法，经 干燥和有机物燉烧成灰之后，测量样品质量上的</w:t>
      </w:r>
      <w:r>
        <w:rPr>
          <w:color w:val="575E67"/>
          <w:spacing w:val="0"/>
          <w:w w:val="100"/>
          <w:position w:val="0"/>
        </w:rPr>
        <w:t>变化，</w:t>
      </w:r>
      <w:r>
        <w:rPr>
          <w:color w:val="000000"/>
          <w:spacing w:val="0"/>
          <w:w w:val="100"/>
          <w:position w:val="0"/>
        </w:rPr>
        <w:t>单位为</w:t>
      </w:r>
      <w:r>
        <w:rPr>
          <w:rFonts w:ascii="Times New Roman" w:eastAsia="Times New Roman" w:hAnsi="Times New Roman" w:cs="Times New Roman"/>
          <w:color w:val="000000"/>
          <w:spacing w:val="0"/>
          <w:w w:val="100"/>
          <w:position w:val="0"/>
          <w:lang w:val="en-US" w:eastAsia="en-US" w:bidi="en-US"/>
        </w:rPr>
        <w:t>mg/m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6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5. 2.6</w:t>
      </w:r>
      <w:r>
        <w:rPr>
          <w:b/>
          <w:bCs/>
          <w:color w:val="000000"/>
          <w:spacing w:val="0"/>
          <w:w w:val="100"/>
          <w:position w:val="0"/>
        </w:rPr>
        <w:t>碱性磷酸酶活性</w:t>
      </w:r>
    </w:p>
    <w:p>
      <w:pPr>
        <w:pStyle w:val="Bodytext10"/>
        <w:keepNext w:val="0"/>
        <w:keepLines w:val="0"/>
        <w:widowControl w:val="0"/>
        <w:shd w:val="clear" w:color="auto" w:fill="auto"/>
        <w:bidi w:val="0"/>
        <w:spacing w:before="0" w:after="60" w:line="475" w:lineRule="exact"/>
        <w:ind w:left="0" w:right="0" w:firstLine="440"/>
        <w:jc w:val="both"/>
      </w:pPr>
      <w:r>
        <w:rPr>
          <w:color w:val="000000"/>
          <w:spacing w:val="0"/>
          <w:w w:val="100"/>
          <w:position w:val="0"/>
        </w:rPr>
        <w:t>碱性磷酸酶是藻类对磷限制响应过程中产生的一种酶</w:t>
      </w:r>
      <w:r>
        <w:rPr>
          <w:color w:val="25292E"/>
          <w:spacing w:val="0"/>
          <w:w w:val="100"/>
          <w:position w:val="0"/>
        </w:rPr>
        <w:t>，成性磷酸酶的浓</w:t>
      </w:r>
      <w:r>
        <w:rPr>
          <w:color w:val="000000"/>
          <w:spacing w:val="0"/>
          <w:w w:val="100"/>
          <w:position w:val="0"/>
        </w:rPr>
        <w:t>度可用来评估水体磷限制的 程度。</w:t>
      </w:r>
    </w:p>
    <w:p>
      <w:pPr>
        <w:pStyle w:val="Bodytext10"/>
        <w:keepNext w:val="0"/>
        <w:keepLines w:val="0"/>
        <w:widowControl w:val="0"/>
        <w:shd w:val="clear" w:color="auto" w:fill="auto"/>
        <w:bidi w:val="0"/>
        <w:spacing w:before="0" w:after="6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5. 2. </w:t>
      </w:r>
      <w:r>
        <w:rPr>
          <w:rFonts w:ascii="Times New Roman" w:eastAsia="Times New Roman" w:hAnsi="Times New Roman" w:cs="Times New Roman"/>
          <w:color w:val="000000"/>
          <w:spacing w:val="0"/>
          <w:w w:val="100"/>
          <w:position w:val="0"/>
        </w:rPr>
        <w:t>7</w:t>
      </w:r>
      <w:r>
        <w:rPr>
          <w:b/>
          <w:bCs/>
          <w:color w:val="000000"/>
          <w:spacing w:val="0"/>
          <w:w w:val="100"/>
          <w:position w:val="0"/>
        </w:rPr>
        <w:t>河床着生藻类覆盖度</w:t>
      </w:r>
    </w:p>
    <w:p>
      <w:pPr>
        <w:pStyle w:val="Bodytext10"/>
        <w:keepNext w:val="0"/>
        <w:keepLines w:val="0"/>
        <w:widowControl w:val="0"/>
        <w:shd w:val="clear" w:color="auto" w:fill="auto"/>
        <w:bidi w:val="0"/>
        <w:spacing w:before="0" w:after="60" w:line="475" w:lineRule="exact"/>
        <w:ind w:left="0" w:right="0" w:firstLine="440"/>
        <w:jc w:val="both"/>
      </w:pPr>
      <w:r>
        <w:rPr>
          <w:color w:val="000000"/>
          <w:spacing w:val="0"/>
          <w:w w:val="100"/>
          <w:position w:val="0"/>
        </w:rPr>
        <w:t>河床着生藻类覆盖度（%）是表征藻类生长的重要指示指标，可评价河流（河床基质为砂砾和鹅卵 石）中藻类繁殖强度和河流美观程度。</w:t>
      </w:r>
    </w:p>
    <w:p>
      <w:pPr>
        <w:pStyle w:val="Heading410"/>
        <w:keepNext/>
        <w:keepLines/>
        <w:widowControl w:val="0"/>
        <w:shd w:val="clear" w:color="auto" w:fill="auto"/>
        <w:bidi w:val="0"/>
        <w:spacing w:before="0" w:after="0" w:line="439" w:lineRule="exact"/>
        <w:ind w:left="0" w:right="0" w:firstLine="0"/>
        <w:jc w:val="left"/>
      </w:pPr>
      <w:bookmarkStart w:id="27" w:name="bookmark27"/>
      <w:bookmarkStart w:id="28" w:name="bookmark28"/>
      <w:bookmarkStart w:id="29" w:name="bookmark29"/>
      <w:r>
        <w:rPr>
          <w:rFonts w:ascii="Times New Roman" w:eastAsia="Times New Roman" w:hAnsi="Times New Roman" w:cs="Times New Roman"/>
          <w:b w:val="0"/>
          <w:bCs w:val="0"/>
          <w:color w:val="000000"/>
          <w:spacing w:val="0"/>
          <w:w w:val="100"/>
          <w:position w:val="0"/>
          <w:lang w:val="en-US" w:eastAsia="en-US" w:bidi="en-US"/>
        </w:rPr>
        <w:t>5.2.8</w:t>
      </w:r>
      <w:r>
        <w:rPr>
          <w:color w:val="000000"/>
          <w:spacing w:val="0"/>
          <w:w w:val="100"/>
          <w:position w:val="0"/>
        </w:rPr>
        <w:t>水生生物群落特征指数</w:t>
      </w:r>
      <w:bookmarkEnd w:id="27"/>
      <w:bookmarkEnd w:id="28"/>
      <w:bookmarkEnd w:id="29"/>
    </w:p>
    <w:p>
      <w:pPr>
        <w:pStyle w:val="Bodytext10"/>
        <w:keepNext w:val="0"/>
        <w:keepLines w:val="0"/>
        <w:widowControl w:val="0"/>
        <w:shd w:val="clear" w:color="auto" w:fill="auto"/>
        <w:bidi w:val="0"/>
        <w:spacing w:before="0" w:after="120" w:line="468" w:lineRule="exact"/>
        <w:ind w:left="0" w:right="0" w:firstLine="440"/>
        <w:jc w:val="both"/>
      </w:pPr>
      <w:r>
        <w:rPr>
          <w:color w:val="000000"/>
          <w:spacing w:val="0"/>
          <w:w w:val="100"/>
          <w:position w:val="0"/>
        </w:rPr>
        <w:t>水生生物群落特征指数可提供较为可靠的河流营养状态指示。测定河流着生藻类、底栖大型无脊椎 动物及鱼类等水生生物物种组成，计算水生生物群落特征指数，包括物种丰度、香浓多样性指数、均匀 度指数等。部分水生生物群落特征指标及指数计算方法见附录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20" w:line="439" w:lineRule="exact"/>
        <w:ind w:left="0" w:right="0" w:firstLine="0"/>
        <w:jc w:val="left"/>
        <w:sectPr>
          <w:footerReference w:type="even" r:id="rId36"/>
          <w:footerReference w:type="default" r:id="rId37"/>
          <w:footerReference w:type="first" r:id="rId38"/>
          <w:type w:val="nextPage"/>
          <w:pgSz w:w="11900" w:h="16840"/>
          <w:pgMar w:top="1375" w:right="1035" w:bottom="1274" w:left="1357" w:header="0" w:footer="3" w:gutter="0"/>
          <w:pgNumType w:start="7"/>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5.2.9</w:t>
      </w:r>
      <w:r>
        <w:rPr>
          <w:rFonts w:ascii="SimSun" w:eastAsia="SimSun" w:hAnsi="SimSun" w:cs="SimSun"/>
          <w:b/>
          <w:bCs/>
          <w:color w:val="000000"/>
          <w:spacing w:val="0"/>
          <w:w w:val="100"/>
          <w:position w:val="0"/>
          <w:lang w:val="zh-TW" w:eastAsia="zh-TW" w:bidi="zh-TW"/>
        </w:rPr>
        <w:t>水温</w:t>
      </w:r>
    </w:p>
    <w:p>
      <w:pPr>
        <w:pStyle w:val="Bodytext10"/>
        <w:keepNext w:val="0"/>
        <w:keepLines w:val="0"/>
        <w:widowControl w:val="0"/>
        <w:shd w:val="clear" w:color="auto" w:fill="auto"/>
        <w:bidi w:val="0"/>
        <w:spacing w:before="0" w:after="120" w:line="439" w:lineRule="exact"/>
        <w:ind w:left="0" w:right="0" w:firstLine="420"/>
        <w:jc w:val="left"/>
      </w:pPr>
      <w:r>
        <w:rPr>
          <w:color w:val="000000"/>
          <w:spacing w:val="0"/>
          <w:w w:val="100"/>
          <w:position w:val="0"/>
        </w:rPr>
        <w:t>水温可以影响水体中藻类等水生生物的生长繁殖，指标需要现场测定，单位为。</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20" w:line="439" w:lineRule="exact"/>
        <w:ind w:left="0" w:right="0" w:firstLine="0"/>
        <w:jc w:val="left"/>
      </w:pPr>
      <w:r>
        <w:rPr>
          <w:rFonts w:ascii="Times New Roman" w:eastAsia="Times New Roman" w:hAnsi="Times New Roman" w:cs="Times New Roman"/>
          <w:color w:val="000000"/>
          <w:spacing w:val="0"/>
          <w:w w:val="100"/>
          <w:position w:val="0"/>
          <w:lang w:val="en-US" w:eastAsia="en-US" w:bidi="en-US"/>
        </w:rPr>
        <w:t>5.3</w:t>
      </w:r>
      <w:r>
        <w:rPr>
          <w:b/>
          <w:bCs/>
          <w:color w:val="000000"/>
          <w:spacing w:val="0"/>
          <w:w w:val="100"/>
          <w:position w:val="0"/>
        </w:rPr>
        <w:t>指标选取</w:t>
      </w:r>
    </w:p>
    <w:p>
      <w:pPr>
        <w:pStyle w:val="Bodytext10"/>
        <w:keepNext w:val="0"/>
        <w:keepLines w:val="0"/>
        <w:widowControl w:val="0"/>
        <w:shd w:val="clear" w:color="auto" w:fill="auto"/>
        <w:tabs>
          <w:tab w:val="left" w:pos="828"/>
        </w:tabs>
        <w:bidi w:val="0"/>
        <w:spacing w:before="0" w:after="0" w:line="439" w:lineRule="exact"/>
        <w:ind w:left="0" w:right="0" w:firstLine="340"/>
        <w:jc w:val="left"/>
      </w:pPr>
      <w:bookmarkStart w:id="30" w:name="bookmark30"/>
      <w:r>
        <w:rPr>
          <w:color w:val="000000"/>
          <w:spacing w:val="0"/>
          <w:w w:val="100"/>
          <w:position w:val="0"/>
        </w:rPr>
        <w:t>（</w:t>
      </w:r>
      <w:bookmarkEnd w:id="30"/>
      <w:r>
        <w:rPr>
          <w:rFonts w:ascii="Times New Roman" w:eastAsia="Times New Roman" w:hAnsi="Times New Roman" w:cs="Times New Roman"/>
          <w:color w:val="000000"/>
          <w:spacing w:val="0"/>
          <w:w w:val="100"/>
          <w:position w:val="0"/>
        </w:rPr>
        <w:t>1</w:t>
      </w:r>
      <w:r>
        <w:rPr>
          <w:color w:val="000000"/>
          <w:spacing w:val="0"/>
          <w:w w:val="100"/>
          <w:position w:val="0"/>
        </w:rPr>
        <w:t>）</w:t>
        <w:tab/>
        <w:t>总氮、总磷、藻类生物量、透明度和浊度为首选指标</w:t>
      </w:r>
      <w:r>
        <w:rPr>
          <w:color w:val="000000"/>
          <w:spacing w:val="0"/>
          <w:w w:val="100"/>
          <w:position w:val="0"/>
        </w:rPr>
        <w:t>，</w:t>
      </w:r>
      <w:r>
        <w:rPr>
          <w:color w:val="000000"/>
          <w:spacing w:val="0"/>
          <w:w w:val="100"/>
          <w:position w:val="0"/>
        </w:rPr>
        <w:t>其它为参选指标；</w:t>
      </w:r>
    </w:p>
    <w:p>
      <w:pPr>
        <w:pStyle w:val="Bodytext10"/>
        <w:keepNext w:val="0"/>
        <w:keepLines w:val="0"/>
        <w:widowControl w:val="0"/>
        <w:shd w:val="clear" w:color="auto" w:fill="auto"/>
        <w:tabs>
          <w:tab w:val="left" w:pos="828"/>
        </w:tabs>
        <w:bidi w:val="0"/>
        <w:spacing w:before="0" w:after="0" w:line="439" w:lineRule="exact"/>
        <w:ind w:left="0" w:right="0" w:firstLine="340"/>
        <w:jc w:val="left"/>
      </w:pPr>
      <w:bookmarkStart w:id="31" w:name="bookmark31"/>
      <w:r>
        <w:rPr>
          <w:color w:val="000000"/>
          <w:spacing w:val="0"/>
          <w:w w:val="100"/>
          <w:position w:val="0"/>
        </w:rPr>
        <w:t>（</w:t>
      </w:r>
      <w:bookmarkEnd w:id="31"/>
      <w:r>
        <w:rPr>
          <w:rFonts w:ascii="Times New Roman" w:eastAsia="Times New Roman" w:hAnsi="Times New Roman" w:cs="Times New Roman"/>
          <w:color w:val="000000"/>
          <w:spacing w:val="0"/>
          <w:w w:val="100"/>
          <w:position w:val="0"/>
        </w:rPr>
        <w:t>2</w:t>
      </w:r>
      <w:r>
        <w:rPr>
          <w:color w:val="000000"/>
          <w:spacing w:val="0"/>
          <w:w w:val="100"/>
          <w:position w:val="0"/>
        </w:rPr>
        <w:t>）</w:t>
        <w:tab/>
        <w:t>优先选取有国家标准分析方法的候选指标；</w:t>
      </w:r>
    </w:p>
    <w:p>
      <w:pPr>
        <w:pStyle w:val="Bodytext10"/>
        <w:keepNext w:val="0"/>
        <w:keepLines w:val="0"/>
        <w:widowControl w:val="0"/>
        <w:shd w:val="clear" w:color="auto" w:fill="auto"/>
        <w:tabs>
          <w:tab w:val="left" w:pos="828"/>
        </w:tabs>
        <w:bidi w:val="0"/>
        <w:spacing w:before="0" w:after="120" w:line="439" w:lineRule="exact"/>
        <w:ind w:left="0" w:right="0" w:firstLine="340"/>
        <w:jc w:val="left"/>
      </w:pPr>
      <w:bookmarkStart w:id="32" w:name="bookmark32"/>
      <w:r>
        <w:rPr>
          <w:color w:val="000000"/>
          <w:spacing w:val="0"/>
          <w:w w:val="100"/>
          <w:position w:val="0"/>
        </w:rPr>
        <w:t>（</w:t>
      </w:r>
      <w:bookmarkEnd w:id="32"/>
      <w:r>
        <w:rPr>
          <w:rFonts w:ascii="Times New Roman" w:eastAsia="Times New Roman" w:hAnsi="Times New Roman" w:cs="Times New Roman"/>
          <w:color w:val="000000"/>
          <w:spacing w:val="0"/>
          <w:w w:val="100"/>
          <w:position w:val="0"/>
        </w:rPr>
        <w:t>3</w:t>
      </w:r>
      <w:r>
        <w:rPr>
          <w:color w:val="000000"/>
          <w:spacing w:val="0"/>
          <w:w w:val="100"/>
          <w:position w:val="0"/>
        </w:rPr>
        <w:t>）</w:t>
        <w:tab/>
        <w:t>尽量增加响应变量指标（包括指示生物种类），使制定的营养物基准值具有更广泛的适用性。</w:t>
      </w:r>
    </w:p>
    <w:p>
      <w:pPr>
        <w:pStyle w:val="Heading410"/>
        <w:keepNext/>
        <w:keepLines/>
        <w:widowControl w:val="0"/>
        <w:shd w:val="clear" w:color="auto" w:fill="auto"/>
        <w:bidi w:val="0"/>
        <w:spacing w:before="0" w:after="0" w:line="439" w:lineRule="exact"/>
        <w:ind w:left="0" w:right="0" w:firstLine="0"/>
        <w:jc w:val="left"/>
      </w:pPr>
      <w:bookmarkStart w:id="33" w:name="bookmark33"/>
      <w:bookmarkStart w:id="34" w:name="bookmark34"/>
      <w:bookmarkStart w:id="35" w:name="bookmark35"/>
      <w:bookmarkStart w:id="36" w:name="bookmark36"/>
      <w:r>
        <w:rPr>
          <w:rFonts w:ascii="Times New Roman" w:eastAsia="Times New Roman" w:hAnsi="Times New Roman" w:cs="Times New Roman"/>
          <w:b w:val="0"/>
          <w:bCs w:val="0"/>
          <w:color w:val="000000"/>
          <w:spacing w:val="0"/>
          <w:w w:val="100"/>
          <w:position w:val="0"/>
        </w:rPr>
        <w:t>6</w:t>
      </w:r>
      <w:r>
        <w:rPr>
          <w:color w:val="000000"/>
          <w:spacing w:val="0"/>
          <w:w w:val="100"/>
          <w:position w:val="0"/>
        </w:rPr>
        <w:t>数据收集与补充监测</w:t>
      </w:r>
      <w:bookmarkEnd w:id="34"/>
      <w:bookmarkEnd w:id="35"/>
      <w:bookmarkEnd w:id="36"/>
      <w:bookmarkEnd w:id="33"/>
    </w:p>
    <w:p>
      <w:pPr>
        <w:pStyle w:val="Heading410"/>
        <w:keepNext/>
        <w:keepLines/>
        <w:widowControl w:val="0"/>
        <w:shd w:val="clear" w:color="auto" w:fill="auto"/>
        <w:bidi w:val="0"/>
        <w:spacing w:before="0" w:after="120" w:line="439" w:lineRule="exact"/>
        <w:ind w:left="0" w:right="0" w:firstLine="0"/>
        <w:jc w:val="both"/>
      </w:pPr>
      <w:bookmarkStart w:id="37" w:name="bookmark37"/>
      <w:r>
        <w:rPr>
          <w:rFonts w:ascii="Times New Roman" w:eastAsia="Times New Roman" w:hAnsi="Times New Roman" w:cs="Times New Roman"/>
          <w:b w:val="0"/>
          <w:bCs w:val="0"/>
          <w:color w:val="000000"/>
          <w:spacing w:val="0"/>
          <w:w w:val="100"/>
          <w:position w:val="0"/>
          <w:lang w:val="en-US" w:eastAsia="en-US" w:bidi="en-US"/>
        </w:rPr>
        <w:t>6.1</w:t>
      </w:r>
      <w:r>
        <w:rPr>
          <w:color w:val="000000"/>
          <w:spacing w:val="0"/>
          <w:w w:val="100"/>
          <w:position w:val="0"/>
        </w:rPr>
        <w:t>监测点要求</w:t>
      </w:r>
      <w:bookmarkEnd w:id="37"/>
    </w:p>
    <w:p>
      <w:pPr>
        <w:pStyle w:val="Bodytext10"/>
        <w:keepNext w:val="0"/>
        <w:keepLines w:val="0"/>
        <w:widowControl w:val="0"/>
        <w:shd w:val="clear" w:color="auto" w:fill="auto"/>
        <w:bidi w:val="0"/>
        <w:spacing w:before="0" w:after="0" w:line="442" w:lineRule="exact"/>
        <w:ind w:left="0" w:right="0" w:firstLine="440"/>
        <w:jc w:val="both"/>
      </w:pPr>
      <w:r>
        <w:rPr>
          <w:color w:val="000000"/>
          <w:spacing w:val="0"/>
          <w:w w:val="100"/>
          <w:position w:val="0"/>
        </w:rPr>
        <w:t>河流水质监测点应分布相对均匀且具有代表性，生物指标采样点尽可能与水化学监测点相一致，以 利于时空同步采样。</w:t>
      </w:r>
    </w:p>
    <w:p>
      <w:pPr>
        <w:pStyle w:val="Bodytext10"/>
        <w:keepNext w:val="0"/>
        <w:keepLines w:val="0"/>
        <w:widowControl w:val="0"/>
        <w:shd w:val="clear" w:color="auto" w:fill="auto"/>
        <w:bidi w:val="0"/>
        <w:spacing w:before="0" w:after="120" w:line="44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2</w:t>
      </w:r>
      <w:r>
        <w:rPr>
          <w:b/>
          <w:bCs/>
          <w:color w:val="000000"/>
          <w:spacing w:val="0"/>
          <w:w w:val="100"/>
          <w:position w:val="0"/>
        </w:rPr>
        <w:t>采样频率要求</w:t>
      </w:r>
    </w:p>
    <w:p>
      <w:pPr>
        <w:pStyle w:val="Bodytext10"/>
        <w:keepNext w:val="0"/>
        <w:keepLines w:val="0"/>
        <w:widowControl w:val="0"/>
        <w:shd w:val="clear" w:color="auto" w:fill="auto"/>
        <w:bidi w:val="0"/>
        <w:spacing w:before="0" w:after="0" w:line="437" w:lineRule="exact"/>
        <w:ind w:left="0" w:right="0" w:firstLine="440"/>
        <w:jc w:val="left"/>
      </w:pPr>
      <w:r>
        <w:rPr>
          <w:color w:val="000000"/>
          <w:spacing w:val="0"/>
          <w:w w:val="100"/>
          <w:position w:val="0"/>
        </w:rPr>
        <w:t>根据地区河流特征、可用数据质量和数量及对待分析指标时间多变性的估计来确定最佳的采样频率, 若条件限制采样频率和/或分析指标数，则应考虑保持更长的监测时段。</w:t>
      </w:r>
    </w:p>
    <w:p>
      <w:pPr>
        <w:pStyle w:val="Bodytext10"/>
        <w:keepNext w:val="0"/>
        <w:keepLines w:val="0"/>
        <w:widowControl w:val="0"/>
        <w:shd w:val="clear" w:color="auto" w:fill="auto"/>
        <w:bidi w:val="0"/>
        <w:spacing w:before="0" w:after="120" w:line="439"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3</w:t>
      </w:r>
      <w:r>
        <w:rPr>
          <w:b/>
          <w:bCs/>
          <w:color w:val="000000"/>
          <w:spacing w:val="0"/>
          <w:w w:val="100"/>
          <w:position w:val="0"/>
        </w:rPr>
        <w:t>采样方法要求</w:t>
      </w:r>
    </w:p>
    <w:p>
      <w:pPr>
        <w:pStyle w:val="Bodytext10"/>
        <w:keepNext w:val="0"/>
        <w:keepLines w:val="0"/>
        <w:widowControl w:val="0"/>
        <w:shd w:val="clear" w:color="auto" w:fill="auto"/>
        <w:bidi w:val="0"/>
        <w:spacing w:before="0" w:after="0" w:line="437" w:lineRule="exact"/>
        <w:ind w:left="0" w:right="0" w:firstLine="440"/>
        <w:jc w:val="both"/>
      </w:pPr>
      <w:r>
        <w:rPr>
          <w:color w:val="000000"/>
          <w:spacing w:val="0"/>
          <w:w w:val="100"/>
          <w:position w:val="0"/>
        </w:rPr>
        <w:t>水质采样按</w:t>
      </w:r>
      <w:r>
        <w:rPr>
          <w:rFonts w:ascii="Times New Roman" w:eastAsia="Times New Roman" w:hAnsi="Times New Roman" w:cs="Times New Roman"/>
          <w:color w:val="000000"/>
          <w:spacing w:val="0"/>
          <w:w w:val="100"/>
          <w:position w:val="0"/>
          <w:lang w:val="en-US" w:eastAsia="en-US" w:bidi="en-US"/>
        </w:rPr>
        <w:t>HJ494</w:t>
      </w:r>
      <w:r>
        <w:rPr>
          <w:color w:val="25292E"/>
          <w:spacing w:val="0"/>
          <w:w w:val="100"/>
          <w:position w:val="0"/>
        </w:rPr>
        <w:t>和《水和废水监</w:t>
      </w:r>
      <w:r>
        <w:rPr>
          <w:color w:val="000000"/>
          <w:spacing w:val="0"/>
          <w:w w:val="100"/>
          <w:position w:val="0"/>
        </w:rPr>
        <w:t>测分析方法》执行。河流底栖大型无脊椎动物、鱼类及着生硅 藻调查方法分别采用</w:t>
      </w: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000000"/>
          <w:spacing w:val="0"/>
          <w:w w:val="100"/>
          <w:position w:val="0"/>
        </w:rPr>
        <w:t>710.8</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HJ </w:t>
      </w:r>
      <w:r>
        <w:rPr>
          <w:rFonts w:ascii="Times New Roman" w:eastAsia="Times New Roman" w:hAnsi="Times New Roman" w:cs="Times New Roman"/>
          <w:color w:val="25292E"/>
          <w:spacing w:val="0"/>
          <w:w w:val="100"/>
          <w:position w:val="0"/>
          <w:lang w:val="en-US" w:eastAsia="en-US" w:bidi="en-US"/>
        </w:rPr>
        <w:t>710.7</w:t>
      </w:r>
      <w:r>
        <w:rPr>
          <w:color w:val="25292E"/>
          <w:spacing w:val="0"/>
          <w:w w:val="100"/>
          <w:position w:val="0"/>
        </w:rPr>
        <w:t>和《河</w:t>
      </w:r>
      <w:r>
        <w:rPr>
          <w:color w:val="000000"/>
          <w:spacing w:val="0"/>
          <w:w w:val="100"/>
          <w:position w:val="0"/>
        </w:rPr>
        <w:t>流生态调查技术方法》，水生态调查记录表见附录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F </w:t>
      </w:r>
      <w:r>
        <w:rPr>
          <w:color w:val="000000"/>
          <w:spacing w:val="0"/>
          <w:w w:val="100"/>
          <w:position w:val="0"/>
        </w:rPr>
        <w:t xml:space="preserve">和 </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20" w:line="439"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4</w:t>
      </w:r>
      <w:r>
        <w:rPr>
          <w:b/>
          <w:bCs/>
          <w:color w:val="000000"/>
          <w:spacing w:val="0"/>
          <w:w w:val="100"/>
          <w:position w:val="0"/>
        </w:rPr>
        <w:t>数据质量要求</w:t>
      </w:r>
    </w:p>
    <w:p>
      <w:pPr>
        <w:pStyle w:val="Bodytext10"/>
        <w:keepNext w:val="0"/>
        <w:keepLines w:val="0"/>
        <w:widowControl w:val="0"/>
        <w:shd w:val="clear" w:color="auto" w:fill="auto"/>
        <w:bidi w:val="0"/>
        <w:spacing w:before="0" w:after="120" w:line="439" w:lineRule="exact"/>
        <w:ind w:left="0" w:right="0" w:firstLine="440"/>
        <w:jc w:val="both"/>
      </w:pPr>
      <w:bookmarkStart w:id="38" w:name="bookmark38"/>
      <w:r>
        <w:rPr>
          <w:color w:val="000000"/>
          <w:spacing w:val="0"/>
          <w:w w:val="100"/>
          <w:position w:val="0"/>
        </w:rPr>
        <w:t>样品采集、运输、保存和分析等过程应采用国家统一</w:t>
      </w:r>
      <w:r>
        <w:rPr>
          <w:color w:val="25292E"/>
          <w:spacing w:val="0"/>
          <w:w w:val="100"/>
          <w:position w:val="0"/>
        </w:rPr>
        <w:t>的标准方法且具有一</w:t>
      </w:r>
      <w:r>
        <w:rPr>
          <w:color w:val="000000"/>
          <w:spacing w:val="0"/>
          <w:w w:val="100"/>
          <w:position w:val="0"/>
        </w:rPr>
        <w:t>致性，没有国家标准方法 的应采用行业内公认的广泛使用的方法；若使用不同方法获得的某一变</w:t>
      </w:r>
      <w:r>
        <w:rPr>
          <w:color w:val="25292E"/>
          <w:spacing w:val="0"/>
          <w:w w:val="100"/>
          <w:position w:val="0"/>
        </w:rPr>
        <w:t>量指标数据，</w:t>
      </w:r>
      <w:r>
        <w:rPr>
          <w:color w:val="000000"/>
          <w:spacing w:val="0"/>
          <w:w w:val="100"/>
          <w:position w:val="0"/>
        </w:rPr>
        <w:t>应保证不同方法获 得的数据具有可比性。</w:t>
      </w:r>
      <w:bookmarkEnd w:id="38"/>
    </w:p>
    <w:p>
      <w:pPr>
        <w:pStyle w:val="Heading410"/>
        <w:keepNext/>
        <w:keepLines/>
        <w:widowControl w:val="0"/>
        <w:shd w:val="clear" w:color="auto" w:fill="auto"/>
        <w:bidi w:val="0"/>
        <w:spacing w:before="0" w:after="0" w:line="439" w:lineRule="exact"/>
        <w:ind w:left="0" w:right="0" w:firstLine="0"/>
        <w:jc w:val="left"/>
      </w:pPr>
      <w:bookmarkStart w:id="39" w:name="bookmark39"/>
      <w:bookmarkStart w:id="40" w:name="bookmark40"/>
      <w:bookmarkStart w:id="41" w:name="bookmark41"/>
      <w:r>
        <w:rPr>
          <w:rFonts w:ascii="Times New Roman" w:eastAsia="Times New Roman" w:hAnsi="Times New Roman" w:cs="Times New Roman"/>
          <w:b w:val="0"/>
          <w:bCs w:val="0"/>
          <w:color w:val="000000"/>
          <w:spacing w:val="0"/>
          <w:w w:val="100"/>
          <w:position w:val="0"/>
        </w:rPr>
        <w:t>7</w:t>
      </w:r>
      <w:r>
        <w:rPr>
          <w:color w:val="000000"/>
          <w:spacing w:val="0"/>
          <w:w w:val="100"/>
          <w:position w:val="0"/>
        </w:rPr>
        <w:t>基准推导方法</w:t>
      </w:r>
      <w:bookmarkEnd w:id="39"/>
      <w:bookmarkEnd w:id="40"/>
      <w:bookmarkEnd w:id="41"/>
    </w:p>
    <w:p>
      <w:pPr>
        <w:pStyle w:val="Bodytext10"/>
        <w:keepNext w:val="0"/>
        <w:keepLines w:val="0"/>
        <w:widowControl w:val="0"/>
        <w:shd w:val="clear" w:color="auto" w:fill="auto"/>
        <w:bidi w:val="0"/>
        <w:spacing w:before="0" w:after="120" w:line="439" w:lineRule="exact"/>
        <w:ind w:left="0" w:right="0" w:firstLine="420"/>
        <w:jc w:val="left"/>
      </w:pPr>
      <w:r>
        <w:rPr>
          <w:color w:val="000000"/>
          <w:spacing w:val="0"/>
          <w:w w:val="100"/>
          <w:position w:val="0"/>
        </w:rPr>
        <w:t>主要分为化学方法、生物学方法和公开资料法三大类方法，方法与适用条件详见表</w:t>
      </w:r>
      <w:r>
        <w:rPr>
          <w:rFonts w:ascii="Times New Roman" w:eastAsia="Times New Roman" w:hAnsi="Times New Roman" w:cs="Times New Roman"/>
          <w:color w:val="000000"/>
          <w:spacing w:val="0"/>
          <w:w w:val="100"/>
          <w:position w:val="0"/>
        </w:rPr>
        <w:t>1</w:t>
      </w:r>
      <w:r>
        <w:rPr>
          <w:color w:val="000000"/>
          <w:spacing w:val="0"/>
          <w:w w:val="100"/>
          <w:position w:val="0"/>
        </w:rPr>
        <w:t>。</w:t>
      </w:r>
    </w:p>
    <w:p>
      <w:pPr>
        <w:pStyle w:val="Tablecaption10"/>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表</w:t>
      </w:r>
      <w:r>
        <w:rPr>
          <w:rFonts w:ascii="Times New Roman" w:eastAsia="Times New Roman" w:hAnsi="Times New Roman" w:cs="Times New Roman"/>
          <w:color w:val="000000"/>
          <w:spacing w:val="0"/>
          <w:w w:val="100"/>
          <w:position w:val="0"/>
          <w:sz w:val="20"/>
          <w:szCs w:val="20"/>
          <w:lang w:val="zh-CN" w:eastAsia="zh-CN" w:bidi="zh-CN"/>
        </w:rPr>
        <w:t>1</w:t>
      </w:r>
      <w:r>
        <w:rPr>
          <w:b/>
          <w:bCs/>
          <w:color w:val="000000"/>
          <w:spacing w:val="0"/>
          <w:w w:val="100"/>
          <w:position w:val="0"/>
          <w:sz w:val="20"/>
          <w:szCs w:val="20"/>
        </w:rPr>
        <w:t>河流营养物基准主要推导方法</w:t>
      </w:r>
    </w:p>
    <w:tbl>
      <w:tblPr>
        <w:tblStyle w:val="TableNormal"/>
        <w:tblOverlap w:val="never"/>
        <w:jc w:val="center"/>
        <w:tblLayout w:type="fixed"/>
        <w:tblCellMar>
          <w:top w:w="0" w:type="dxa"/>
          <w:left w:w="10" w:type="dxa"/>
          <w:bottom w:w="0" w:type="dxa"/>
          <w:right w:w="10" w:type="dxa"/>
        </w:tblCellMar>
      </w:tblPr>
      <w:tblGrid>
        <w:gridCol w:w="1339"/>
        <w:gridCol w:w="2227"/>
        <w:gridCol w:w="5774"/>
      </w:tblGrid>
      <w:tr>
        <w:tblPrEx>
          <w:jc w:val="center"/>
          <w:tblLayout w:type="fixed"/>
          <w:tblCellMar>
            <w:top w:w="0" w:type="dxa"/>
            <w:left w:w="10" w:type="dxa"/>
            <w:bottom w:w="0" w:type="dxa"/>
            <w:right w:w="10" w:type="dxa"/>
          </w:tblCellMar>
        </w:tblPrEx>
        <w:trPr>
          <w:trHeight w:hRule="exact" w:val="360"/>
          <w:jc w:val="center"/>
        </w:trPr>
        <w:tc>
          <w:tcPr>
            <w:tcW w:w="133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分类</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主要方法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适用条件</w:t>
            </w:r>
          </w:p>
        </w:tc>
      </w:tr>
      <w:tr>
        <w:tblPrEx>
          <w:jc w:val="center"/>
          <w:tblLayout w:type="fixed"/>
          <w:tblCellMar>
            <w:top w:w="0" w:type="dxa"/>
            <w:left w:w="10" w:type="dxa"/>
            <w:bottom w:w="0" w:type="dxa"/>
            <w:right w:w="10" w:type="dxa"/>
          </w:tblCellMar>
        </w:tblPrEx>
        <w:trPr>
          <w:trHeight w:hRule="exact" w:val="331"/>
          <w:jc w:val="center"/>
        </w:trPr>
        <w:tc>
          <w:tcPr>
            <w:tcW w:w="1339"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化学方法</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参照河段专业判断法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该方法在区域内特定河流类别有参照河段时采用。</w:t>
            </w:r>
          </w:p>
        </w:tc>
      </w:tr>
      <w:tr>
        <w:tblPrEx>
          <w:jc w:val="center"/>
          <w:tblLayout w:type="fixed"/>
          <w:tblCellMar>
            <w:top w:w="0" w:type="dxa"/>
            <w:left w:w="10" w:type="dxa"/>
            <w:bottom w:w="0" w:type="dxa"/>
            <w:right w:w="10" w:type="dxa"/>
          </w:tblCellMar>
        </w:tblPrEx>
        <w:trPr>
          <w:trHeight w:hRule="exact" w:val="322"/>
          <w:jc w:val="center"/>
        </w:trPr>
        <w:tc>
          <w:tcPr>
            <w:tcW w:w="1339" w:type="dxa"/>
            <w:vMerge/>
            <w:tcBorders>
              <w:left w:val="single" w:sz="4" w:space="0" w:color="auto"/>
            </w:tcBorders>
            <w:shd w:val="clear" w:color="auto" w:fill="FFFFFF"/>
            <w:vAlign w:val="center"/>
          </w:tcP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参照河段频率分布法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该方法优先考虑，适用条件同上。</w:t>
            </w:r>
          </w:p>
        </w:tc>
      </w:tr>
      <w:tr>
        <w:tblPrEx>
          <w:jc w:val="center"/>
          <w:tblLayout w:type="fixed"/>
          <w:tblCellMar>
            <w:top w:w="0" w:type="dxa"/>
            <w:left w:w="10" w:type="dxa"/>
            <w:bottom w:w="0" w:type="dxa"/>
            <w:right w:w="10" w:type="dxa"/>
          </w:tblCellMar>
        </w:tblPrEx>
        <w:trPr>
          <w:trHeight w:hRule="exact" w:val="322"/>
          <w:jc w:val="center"/>
        </w:trPr>
        <w:tc>
          <w:tcPr>
            <w:tcW w:w="1339" w:type="dxa"/>
            <w:vMerge/>
            <w:tcBorders>
              <w:left w:val="single" w:sz="4" w:space="0" w:color="auto"/>
            </w:tcBorders>
            <w:shd w:val="clear" w:color="auto" w:fill="FFFFFF"/>
            <w:vAlign w:val="center"/>
          </w:tcP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河流群体分布二分法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特别是在区域特定类别河流缺少参照河段时采用。</w:t>
            </w:r>
          </w:p>
        </w:tc>
      </w:tr>
      <w:tr>
        <w:tblPrEx>
          <w:jc w:val="center"/>
          <w:tblLayout w:type="fixed"/>
          <w:tblCellMar>
            <w:top w:w="0" w:type="dxa"/>
            <w:left w:w="10" w:type="dxa"/>
            <w:bottom w:w="0" w:type="dxa"/>
            <w:right w:w="10" w:type="dxa"/>
          </w:tblCellMar>
        </w:tblPrEx>
        <w:trPr>
          <w:trHeight w:hRule="exact" w:val="480"/>
          <w:jc w:val="center"/>
        </w:trPr>
        <w:tc>
          <w:tcPr>
            <w:tcW w:w="1339" w:type="dxa"/>
            <w:vMerge/>
            <w:tcBorders>
              <w:left w:val="single" w:sz="4" w:space="0" w:color="auto"/>
            </w:tcBorders>
            <w:shd w:val="clear" w:color="auto" w:fill="FFFFFF"/>
            <w:vAlign w:val="center"/>
          </w:tcP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河流群体分布三分法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在基准制定方面希望拥有更大的灵活性时采用。</w:t>
            </w:r>
          </w:p>
        </w:tc>
      </w:tr>
      <w:tr>
        <w:tblPrEx>
          <w:jc w:val="center"/>
          <w:tblLayout w:type="fixed"/>
          <w:tblCellMar>
            <w:top w:w="0" w:type="dxa"/>
            <w:left w:w="10" w:type="dxa"/>
            <w:bottom w:w="0" w:type="dxa"/>
            <w:right w:w="10" w:type="dxa"/>
          </w:tblCellMar>
        </w:tblPrEx>
        <w:trPr>
          <w:trHeight w:hRule="exact" w:val="322"/>
          <w:jc w:val="center"/>
        </w:trPr>
        <w:tc>
          <w:tcPr>
            <w:tcW w:w="1339" w:type="dxa"/>
            <w:vMerge/>
            <w:tcBorders>
              <w:left w:val="single" w:sz="4" w:space="0" w:color="auto"/>
            </w:tcBorders>
            <w:shd w:val="clear" w:color="auto" w:fill="FFFFFF"/>
            <w:vAlign w:val="center"/>
          </w:tcP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7"/>
                <w:szCs w:val="17"/>
                <w:lang w:val="en-US" w:eastAsia="en-US" w:bidi="en-US"/>
              </w:rPr>
              <w:t>Y</w:t>
            </w:r>
            <w:r>
              <w:rPr>
                <w:color w:val="000000"/>
                <w:spacing w:val="0"/>
                <w:w w:val="100"/>
                <w:position w:val="0"/>
                <w:sz w:val="18"/>
                <w:szCs w:val="18"/>
              </w:rPr>
              <w:t>截距法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特别是在区域特定类别河流缺少参照河段时采用。</w:t>
            </w:r>
          </w:p>
        </w:tc>
      </w:tr>
      <w:tr>
        <w:tblPrEx>
          <w:jc w:val="center"/>
          <w:tblLayout w:type="fixed"/>
          <w:tblCellMar>
            <w:top w:w="0" w:type="dxa"/>
            <w:left w:w="10" w:type="dxa"/>
            <w:bottom w:w="0" w:type="dxa"/>
            <w:right w:w="10" w:type="dxa"/>
          </w:tblCellMar>
        </w:tblPrEx>
        <w:trPr>
          <w:trHeight w:hRule="exact" w:val="634"/>
          <w:jc w:val="center"/>
        </w:trPr>
        <w:tc>
          <w:tcPr>
            <w:tcW w:w="133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20"/>
              <w:jc w:val="left"/>
              <w:rPr>
                <w:sz w:val="18"/>
                <w:szCs w:val="18"/>
              </w:rPr>
            </w:pPr>
            <w:r>
              <w:rPr>
                <w:color w:val="000000"/>
                <w:spacing w:val="0"/>
                <w:w w:val="100"/>
                <w:position w:val="0"/>
                <w:sz w:val="18"/>
                <w:szCs w:val="18"/>
              </w:rPr>
              <w:t>生物学方法</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线性回归分析法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317" w:lineRule="exact"/>
              <w:ind w:left="0" w:right="0" w:firstLine="0"/>
              <w:jc w:val="left"/>
              <w:rPr>
                <w:sz w:val="18"/>
                <w:szCs w:val="18"/>
              </w:rPr>
            </w:pPr>
            <w:r>
              <w:rPr>
                <w:color w:val="000000"/>
                <w:spacing w:val="0"/>
                <w:w w:val="100"/>
                <w:position w:val="0"/>
                <w:sz w:val="18"/>
                <w:szCs w:val="18"/>
              </w:rPr>
              <w:t>响应变量有限值和响应变量与营养物浓度之间的关系可用线性关系描 述时使用。</w:t>
            </w:r>
          </w:p>
        </w:tc>
      </w:tr>
    </w:tbl>
    <w:p>
      <w:pPr>
        <w:sectPr>
          <w:footerReference w:type="even" r:id="rId39"/>
          <w:footerReference w:type="default" r:id="rId40"/>
          <w:footerReference w:type="first" r:id="rId41"/>
          <w:type w:val="nextPage"/>
          <w:pgSz w:w="11900" w:h="16840"/>
          <w:pgMar w:top="1375" w:right="1035" w:bottom="1274" w:left="1357" w:header="0" w:footer="3" w:gutter="0"/>
          <w:pgNumType w:start="8"/>
          <w:cols w:space="720"/>
          <w:noEndnote/>
          <w:titlePg w:val="0"/>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1339"/>
        <w:gridCol w:w="2227"/>
        <w:gridCol w:w="5774"/>
      </w:tblGrid>
      <w:tr>
        <w:tblPrEx>
          <w:jc w:val="center"/>
          <w:tblLayout w:type="fixed"/>
          <w:tblCellMar>
            <w:top w:w="0" w:type="dxa"/>
            <w:left w:w="10" w:type="dxa"/>
            <w:bottom w:w="0" w:type="dxa"/>
            <w:right w:w="10" w:type="dxa"/>
          </w:tblCellMar>
        </w:tblPrEx>
        <w:trPr>
          <w:trHeight w:hRule="exact" w:val="946"/>
          <w:jc w:val="center"/>
        </w:trPr>
        <w:tc>
          <w:tcPr>
            <w:tcW w:w="1339" w:type="dxa"/>
            <w:vMerge w:val="restart"/>
            <w:tcBorders>
              <w:left w:val="single" w:sz="4" w:space="0" w:color="auto"/>
            </w:tcBorders>
            <w:shd w:val="clear" w:color="auto" w:fill="FFFFFF"/>
            <w:vAlign w:val="center"/>
          </w:tcP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分类回归树模型法</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tabs>
                <w:tab w:val="left" w:pos="4800"/>
              </w:tabs>
              <w:bidi w:val="0"/>
              <w:spacing w:before="0" w:after="120" w:line="302" w:lineRule="exact"/>
              <w:ind w:left="0" w:right="0" w:firstLine="0"/>
              <w:jc w:val="left"/>
              <w:rPr>
                <w:sz w:val="17"/>
                <w:szCs w:val="17"/>
              </w:rPr>
            </w:pPr>
            <w:r>
              <w:rPr>
                <w:color w:val="000000"/>
                <w:spacing w:val="0"/>
                <w:w w:val="100"/>
                <w:position w:val="0"/>
                <w:sz w:val="18"/>
                <w:szCs w:val="18"/>
              </w:rPr>
              <w:t>响应变量（例如河流底栖大型无脊椎动物等水生生物群落特征指数）没 有限值且响应变量指标与营养物指标显著相关时</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P &lt;0.01;</w:t>
              <w:tab/>
              <w:t xml:space="preserve">0.41 </w:t>
            </w:r>
            <w:r>
              <w:rPr>
                <w:rFonts w:ascii="Times New Roman" w:eastAsia="Times New Roman" w:hAnsi="Times New Roman" w:cs="Times New Roman"/>
                <w:color w:val="000000"/>
                <w:spacing w:val="0"/>
                <w:w w:val="100"/>
                <w:position w:val="0"/>
                <w:sz w:val="17"/>
                <w:szCs w:val="17"/>
              </w:rPr>
              <w:t xml:space="preserve">&lt; </w:t>
            </w:r>
            <w:r>
              <w:rPr>
                <w:rFonts w:ascii="Times New Roman" w:eastAsia="Times New Roman" w:hAnsi="Times New Roman" w:cs="Times New Roman"/>
                <w:color w:val="000000"/>
                <w:spacing w:val="0"/>
                <w:w w:val="100"/>
                <w:position w:val="0"/>
                <w:sz w:val="17"/>
                <w:szCs w:val="17"/>
                <w:lang w:val="en-US" w:eastAsia="en-US" w:bidi="en-US"/>
              </w:rPr>
              <w:t>r</w:t>
            </w:r>
          </w:p>
          <w:p>
            <w:pPr>
              <w:pStyle w:val="Other10"/>
              <w:keepNext w:val="0"/>
              <w:keepLines w:val="0"/>
              <w:widowControl w:val="0"/>
              <w:shd w:val="clear" w:color="auto" w:fill="auto"/>
              <w:bidi w:val="0"/>
              <w:spacing w:before="0" w:after="0" w:line="372" w:lineRule="auto"/>
              <w:ind w:left="0" w:right="0" w:firstLine="0"/>
              <w:jc w:val="left"/>
              <w:rPr>
                <w:sz w:val="18"/>
                <w:szCs w:val="18"/>
              </w:rPr>
            </w:pPr>
            <w:r>
              <w:rPr>
                <w:rFonts w:ascii="Times New Roman" w:eastAsia="Times New Roman" w:hAnsi="Times New Roman" w:cs="Times New Roman"/>
                <w:color w:val="000000"/>
                <w:spacing w:val="0"/>
                <w:w w:val="100"/>
                <w:position w:val="0"/>
                <w:sz w:val="17"/>
                <w:szCs w:val="17"/>
                <w:lang w:val="en-US" w:eastAsia="en-US" w:bidi="en-US"/>
              </w:rPr>
              <w:t xml:space="preserve">&lt;0. </w:t>
            </w:r>
            <w:r>
              <w:rPr>
                <w:rFonts w:ascii="Times New Roman" w:eastAsia="Times New Roman" w:hAnsi="Times New Roman" w:cs="Times New Roman"/>
                <w:color w:val="000000"/>
                <w:spacing w:val="0"/>
                <w:w w:val="100"/>
                <w:position w:val="0"/>
                <w:sz w:val="17"/>
                <w:szCs w:val="17"/>
              </w:rPr>
              <w:t>66）</w:t>
            </w:r>
            <w:r>
              <w:rPr>
                <w:color w:val="000000"/>
                <w:spacing w:val="0"/>
                <w:w w:val="100"/>
                <w:position w:val="0"/>
                <w:sz w:val="18"/>
                <w:szCs w:val="18"/>
              </w:rPr>
              <w:t>采用</w:t>
            </w:r>
          </w:p>
        </w:tc>
      </w:tr>
      <w:tr>
        <w:tblPrEx>
          <w:jc w:val="center"/>
          <w:tblLayout w:type="fixed"/>
          <w:tblCellMar>
            <w:top w:w="0" w:type="dxa"/>
            <w:left w:w="10" w:type="dxa"/>
            <w:bottom w:w="0" w:type="dxa"/>
            <w:right w:w="10" w:type="dxa"/>
          </w:tblCellMar>
        </w:tblPrEx>
        <w:trPr>
          <w:trHeight w:hRule="exact" w:val="634"/>
          <w:jc w:val="center"/>
        </w:trPr>
        <w:tc>
          <w:tcPr>
            <w:tcW w:w="1339"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20"/>
              <w:jc w:val="left"/>
              <w:rPr>
                <w:sz w:val="18"/>
                <w:szCs w:val="18"/>
              </w:rPr>
            </w:pPr>
            <w:r>
              <w:rPr>
                <w:color w:val="000000"/>
                <w:spacing w:val="0"/>
                <w:w w:val="100"/>
                <w:position w:val="0"/>
                <w:sz w:val="18"/>
                <w:szCs w:val="18"/>
              </w:rPr>
              <w:t>公开资料法</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317" w:lineRule="exact"/>
              <w:ind w:left="0" w:right="0" w:firstLine="0"/>
              <w:jc w:val="left"/>
              <w:rPr>
                <w:sz w:val="18"/>
                <w:szCs w:val="18"/>
              </w:rPr>
            </w:pPr>
            <w:r>
              <w:rPr>
                <w:color w:val="000000"/>
                <w:spacing w:val="0"/>
                <w:w w:val="100"/>
                <w:position w:val="0"/>
                <w:sz w:val="18"/>
                <w:szCs w:val="18"/>
              </w:rPr>
              <w:t>应用已发表文献估算特征 区域河流营养物阈值</w:t>
            </w:r>
          </w:p>
        </w:tc>
        <w:tc>
          <w:tcPr>
            <w:tcW w:w="57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317" w:lineRule="exact"/>
              <w:ind w:left="0" w:right="0" w:firstLine="0"/>
              <w:jc w:val="left"/>
              <w:rPr>
                <w:sz w:val="18"/>
                <w:szCs w:val="18"/>
              </w:rPr>
            </w:pPr>
            <w:r>
              <w:rPr>
                <w:color w:val="000000"/>
                <w:spacing w:val="0"/>
                <w:w w:val="100"/>
                <w:position w:val="0"/>
                <w:sz w:val="18"/>
                <w:szCs w:val="18"/>
              </w:rPr>
              <w:t>在难以确定区域河流参照河段或作为参照河段充分描述前的临时措施 时采用</w:t>
            </w:r>
          </w:p>
        </w:tc>
      </w:tr>
      <w:tr>
        <w:tblPrEx>
          <w:jc w:val="center"/>
          <w:tblLayout w:type="fixed"/>
          <w:tblCellMar>
            <w:top w:w="0" w:type="dxa"/>
            <w:left w:w="10" w:type="dxa"/>
            <w:bottom w:w="0" w:type="dxa"/>
            <w:right w:w="10" w:type="dxa"/>
          </w:tblCellMar>
        </w:tblPrEx>
        <w:trPr>
          <w:trHeight w:hRule="exact" w:val="365"/>
          <w:jc w:val="center"/>
        </w:trPr>
        <w:tc>
          <w:tcPr>
            <w:tcW w:w="1339" w:type="dxa"/>
            <w:vMerge/>
            <w:tcBorders>
              <w:left w:val="single" w:sz="4" w:space="0" w:color="auto"/>
              <w:bottom w:val="single" w:sz="4" w:space="0" w:color="auto"/>
            </w:tcBorders>
            <w:shd w:val="clear" w:color="auto" w:fill="FFFFFF"/>
            <w:vAlign w:val="center"/>
          </w:tcPr>
          <w:p/>
        </w:tc>
        <w:tc>
          <w:tcPr>
            <w:tcW w:w="222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历史数据法</w:t>
            </w:r>
          </w:p>
        </w:tc>
        <w:tc>
          <w:tcPr>
            <w:tcW w:w="5774"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在区域内有可靠的历史数据时采用。</w:t>
            </w:r>
          </w:p>
        </w:tc>
      </w:tr>
    </w:tbl>
    <w:p>
      <w:pPr>
        <w:pStyle w:val="Bodytext10"/>
        <w:keepNext w:val="0"/>
        <w:keepLines w:val="0"/>
        <w:widowControl w:val="0"/>
        <w:shd w:val="clear" w:color="auto" w:fill="auto"/>
        <w:bidi w:val="0"/>
        <w:spacing w:before="0" w:after="0" w:line="468" w:lineRule="exact"/>
        <w:ind w:left="0" w:right="0" w:firstLine="0"/>
        <w:jc w:val="left"/>
      </w:pPr>
      <w:r>
        <w:rPr>
          <w:rFonts w:ascii="Times New Roman" w:eastAsia="Times New Roman" w:hAnsi="Times New Roman" w:cs="Times New Roman"/>
          <w:color w:val="000000"/>
          <w:spacing w:val="0"/>
          <w:w w:val="100"/>
          <w:position w:val="0"/>
          <w:lang w:val="en-US" w:eastAsia="en-US" w:bidi="en-US"/>
        </w:rPr>
        <w:t>7.1</w:t>
      </w:r>
      <w:r>
        <w:rPr>
          <w:b/>
          <w:bCs/>
          <w:color w:val="000000"/>
          <w:spacing w:val="0"/>
          <w:w w:val="100"/>
          <w:position w:val="0"/>
        </w:rPr>
        <w:t>化学方法</w:t>
      </w:r>
    </w:p>
    <w:p>
      <w:pPr>
        <w:pStyle w:val="Bodytext10"/>
        <w:keepNext w:val="0"/>
        <w:keepLines w:val="0"/>
        <w:widowControl w:val="0"/>
        <w:shd w:val="clear" w:color="auto" w:fill="auto"/>
        <w:bidi w:val="0"/>
        <w:spacing w:before="0" w:after="60" w:line="468" w:lineRule="exact"/>
        <w:ind w:left="0" w:right="0" w:firstLine="0"/>
        <w:jc w:val="left"/>
      </w:pPr>
      <w:r>
        <w:rPr>
          <w:rFonts w:ascii="Times New Roman" w:eastAsia="Times New Roman" w:hAnsi="Times New Roman" w:cs="Times New Roman"/>
          <w:color w:val="000000"/>
          <w:spacing w:val="0"/>
          <w:w w:val="100"/>
          <w:position w:val="0"/>
          <w:lang w:val="en-US" w:eastAsia="en-US" w:bidi="en-US"/>
        </w:rPr>
        <w:t>7.1.1</w:t>
      </w:r>
      <w:r>
        <w:rPr>
          <w:b/>
          <w:bCs/>
          <w:color w:val="000000"/>
          <w:spacing w:val="0"/>
          <w:w w:val="100"/>
          <w:position w:val="0"/>
        </w:rPr>
        <w:t>参照河段专业判断法</w:t>
      </w:r>
    </w:p>
    <w:p>
      <w:pPr>
        <w:pStyle w:val="Bodytext10"/>
        <w:keepNext w:val="0"/>
        <w:keepLines w:val="0"/>
        <w:widowControl w:val="0"/>
        <w:shd w:val="clear" w:color="auto" w:fill="auto"/>
        <w:bidi w:val="0"/>
        <w:spacing w:before="0" w:after="0" w:line="468" w:lineRule="exact"/>
        <w:ind w:left="0" w:right="0" w:firstLine="440"/>
        <w:jc w:val="both"/>
      </w:pPr>
      <w:r>
        <w:rPr>
          <w:color w:val="000000"/>
          <w:spacing w:val="0"/>
          <w:w w:val="100"/>
          <w:position w:val="0"/>
        </w:rPr>
        <w:t>应用专业判断筛选三条以上区域内各河流类别的参照河段，参照河段应具有反映河流参照状态的基 本变量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TN</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TP</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Chi a</w:t>
      </w:r>
      <w:r>
        <w:rPr>
          <w:color w:val="000000"/>
          <w:spacing w:val="0"/>
          <w:w w:val="100"/>
          <w:position w:val="0"/>
        </w:rPr>
        <w:t>和浊度）和受藻类影响的辅助性变量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DO</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pH</w:t>
      </w:r>
      <w:r>
        <w:rPr>
          <w:color w:val="000000"/>
          <w:spacing w:val="0"/>
          <w:w w:val="100"/>
          <w:position w:val="0"/>
        </w:rPr>
        <w:t>等）的特征描述为宜，基于 参照河段评估河流营养物的参照状态。对河段进行现场评估并采用标准化方法筛选区域参照河段，至少 应满足以下条件：</w:t>
      </w:r>
    </w:p>
    <w:p>
      <w:pPr>
        <w:pStyle w:val="Bodytext10"/>
        <w:keepNext w:val="0"/>
        <w:keepLines w:val="0"/>
        <w:widowControl w:val="0"/>
        <w:shd w:val="clear" w:color="auto" w:fill="auto"/>
        <w:tabs>
          <w:tab w:val="left" w:pos="1021"/>
        </w:tabs>
        <w:bidi w:val="0"/>
        <w:spacing w:before="0" w:after="0" w:line="468" w:lineRule="exact"/>
        <w:ind w:left="0" w:right="0" w:firstLine="540"/>
        <w:jc w:val="both"/>
      </w:pPr>
      <w:bookmarkStart w:id="42" w:name="bookmark42"/>
      <w:r>
        <w:rPr>
          <w:rFonts w:ascii="Times New Roman" w:eastAsia="Times New Roman" w:hAnsi="Times New Roman" w:cs="Times New Roman"/>
          <w:color w:val="000000"/>
          <w:spacing w:val="0"/>
          <w:w w:val="100"/>
          <w:position w:val="0"/>
        </w:rPr>
        <w:t>（</w:t>
      </w:r>
      <w:bookmarkEnd w:id="42"/>
      <w:r>
        <w:rPr>
          <w:rFonts w:ascii="Times New Roman" w:eastAsia="Times New Roman" w:hAnsi="Times New Roman" w:cs="Times New Roman"/>
          <w:color w:val="000000"/>
          <w:spacing w:val="0"/>
          <w:w w:val="100"/>
          <w:position w:val="0"/>
        </w:rPr>
        <w:t>1）</w:t>
        <w:tab/>
      </w:r>
      <w:r>
        <w:rPr>
          <w:color w:val="000000"/>
          <w:spacing w:val="0"/>
          <w:w w:val="100"/>
          <w:position w:val="0"/>
        </w:rPr>
        <w:t>参照河段栖息地质量综合评估指数</w:t>
      </w:r>
      <w:r>
        <w:rPr>
          <w:rFonts w:ascii="Times New Roman" w:eastAsia="Times New Roman" w:hAnsi="Times New Roman" w:cs="Times New Roman"/>
          <w:color w:val="000000"/>
          <w:spacing w:val="0"/>
          <w:w w:val="100"/>
          <w:position w:val="0"/>
        </w:rPr>
        <w:t>&gt;120</w:t>
      </w:r>
      <w:r>
        <w:rPr>
          <w:color w:val="000000"/>
          <w:spacing w:val="0"/>
          <w:w w:val="100"/>
          <w:position w:val="0"/>
        </w:rPr>
        <w:t>分，且栖息地质量评价中的人类干扰强度为最小，河 岸带土地利用无耕作</w:t>
      </w:r>
      <w:r>
        <w:rPr>
          <w:color w:val="575E67"/>
          <w:spacing w:val="0"/>
          <w:w w:val="100"/>
          <w:position w:val="0"/>
        </w:rPr>
        <w:t>土壤。</w:t>
      </w:r>
      <w:r>
        <w:rPr>
          <w:color w:val="000000"/>
          <w:spacing w:val="0"/>
          <w:w w:val="100"/>
          <w:position w:val="0"/>
        </w:rPr>
        <w:t>栖息地质量综合评估指数计算参照河流栖息地调查评价表（附录</w:t>
      </w:r>
      <w:r>
        <w:rPr>
          <w:rFonts w:ascii="Times New Roman" w:eastAsia="Times New Roman" w:hAnsi="Times New Roman" w:cs="Times New Roman"/>
          <w:color w:val="000000"/>
          <w:spacing w:val="0"/>
          <w:w w:val="100"/>
          <w:position w:val="0"/>
          <w:lang w:val="en-US" w:eastAsia="en-US" w:bidi="en-US"/>
        </w:rPr>
        <w:t>G）</w:t>
      </w:r>
      <w:r>
        <w:rPr>
          <w:rFonts w:ascii="Times New Roman" w:eastAsia="Times New Roman" w:hAnsi="Times New Roman" w:cs="Times New Roman"/>
          <w:color w:val="000000"/>
          <w:spacing w:val="0"/>
          <w:w w:val="100"/>
          <w:position w:val="0"/>
        </w:rPr>
        <w:t>,</w:t>
      </w:r>
      <w:r>
        <w:rPr>
          <w:color w:val="000000"/>
          <w:spacing w:val="0"/>
          <w:w w:val="100"/>
          <w:position w:val="0"/>
        </w:rPr>
        <w:t>根据 质量状况优劣程度将指</w:t>
      </w:r>
      <w:r>
        <w:rPr>
          <w:color w:val="25292E"/>
          <w:spacing w:val="0"/>
          <w:w w:val="100"/>
          <w:position w:val="0"/>
        </w:rPr>
        <w:t>标分成</w:t>
      </w:r>
      <w:r>
        <w:rPr>
          <w:rFonts w:ascii="Times New Roman" w:eastAsia="Times New Roman" w:hAnsi="Times New Roman" w:cs="Times New Roman"/>
          <w:color w:val="575E67"/>
          <w:spacing w:val="0"/>
          <w:w w:val="100"/>
          <w:position w:val="0"/>
        </w:rPr>
        <w:t>4</w:t>
      </w:r>
      <w:r>
        <w:rPr>
          <w:color w:val="25292E"/>
          <w:spacing w:val="0"/>
          <w:w w:val="100"/>
          <w:position w:val="0"/>
        </w:rPr>
        <w:t>个级别，</w:t>
      </w:r>
      <w:r>
        <w:rPr>
          <w:color w:val="000000"/>
          <w:spacing w:val="0"/>
          <w:w w:val="100"/>
          <w:position w:val="0"/>
        </w:rPr>
        <w:t>分值是通过目测评分的方法获取，每个指标</w:t>
      </w:r>
      <w:r>
        <w:rPr>
          <w:rFonts w:ascii="Times New Roman" w:eastAsia="Times New Roman" w:hAnsi="Times New Roman" w:cs="Times New Roman"/>
          <w:color w:val="000000"/>
          <w:spacing w:val="0"/>
          <w:w w:val="100"/>
          <w:position w:val="0"/>
        </w:rPr>
        <w:t>20</w:t>
      </w:r>
      <w:r>
        <w:rPr>
          <w:color w:val="000000"/>
          <w:spacing w:val="0"/>
          <w:w w:val="100"/>
          <w:position w:val="0"/>
        </w:rPr>
        <w:t>分，</w:t>
      </w:r>
      <w:r>
        <w:rPr>
          <w:rFonts w:ascii="Times New Roman" w:eastAsia="Times New Roman" w:hAnsi="Times New Roman" w:cs="Times New Roman"/>
          <w:color w:val="000000"/>
          <w:spacing w:val="0"/>
          <w:w w:val="100"/>
          <w:position w:val="0"/>
        </w:rPr>
        <w:t>4</w:t>
      </w:r>
      <w:r>
        <w:rPr>
          <w:color w:val="000000"/>
          <w:spacing w:val="0"/>
          <w:w w:val="100"/>
          <w:position w:val="0"/>
        </w:rPr>
        <w:t>个级别 的分值范围为：</w:t>
      </w:r>
      <w:r>
        <w:rPr>
          <w:rFonts w:ascii="Times New Roman" w:eastAsia="Times New Roman" w:hAnsi="Times New Roman" w:cs="Times New Roman"/>
          <w:color w:val="000000"/>
          <w:spacing w:val="0"/>
          <w:w w:val="100"/>
          <w:position w:val="0"/>
        </w:rPr>
        <w:t>20</w:t>
      </w:r>
      <w:r>
        <w:rPr>
          <w:color w:val="000000"/>
          <w:spacing w:val="0"/>
          <w:w w:val="100"/>
          <w:position w:val="0"/>
        </w:rPr>
        <w:t>〜</w:t>
      </w:r>
      <w:r>
        <w:rPr>
          <w:rFonts w:ascii="Times New Roman" w:eastAsia="Times New Roman" w:hAnsi="Times New Roman" w:cs="Times New Roman"/>
          <w:color w:val="000000"/>
          <w:spacing w:val="0"/>
          <w:w w:val="100"/>
          <w:position w:val="0"/>
        </w:rPr>
        <w:t xml:space="preserve">16 </w:t>
      </w:r>
      <w:r>
        <w:rPr>
          <w:color w:val="000000"/>
          <w:spacing w:val="0"/>
          <w:w w:val="100"/>
          <w:position w:val="0"/>
        </w:rPr>
        <w:t>（好）、</w:t>
      </w:r>
      <w:r>
        <w:rPr>
          <w:rFonts w:ascii="Times New Roman" w:eastAsia="Times New Roman" w:hAnsi="Times New Roman" w:cs="Times New Roman"/>
          <w:color w:val="000000"/>
          <w:spacing w:val="0"/>
          <w:w w:val="100"/>
          <w:position w:val="0"/>
          <w:lang w:val="en-US" w:eastAsia="en-US" w:bidi="en-US"/>
        </w:rPr>
        <w:t>U</w:t>
      </w:r>
      <w:r>
        <w:rPr>
          <w:color w:val="000000"/>
          <w:spacing w:val="0"/>
          <w:w w:val="100"/>
          <w:position w:val="0"/>
        </w:rPr>
        <w:t>〜</w:t>
      </w:r>
      <w:r>
        <w:rPr>
          <w:rFonts w:ascii="Times New Roman" w:eastAsia="Times New Roman" w:hAnsi="Times New Roman" w:cs="Times New Roman"/>
          <w:color w:val="575E67"/>
          <w:spacing w:val="0"/>
          <w:w w:val="100"/>
          <w:position w:val="0"/>
        </w:rPr>
        <w:t xml:space="preserve">11 </w:t>
      </w:r>
      <w:r>
        <w:rPr>
          <w:rFonts w:ascii="Times New Roman" w:eastAsia="Times New Roman" w:hAnsi="Times New Roman" w:cs="Times New Roman"/>
          <w:color w:val="000000"/>
          <w:spacing w:val="0"/>
          <w:w w:val="100"/>
          <w:position w:val="0"/>
        </w:rPr>
        <w:t>（</w:t>
      </w:r>
      <w:r>
        <w:rPr>
          <w:color w:val="575E67"/>
          <w:spacing w:val="0"/>
          <w:w w:val="100"/>
          <w:position w:val="0"/>
        </w:rPr>
        <w:t>為叡</w:t>
      </w:r>
      <w:r>
        <w:rPr>
          <w:color w:val="000000"/>
          <w:spacing w:val="0"/>
          <w:w w:val="100"/>
          <w:position w:val="0"/>
        </w:rPr>
        <w:t>、</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 xml:space="preserve">6 </w:t>
      </w:r>
      <w:r>
        <w:rPr>
          <w:color w:val="000000"/>
          <w:spacing w:val="0"/>
          <w:w w:val="100"/>
          <w:position w:val="0"/>
        </w:rPr>
        <w:t>（一般）、</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1 </w:t>
      </w:r>
      <w:r>
        <w:rPr>
          <w:color w:val="000000"/>
          <w:spacing w:val="0"/>
          <w:w w:val="100"/>
          <w:position w:val="0"/>
        </w:rPr>
        <w:t>（差）,采取累计求和的方式 计算栖息地综合指数，</w:t>
      </w:r>
      <w:r>
        <w:rPr>
          <w:rFonts w:ascii="Times New Roman" w:eastAsia="Times New Roman" w:hAnsi="Times New Roman" w:cs="Times New Roman"/>
          <w:color w:val="000000"/>
          <w:spacing w:val="0"/>
          <w:w w:val="100"/>
          <w:position w:val="0"/>
        </w:rPr>
        <w:t>10</w:t>
      </w:r>
      <w:r>
        <w:rPr>
          <w:color w:val="000000"/>
          <w:spacing w:val="0"/>
          <w:w w:val="100"/>
          <w:position w:val="0"/>
        </w:rPr>
        <w:t>项指标总和的</w:t>
      </w:r>
      <w:r>
        <w:rPr>
          <w:color w:val="25292E"/>
          <w:spacing w:val="0"/>
          <w:w w:val="100"/>
          <w:position w:val="0"/>
        </w:rPr>
        <w:t>满分为</w:t>
      </w:r>
      <w:r>
        <w:rPr>
          <w:rFonts w:ascii="Times New Roman" w:eastAsia="Times New Roman" w:hAnsi="Times New Roman" w:cs="Times New Roman"/>
          <w:color w:val="25292E"/>
          <w:spacing w:val="0"/>
          <w:w w:val="100"/>
          <w:position w:val="0"/>
        </w:rPr>
        <w:t>200</w:t>
      </w:r>
      <w:r>
        <w:rPr>
          <w:color w:val="575E67"/>
          <w:spacing w:val="0"/>
          <w:w w:val="100"/>
          <w:position w:val="0"/>
        </w:rPr>
        <w:t>分。</w:t>
      </w:r>
    </w:p>
    <w:p>
      <w:pPr>
        <w:pStyle w:val="Bodytext10"/>
        <w:keepNext w:val="0"/>
        <w:keepLines w:val="0"/>
        <w:widowControl w:val="0"/>
        <w:shd w:val="clear" w:color="auto" w:fill="auto"/>
        <w:tabs>
          <w:tab w:val="left" w:pos="1028"/>
        </w:tabs>
        <w:bidi w:val="0"/>
        <w:spacing w:before="0" w:after="0" w:line="468" w:lineRule="exact"/>
        <w:ind w:left="0" w:right="0" w:firstLine="540"/>
        <w:jc w:val="both"/>
      </w:pPr>
      <w:bookmarkStart w:id="43" w:name="bookmark43"/>
      <w:r>
        <w:rPr>
          <w:rFonts w:ascii="Times New Roman" w:eastAsia="Times New Roman" w:hAnsi="Times New Roman" w:cs="Times New Roman"/>
          <w:color w:val="000000"/>
          <w:spacing w:val="0"/>
          <w:w w:val="100"/>
          <w:position w:val="0"/>
        </w:rPr>
        <w:t>（</w:t>
      </w:r>
      <w:bookmarkEnd w:id="43"/>
      <w:r>
        <w:rPr>
          <w:rFonts w:ascii="Times New Roman" w:eastAsia="Times New Roman" w:hAnsi="Times New Roman" w:cs="Times New Roman"/>
          <w:color w:val="000000"/>
          <w:spacing w:val="0"/>
          <w:w w:val="100"/>
          <w:position w:val="0"/>
        </w:rPr>
        <w:t>2）</w:t>
        <w:tab/>
      </w:r>
      <w:r>
        <w:rPr>
          <w:color w:val="000000"/>
          <w:spacing w:val="0"/>
          <w:w w:val="100"/>
          <w:position w:val="0"/>
        </w:rPr>
        <w:t>上游基本无农作物和村庄，无林木采伐。</w:t>
      </w:r>
    </w:p>
    <w:p>
      <w:pPr>
        <w:pStyle w:val="Bodytext10"/>
        <w:keepNext w:val="0"/>
        <w:keepLines w:val="0"/>
        <w:widowControl w:val="0"/>
        <w:shd w:val="clear" w:color="auto" w:fill="auto"/>
        <w:tabs>
          <w:tab w:val="left" w:pos="1008"/>
        </w:tabs>
        <w:bidi w:val="0"/>
        <w:spacing w:before="0" w:after="0" w:line="468" w:lineRule="exact"/>
        <w:ind w:left="0" w:right="0" w:firstLine="520"/>
        <w:jc w:val="left"/>
      </w:pPr>
      <w:bookmarkStart w:id="44" w:name="bookmark44"/>
      <w:r>
        <w:rPr>
          <w:color w:val="000000"/>
          <w:spacing w:val="0"/>
          <w:w w:val="100"/>
          <w:position w:val="0"/>
        </w:rPr>
        <w:t>（</w:t>
      </w:r>
      <w:bookmarkEnd w:id="44"/>
      <w:r>
        <w:rPr>
          <w:rFonts w:ascii="Times New Roman" w:eastAsia="Times New Roman" w:hAnsi="Times New Roman" w:cs="Times New Roman"/>
          <w:color w:val="000000"/>
          <w:spacing w:val="0"/>
          <w:w w:val="100"/>
          <w:position w:val="0"/>
        </w:rPr>
        <w:t>3）</w:t>
        <w:tab/>
      </w:r>
      <w:r>
        <w:rPr>
          <w:color w:val="000000"/>
          <w:spacing w:val="0"/>
          <w:w w:val="100"/>
          <w:position w:val="0"/>
        </w:rPr>
        <w:t>样点周围人为干扰较少，流域内没有明显的点馅</w:t>
      </w:r>
      <w:r>
        <w:rPr>
          <w:color w:val="575E67"/>
          <w:spacing w:val="0"/>
          <w:w w:val="100"/>
          <w:position w:val="0"/>
        </w:rPr>
        <w:t>污染。</w:t>
      </w:r>
    </w:p>
    <w:p>
      <w:pPr>
        <w:pStyle w:val="Bodytext10"/>
        <w:keepNext w:val="0"/>
        <w:keepLines w:val="0"/>
        <w:widowControl w:val="0"/>
        <w:shd w:val="clear" w:color="auto" w:fill="auto"/>
        <w:bidi w:val="0"/>
        <w:spacing w:before="0" w:after="60" w:line="468" w:lineRule="exact"/>
        <w:ind w:left="0" w:right="0" w:firstLine="420"/>
        <w:jc w:val="left"/>
      </w:pPr>
      <w:r>
        <w:rPr>
          <w:color w:val="000000"/>
          <w:spacing w:val="0"/>
          <w:w w:val="100"/>
          <w:position w:val="0"/>
        </w:rPr>
        <w:t>该方法在区域内特定河流类别有参照河段时采用。</w:t>
      </w:r>
    </w:p>
    <w:p>
      <w:pPr>
        <w:pStyle w:val="Bodytext10"/>
        <w:keepNext w:val="0"/>
        <w:keepLines w:val="0"/>
        <w:widowControl w:val="0"/>
        <w:shd w:val="clear" w:color="auto" w:fill="auto"/>
        <w:bidi w:val="0"/>
        <w:spacing w:before="0" w:after="0" w:line="468"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w:t>
      </w:r>
      <w:r>
        <w:rPr>
          <w:rFonts w:ascii="Times New Roman" w:eastAsia="Times New Roman" w:hAnsi="Times New Roman" w:cs="Times New Roman"/>
          <w:color w:val="000000"/>
          <w:spacing w:val="0"/>
          <w:w w:val="100"/>
          <w:position w:val="0"/>
        </w:rPr>
        <w:t>1</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w:t>
      </w:r>
      <w:r>
        <w:rPr>
          <w:b/>
          <w:bCs/>
          <w:color w:val="000000"/>
          <w:spacing w:val="0"/>
          <w:w w:val="100"/>
          <w:position w:val="0"/>
        </w:rPr>
        <w:t>参照河段频率分布法</w:t>
      </w:r>
    </w:p>
    <w:p>
      <w:pPr>
        <w:pStyle w:val="Bodytext10"/>
        <w:keepNext w:val="0"/>
        <w:keepLines w:val="0"/>
        <w:widowControl w:val="0"/>
        <w:shd w:val="clear" w:color="auto" w:fill="auto"/>
        <w:bidi w:val="0"/>
        <w:spacing w:before="0" w:after="60" w:line="468" w:lineRule="exact"/>
        <w:ind w:left="0" w:right="0" w:firstLine="520"/>
        <w:jc w:val="both"/>
      </w:pPr>
      <w:r>
        <w:rPr>
          <w:color w:val="000000"/>
          <w:spacing w:val="0"/>
          <w:w w:val="100"/>
          <w:position w:val="0"/>
        </w:rPr>
        <w:t>（</w:t>
      </w:r>
      <w:r>
        <w:rPr>
          <w:rFonts w:ascii="Times New Roman" w:eastAsia="Times New Roman" w:hAnsi="Times New Roman" w:cs="Times New Roman"/>
          <w:color w:val="000000"/>
          <w:spacing w:val="0"/>
          <w:w w:val="100"/>
          <w:position w:val="0"/>
        </w:rPr>
        <w:t>1）</w:t>
      </w:r>
      <w:r>
        <w:rPr>
          <w:b/>
          <w:bCs/>
          <w:color w:val="000000"/>
          <w:spacing w:val="0"/>
          <w:w w:val="100"/>
          <w:position w:val="0"/>
        </w:rPr>
        <w:t>数据预处理</w:t>
      </w:r>
    </w:p>
    <w:p>
      <w:pPr>
        <w:pStyle w:val="Bodytext10"/>
        <w:keepNext w:val="0"/>
        <w:keepLines w:val="0"/>
        <w:widowControl w:val="0"/>
        <w:shd w:val="clear" w:color="auto" w:fill="auto"/>
        <w:bidi w:val="0"/>
        <w:spacing w:before="0" w:after="60" w:line="466" w:lineRule="exact"/>
        <w:ind w:left="0" w:right="0" w:firstLine="440"/>
        <w:jc w:val="both"/>
      </w:pPr>
      <w:r>
        <w:rPr>
          <w:color w:val="000000"/>
          <w:spacing w:val="0"/>
          <w:w w:val="100"/>
          <w:position w:val="0"/>
        </w:rPr>
        <w:t>参照河段选取方法同上，甄别选取的参照河段各指标数据的异常值和极端值，对各指标数据进行正 态分布检验，对不符合正态分布的指标数据进行对数转化，以提高数据的正态性。</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2" w:history="1">
        <w:r>
          <w:rPr>
            <w:rFonts w:ascii="SimSun" w:eastAsia="SimSun" w:hAnsi="SimSun" w:cs="SimSun"/>
            <w:b/>
            <w:bCs/>
            <w:color w:val="0000EE"/>
            <w:spacing w:val="0"/>
            <w:w w:val="100"/>
            <w:position w:val="0"/>
            <w:sz w:val="30"/>
            <w:szCs w:val="30"/>
            <w:u w:val="single" w:color="0000EE"/>
            <w:shd w:val="clear" w:color="auto" w:fill="auto"/>
          </w:rPr>
          <w:t>https://d.book118.com/798032040022006034</w:t>
        </w:r>
      </w:hyperlink>
    </w:p>
    <w:p>
      <w:pPr>
        <w:pStyle w:val="Bodytext10"/>
        <w:keepNext w:val="0"/>
        <w:keepLines w:val="0"/>
        <w:widowControl w:val="0"/>
        <w:shd w:val="clear" w:color="auto" w:fill="auto"/>
        <w:bidi w:val="0"/>
        <w:spacing w:before="0" w:after="60" w:line="466" w:lineRule="exact"/>
        <w:ind w:left="0" w:right="0" w:firstLine="440"/>
        <w:jc w:val="both"/>
      </w:pPr>
    </w:p>
    <w:sectPr>
      <w:footerReference w:type="even" r:id="rId43"/>
      <w:footerReference w:type="default" r:id="rId44"/>
      <w:footerReference w:type="first" r:id="rId45"/>
      <w:type w:val="nextPage"/>
      <w:pgSz w:w="11900" w:h="16840"/>
      <w:pgMar w:top="1375" w:right="1035" w:bottom="1274" w:left="1357" w:header="0" w:footer="3" w:gutter="0"/>
      <w:pgNumType w:start="9"/>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3846195</wp:posOffset>
              </wp:positionH>
              <wp:positionV relativeFrom="page">
                <wp:posOffset>9820910</wp:posOffset>
              </wp:positionV>
              <wp:extent cx="39370" cy="73025"/>
              <wp:wrapNone/>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2050" type="#_x0000_t202" style="width:3.1pt;height:5.75pt;margin-top:773.3pt;margin-left:302.8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3846195</wp:posOffset>
              </wp:positionH>
              <wp:positionV relativeFrom="page">
                <wp:posOffset>9820910</wp:posOffset>
              </wp:positionV>
              <wp:extent cx="39370" cy="73025"/>
              <wp:wrapNone/>
              <wp:docPr id="2" name="Shape 2"/>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 o:spid="_x0000_s2049" type="#_x0000_t202" style="width:3.1pt;height:5.75pt;margin-top:773.3pt;margin-left:302.8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3846195</wp:posOffset>
              </wp:positionH>
              <wp:positionV relativeFrom="page">
                <wp:posOffset>9820910</wp:posOffset>
              </wp:positionV>
              <wp:extent cx="39370" cy="73025"/>
              <wp:wrapNone/>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2" type="#_x0000_t202" style="width:3.1pt;height:5.75pt;margin-top:773.3pt;margin-left:302.8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3846195</wp:posOffset>
              </wp:positionH>
              <wp:positionV relativeFrom="page">
                <wp:posOffset>9820910</wp:posOffset>
              </wp:positionV>
              <wp:extent cx="39370" cy="73025"/>
              <wp:wrapNone/>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1" type="#_x0000_t202" style="width:3.1pt;height:5.75pt;margin-top:773.3pt;margin-left:302.8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3847465</wp:posOffset>
              </wp:positionH>
              <wp:positionV relativeFrom="page">
                <wp:posOffset>9933305</wp:posOffset>
              </wp:positionV>
              <wp:extent cx="42545" cy="6985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3" type="#_x0000_t202" style="width:3.35pt;height:5.5pt;margin-top:782.15pt;margin-left:302.9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3846195</wp:posOffset>
              </wp:positionH>
              <wp:positionV relativeFrom="page">
                <wp:posOffset>9820910</wp:posOffset>
              </wp:positionV>
              <wp:extent cx="39370" cy="73025"/>
              <wp:wrapNone/>
              <wp:docPr id="499347179"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5" type="#_x0000_t202" style="width:3.1pt;height:5.75pt;margin-top:773.3pt;margin-left:302.8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3846195</wp:posOffset>
              </wp:positionH>
              <wp:positionV relativeFrom="page">
                <wp:posOffset>9820910</wp:posOffset>
              </wp:positionV>
              <wp:extent cx="39370" cy="73025"/>
              <wp:wrapNone/>
              <wp:docPr id="277451567"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4" type="#_x0000_t202" style="width:3.1pt;height:5.75pt;margin-top:773.3pt;margin-left:302.8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3847465</wp:posOffset>
              </wp:positionH>
              <wp:positionV relativeFrom="page">
                <wp:posOffset>9933305</wp:posOffset>
              </wp:positionV>
              <wp:extent cx="42545" cy="69850"/>
              <wp:wrapNone/>
              <wp:docPr id="1897074403"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6" type="#_x0000_t202" style="width:3.35pt;height:5.5pt;margin-top:782.15pt;margin-left:302.9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3846195</wp:posOffset>
              </wp:positionH>
              <wp:positionV relativeFrom="page">
                <wp:posOffset>9820910</wp:posOffset>
              </wp:positionV>
              <wp:extent cx="39370" cy="73025"/>
              <wp:wrapNone/>
              <wp:docPr id="891010605"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8" type="#_x0000_t202" style="width:3.1pt;height:5.75pt;margin-top:773.3pt;margin-left:302.8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3846195</wp:posOffset>
              </wp:positionH>
              <wp:positionV relativeFrom="page">
                <wp:posOffset>9820910</wp:posOffset>
              </wp:positionV>
              <wp:extent cx="39370" cy="73025"/>
              <wp:wrapNone/>
              <wp:docPr id="1752463138"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7" type="#_x0000_t202" style="width:3.1pt;height:5.75pt;margin-top:773.3pt;margin-left:302.8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3847465</wp:posOffset>
              </wp:positionH>
              <wp:positionV relativeFrom="page">
                <wp:posOffset>9933305</wp:posOffset>
              </wp:positionV>
              <wp:extent cx="42545" cy="69850"/>
              <wp:wrapNone/>
              <wp:docPr id="105854829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9" type="#_x0000_t202" style="width:3.35pt;height:5.5pt;margin-top:782.15pt;margin-left:302.9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3846195</wp:posOffset>
              </wp:positionH>
              <wp:positionV relativeFrom="page">
                <wp:posOffset>9820910</wp:posOffset>
              </wp:positionV>
              <wp:extent cx="39370" cy="73025"/>
              <wp:wrapNone/>
              <wp:docPr id="1984576666"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61" type="#_x0000_t202" style="width:3.1pt;height:5.75pt;margin-top:773.3pt;margin-left:302.8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3846195</wp:posOffset>
              </wp:positionH>
              <wp:positionV relativeFrom="page">
                <wp:posOffset>9820910</wp:posOffset>
              </wp:positionV>
              <wp:extent cx="39370" cy="73025"/>
              <wp:wrapNone/>
              <wp:docPr id="143811530"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60" type="#_x0000_t202" style="width:3.1pt;height:5.75pt;margin-top:773.3pt;margin-left:302.8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3847465</wp:posOffset>
              </wp:positionH>
              <wp:positionV relativeFrom="page">
                <wp:posOffset>9933305</wp:posOffset>
              </wp:positionV>
              <wp:extent cx="42545" cy="69850"/>
              <wp:wrapNone/>
              <wp:docPr id="1384901267"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2" type="#_x0000_t202" style="width:3.35pt;height:5.5pt;margin-top:782.15pt;margin-left:302.9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3846195</wp:posOffset>
              </wp:positionH>
              <wp:positionV relativeFrom="page">
                <wp:posOffset>9820910</wp:posOffset>
              </wp:positionV>
              <wp:extent cx="39370" cy="73025"/>
              <wp:wrapNone/>
              <wp:docPr id="944549125"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64" type="#_x0000_t202" style="width:3.1pt;height:5.75pt;margin-top:773.3pt;margin-left:302.8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3846195</wp:posOffset>
              </wp:positionH>
              <wp:positionV relativeFrom="page">
                <wp:posOffset>9820910</wp:posOffset>
              </wp:positionV>
              <wp:extent cx="39370" cy="73025"/>
              <wp:wrapNone/>
              <wp:docPr id="671585343"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63" type="#_x0000_t202" style="width:3.1pt;height:5.75pt;margin-top:773.3pt;margin-left:302.8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3847465</wp:posOffset>
              </wp:positionH>
              <wp:positionV relativeFrom="page">
                <wp:posOffset>9933305</wp:posOffset>
              </wp:positionV>
              <wp:extent cx="42545" cy="69850"/>
              <wp:wrapNone/>
              <wp:docPr id="1254614194"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5" type="#_x0000_t202" style="width:3.35pt;height:5.5pt;margin-top:782.15pt;margin-left:302.9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3846195</wp:posOffset>
              </wp:positionH>
              <wp:positionV relativeFrom="page">
                <wp:posOffset>9820910</wp:posOffset>
              </wp:positionV>
              <wp:extent cx="39370" cy="73025"/>
              <wp:wrapNone/>
              <wp:docPr id="1886071261"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67" type="#_x0000_t202" style="width:3.1pt;height:5.75pt;margin-top:773.3pt;margin-left:302.8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3846195</wp:posOffset>
              </wp:positionH>
              <wp:positionV relativeFrom="page">
                <wp:posOffset>9820910</wp:posOffset>
              </wp:positionV>
              <wp:extent cx="39370" cy="73025"/>
              <wp:wrapNone/>
              <wp:docPr id="298879383"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66" type="#_x0000_t202" style="width:3.1pt;height:5.75pt;margin-top:773.3pt;margin-left:302.8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3847465</wp:posOffset>
              </wp:positionH>
              <wp:positionV relativeFrom="page">
                <wp:posOffset>9933305</wp:posOffset>
              </wp:positionV>
              <wp:extent cx="42545" cy="69850"/>
              <wp:wrapNone/>
              <wp:docPr id="2122275201"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8" type="#_x0000_t202" style="width:3.35pt;height:5.5pt;margin-top:782.15pt;margin-left:302.9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3846195</wp:posOffset>
              </wp:positionH>
              <wp:positionV relativeFrom="page">
                <wp:posOffset>9820910</wp:posOffset>
              </wp:positionV>
              <wp:extent cx="39370" cy="73025"/>
              <wp:wrapNone/>
              <wp:docPr id="64588864"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70" type="#_x0000_t202" style="width:3.1pt;height:5.75pt;margin-top:773.3pt;margin-left:302.8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3846195</wp:posOffset>
              </wp:positionH>
              <wp:positionV relativeFrom="page">
                <wp:posOffset>9820910</wp:posOffset>
              </wp:positionV>
              <wp:extent cx="39370" cy="73025"/>
              <wp:wrapNone/>
              <wp:docPr id="1199468573"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69" type="#_x0000_t202" style="width:3.1pt;height:5.75pt;margin-top:773.3pt;margin-left:302.8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3847465</wp:posOffset>
              </wp:positionH>
              <wp:positionV relativeFrom="page">
                <wp:posOffset>9933305</wp:posOffset>
              </wp:positionV>
              <wp:extent cx="42545" cy="69850"/>
              <wp:wrapNone/>
              <wp:docPr id="2123708255"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71" type="#_x0000_t202" style="width:3.35pt;height:5.5pt;margin-top:782.15pt;margin-left:302.9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3846195</wp:posOffset>
              </wp:positionH>
              <wp:positionV relativeFrom="page">
                <wp:posOffset>9820910</wp:posOffset>
              </wp:positionV>
              <wp:extent cx="39370" cy="73025"/>
              <wp:wrapNone/>
              <wp:docPr id="619268336"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73" type="#_x0000_t202" style="width:3.1pt;height:5.75pt;margin-top:773.3pt;margin-left:302.8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3846195</wp:posOffset>
              </wp:positionH>
              <wp:positionV relativeFrom="page">
                <wp:posOffset>9820910</wp:posOffset>
              </wp:positionV>
              <wp:extent cx="39370" cy="73025"/>
              <wp:wrapNone/>
              <wp:docPr id="367350765"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302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72" type="#_x0000_t202" style="width:3.1pt;height:5.75pt;margin-top:773.3pt;margin-left:302.8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rPr>
                      <w:t>1</w:t>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3847465</wp:posOffset>
              </wp:positionH>
              <wp:positionV relativeFrom="page">
                <wp:posOffset>9933305</wp:posOffset>
              </wp:positionV>
              <wp:extent cx="42545" cy="69850"/>
              <wp:wrapNone/>
              <wp:docPr id="32471854"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69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74" type="#_x0000_t202" style="width:3.35pt;height:5.5pt;margin-top:782.15pt;margin-left:302.9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72FD71"/>
    <w:multiLevelType w:val="multilevel"/>
    <w:tmpl w:val="00000000"/>
    <w:lvl w:ilvl="0">
      <w:start w:val="2"/>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4DC14998"/>
    <w:multiLevelType w:val="multilevel"/>
    <w:tmpl w:val="00000000"/>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5C76AECD"/>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792BCAC0"/>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0"/>
      <w:szCs w:val="30"/>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19"/>
      <w:szCs w:val="19"/>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9"/>
      <w:szCs w:val="19"/>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7"/>
      <w:szCs w:val="17"/>
      <w:u w:val="none"/>
      <w:shd w:val="clear" w:color="auto" w:fill="auto"/>
      <w:lang w:val="zh-TW" w:eastAsia="zh-TW" w:bidi="zh-TW"/>
    </w:rPr>
  </w:style>
  <w:style w:type="character" w:customStyle="1" w:styleId="Bodytext3">
    <w:name w:val="Body text|3_"/>
    <w:basedOn w:val="DefaultParagraphFont"/>
    <w:link w:val="Bodytext30"/>
    <w:rPr>
      <w:rFonts w:ascii="SimSun" w:eastAsia="SimSun" w:hAnsi="SimSun" w:cs="SimSun"/>
      <w:b w:val="0"/>
      <w:bCs w:val="0"/>
      <w:i/>
      <w:iCs/>
      <w:smallCaps w:val="0"/>
      <w:strike w:val="0"/>
      <w:sz w:val="17"/>
      <w:szCs w:val="17"/>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Bodytext6">
    <w:name w:val="Body text|6_"/>
    <w:basedOn w:val="DefaultParagraphFont"/>
    <w:link w:val="Bodytext60"/>
    <w:rPr>
      <w:b w:val="0"/>
      <w:bCs w:val="0"/>
      <w:i w:val="0"/>
      <w:iCs w:val="0"/>
      <w:smallCaps w:val="0"/>
      <w:strike w:val="0"/>
      <w:sz w:val="17"/>
      <w:szCs w:val="17"/>
      <w:u w:val="none"/>
      <w:shd w:val="clear" w:color="auto" w:fill="auto"/>
      <w:lang w:val="zh-TW" w:eastAsia="zh-TW" w:bidi="zh-TW"/>
    </w:rPr>
  </w:style>
  <w:style w:type="character" w:customStyle="1" w:styleId="Picturecaption1">
    <w:name w:val="Picture caption|1_"/>
    <w:basedOn w:val="DefaultParagraphFont"/>
    <w:link w:val="Picturecaption10"/>
    <w:rPr>
      <w:b w:val="0"/>
      <w:bCs w:val="0"/>
      <w:i w:val="0"/>
      <w:iCs w:val="0"/>
      <w:smallCaps w:val="0"/>
      <w:strike w:val="0"/>
      <w:sz w:val="17"/>
      <w:szCs w:val="17"/>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80" w:line="480" w:lineRule="auto"/>
      <w:ind w:firstLine="56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40"/>
      <w:jc w:val="right"/>
      <w:outlineLvl w:val="0"/>
    </w:pPr>
    <w:rPr>
      <w:b/>
      <w:bCs/>
      <w:i w:val="0"/>
      <w:iCs w:val="0"/>
      <w:smallCaps w:val="0"/>
      <w:strike w:val="0"/>
      <w:sz w:val="96"/>
      <w:szCs w:val="96"/>
      <w:u w:val="none"/>
      <w:shd w:val="clear" w:color="auto" w:fill="auto"/>
    </w:rPr>
  </w:style>
  <w:style w:type="paragraph" w:customStyle="1" w:styleId="Heading210">
    <w:name w:val="Heading #2|1"/>
    <w:basedOn w:val="Normal"/>
    <w:link w:val="Heading21"/>
    <w:pPr>
      <w:widowControl w:val="0"/>
      <w:shd w:val="clear" w:color="auto" w:fill="auto"/>
      <w:spacing w:after="360"/>
      <w:jc w:val="center"/>
      <w:outlineLvl w:val="1"/>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1260"/>
      <w:jc w:val="center"/>
    </w:pPr>
    <w:rPr>
      <w:b w:val="0"/>
      <w:bCs w:val="0"/>
      <w:i w:val="0"/>
      <w:iCs w:val="0"/>
      <w:smallCaps w:val="0"/>
      <w:strike w:val="0"/>
      <w:sz w:val="28"/>
      <w:szCs w:val="28"/>
      <w:u w:val="none"/>
      <w:shd w:val="clear" w:color="auto" w:fill="auto"/>
    </w:rPr>
  </w:style>
  <w:style w:type="paragraph" w:customStyle="1" w:styleId="Heading310">
    <w:name w:val="Heading #3|1"/>
    <w:basedOn w:val="Normal"/>
    <w:link w:val="Heading31"/>
    <w:pPr>
      <w:widowControl w:val="0"/>
      <w:shd w:val="clear" w:color="auto" w:fill="auto"/>
      <w:spacing w:after="430"/>
      <w:jc w:val="center"/>
      <w:outlineLvl w:val="2"/>
    </w:pPr>
    <w:rPr>
      <w:rFonts w:ascii="SimSun" w:eastAsia="SimSun" w:hAnsi="SimSun" w:cs="SimSun"/>
      <w:b w:val="0"/>
      <w:bCs w:val="0"/>
      <w:i w:val="0"/>
      <w:iCs w:val="0"/>
      <w:smallCaps w:val="0"/>
      <w:strike w:val="0"/>
      <w:sz w:val="30"/>
      <w:szCs w:val="30"/>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6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480"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line="439" w:lineRule="auto"/>
    </w:pPr>
    <w:rPr>
      <w:rFonts w:ascii="SimSun" w:eastAsia="SimSun" w:hAnsi="SimSun" w:cs="SimSun"/>
      <w:b w:val="0"/>
      <w:bCs w:val="0"/>
      <w:i w:val="0"/>
      <w:iCs w:val="0"/>
      <w:smallCaps w:val="0"/>
      <w:strike w:val="0"/>
      <w:sz w:val="19"/>
      <w:szCs w:val="19"/>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480"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spacing w:line="232" w:lineRule="exact"/>
    </w:pPr>
    <w:rPr>
      <w:rFonts w:ascii="SimSun" w:eastAsia="SimSun" w:hAnsi="SimSun" w:cs="SimSun"/>
      <w:b w:val="0"/>
      <w:bCs w:val="0"/>
      <w:i w:val="0"/>
      <w:iCs w:val="0"/>
      <w:smallCaps w:val="0"/>
      <w:strike w:val="0"/>
      <w:sz w:val="19"/>
      <w:szCs w:val="19"/>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7"/>
      <w:szCs w:val="17"/>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40"/>
      <w:ind w:left="4400"/>
    </w:pPr>
    <w:rPr>
      <w:rFonts w:ascii="SimSun" w:eastAsia="SimSun" w:hAnsi="SimSun" w:cs="SimSun"/>
      <w:b w:val="0"/>
      <w:bCs w:val="0"/>
      <w:i/>
      <w:iCs/>
      <w:smallCaps w:val="0"/>
      <w:strike w:val="0"/>
      <w:sz w:val="17"/>
      <w:szCs w:val="17"/>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line="453" w:lineRule="exact"/>
      <w:ind w:firstLine="220"/>
      <w:outlineLvl w:val="3"/>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Bodytext60">
    <w:name w:val="Body text|6"/>
    <w:basedOn w:val="Normal"/>
    <w:link w:val="Bodytext6"/>
    <w:pPr>
      <w:widowControl w:val="0"/>
      <w:shd w:val="clear" w:color="auto" w:fill="auto"/>
    </w:pPr>
    <w:rPr>
      <w:b w:val="0"/>
      <w:bCs w:val="0"/>
      <w:i w:val="0"/>
      <w:iCs w:val="0"/>
      <w:smallCaps w:val="0"/>
      <w:strike w:val="0"/>
      <w:sz w:val="17"/>
      <w:szCs w:val="17"/>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b w:val="0"/>
      <w:bCs w:val="0"/>
      <w:i w:val="0"/>
      <w:iCs w:val="0"/>
      <w:smallCaps w:val="0"/>
      <w:strike w:val="0"/>
      <w:sz w:val="17"/>
      <w:szCs w:val="17"/>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yperlink" Target="https://www.baidu.com/link?url=W-46aSUTK0Y00xQnyvWWxCPK6uNQ0kO314tuHDG1uPMqg6DQmUpqTgmlay0Z0K1L4oIlKOm6Cx5mu0DQfKMXkrTRRzcLE95521GmyxXpEPK&amp;wd=&amp;eqid=b7cd13180009040e000000025d52b270" TargetMode="External" /><Relationship Id="rId13" Type="http://schemas.openxmlformats.org/officeDocument/2006/relationships/hyperlink" Target="http://www.baidu.com/link?url=hOhahNxM-iYbeTMxLjhHVndvhHqPXjuC2rYiv6uGb7CqF9-e2kSZRDIxbEBqdrUC" TargetMode="External" /><Relationship Id="rId14" Type="http://schemas.openxmlformats.org/officeDocument/2006/relationships/hyperlink" Target="http://www.wanfangdata.com.cn/link.do?url=BE78DC6926613EC3C61D070E578356F9C0FCD10AD4DC13D1A570C0F65213F934E7333D88E62F5656E4482B654AA454D4D6C1BF6FC9737B47643D6CDD9110D0520A297D0A189479D9333486CB4A9551A5B201677D17A0C195" TargetMode="Externa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footer" Target="footer9.xml" /><Relationship Id="rId22" Type="http://schemas.openxmlformats.org/officeDocument/2006/relationships/footer" Target="footer10.xml" /><Relationship Id="rId23" Type="http://schemas.openxmlformats.org/officeDocument/2006/relationships/footer" Target="footer11.xml" /><Relationship Id="rId24" Type="http://schemas.openxmlformats.org/officeDocument/2006/relationships/footer" Target="footer12.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yperlink" Target="https://www.baidu.com/link?url=0rwLicKwxnfDNVKuzjycYZTBKajm1q5V9lD44Dx2bNRJBYXR6SirHx4Ar2VJMWe9Dr6j0VKWhCjRCsdNEWnyO_&amp;wd=&amp;eqid=f7189df7000aa9eb000000025e7a07a3" TargetMode="External" /><Relationship Id="rId28" Type="http://schemas.openxmlformats.org/officeDocument/2006/relationships/hyperlink" Target="https://www.baidu.com/link?url=4weLESXwgTZ9U1ZbNw6mEzqr7toCxq-sxQaCDbDZcDCGKl1VCqdRfKMhroZjO0HltFEU6PzoJNxAN6GilrUXL9Atxc5uE4Q9vl0qU7hpUzW&amp;wd=&amp;eqid=c74e8dce0005f8d7000000025e7a09b5" TargetMode="External" /><Relationship Id="rId29" Type="http://schemas.openxmlformats.org/officeDocument/2006/relationships/hyperlink" Target="http://www.baidu.com/link?url=BECiI4q_SFxWi8f61_isnIzaGzz4AbA1-zUOFHQM_-vn4CUyusHthOFPkJYSCS8Oa_2u_r354iuaujuZ3QJvG_" TargetMode="External" /><Relationship Id="rId3" Type="http://schemas.openxmlformats.org/officeDocument/2006/relationships/fontTable" Target="fontTable.xml" /><Relationship Id="rId30" Type="http://schemas.openxmlformats.org/officeDocument/2006/relationships/hyperlink" Target="https://www.baidu.com/link?url=hequdAOx7jV1mCfyKwRegGnK41vvpG3XzJqBeYWzI-v3ua8HPwN8acV6COPi3rHAL_1AJTSsAAsv2LaPp42Zoq&amp;wd=&amp;eqid=d9773648000c5984000000025e7a1355" TargetMode="External" /><Relationship Id="rId31" Type="http://schemas.openxmlformats.org/officeDocument/2006/relationships/footer" Target="footer15.xml" /><Relationship Id="rId32" Type="http://schemas.openxmlformats.org/officeDocument/2006/relationships/footer" Target="footer16.xml" /><Relationship Id="rId33" Type="http://schemas.openxmlformats.org/officeDocument/2006/relationships/footer" Target="footer17.xml" /><Relationship Id="rId34" Type="http://schemas.openxmlformats.org/officeDocument/2006/relationships/hyperlink" Target="http://www.baidu.com/link?url=wOjGDwamOOvVt_sgXGGWtD-fLa7YV8F2v8_s_Qj0aP8uF6Q7q_u8rHKjeCJtxJ80jwp20l7lF6ZdxGJHRRoSK_" TargetMode="External" /><Relationship Id="rId35" Type="http://schemas.openxmlformats.org/officeDocument/2006/relationships/hyperlink" Target="https://www.baidu.com/link?url=DwGQqHZ7m9Brm0FtG9iZ0djdrxREKY5Z5Gk0zy-wp4R9GX4j_ImnMiqflmLu5l_9n2z-xDGngnNDYOL1MHqe2eNH5c7mKd0FBAYgemSfeom&amp;wd=&amp;eqid=b05ded5b0001c76a000000025d5e0c32" TargetMode="External" /><Relationship Id="rId36" Type="http://schemas.openxmlformats.org/officeDocument/2006/relationships/footer" Target="footer18.xml" /><Relationship Id="rId37" Type="http://schemas.openxmlformats.org/officeDocument/2006/relationships/footer" Target="footer19.xml" /><Relationship Id="rId38" Type="http://schemas.openxmlformats.org/officeDocument/2006/relationships/footer" Target="footer20.xml" /><Relationship Id="rId39" Type="http://schemas.openxmlformats.org/officeDocument/2006/relationships/footer" Target="footer21.xml" /><Relationship Id="rId4" Type="http://schemas.openxmlformats.org/officeDocument/2006/relationships/hyperlink" Target="http://ecology.sit.edu.cn/" TargetMode="External" /><Relationship Id="rId40" Type="http://schemas.openxmlformats.org/officeDocument/2006/relationships/footer" Target="footer22.xml" /><Relationship Id="rId41" Type="http://schemas.openxmlformats.org/officeDocument/2006/relationships/footer" Target="footer23.xml" /><Relationship Id="rId42" Type="http://schemas.openxmlformats.org/officeDocument/2006/relationships/hyperlink" Target="https://d.book118.com/798032040022006034" TargetMode="External" /><Relationship Id="rId43" Type="http://schemas.openxmlformats.org/officeDocument/2006/relationships/footer" Target="footer24.xml" /><Relationship Id="rId44" Type="http://schemas.openxmlformats.org/officeDocument/2006/relationships/footer" Target="footer25.xml" /><Relationship Id="rId45" Type="http://schemas.openxmlformats.org/officeDocument/2006/relationships/footer" Target="footer26.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hyperlink" Target="https://www.baidu.com/link?url=H0p5MbYUiBCOFEXUIsDSru5fupXecVR5XuLzB99iu5BWua90XsMiRYq4GovPXOTt-WMY2GT6TtzfWQxEr_HNy_&amp;wd=&amp;eqid=aec1b8d6000b3555000000025d52b402" TargetMode="External" /><Relationship Id="rId7" Type="http://schemas.openxmlformats.org/officeDocument/2006/relationships/hyperlink" Target="http://www.baidu.com/link?url=oInK4TqktK-5D6UhzFgsXg6B5gpPZGNrzhi9U17f87PT0SYSmH1NJp2ObDw5qd7LdCQgVuACN9BqLgMfegYf4q" TargetMode="External" /><Relationship Id="rId8" Type="http://schemas.openxmlformats.org/officeDocument/2006/relationships/hyperlink" Target="http://www.baidu.com/link?url=CuORldut8wf1IXlaeHy65wftaWjULZPUK8NJ5sMQjwy7QEDFTKrOWJSey9KQkIMzCWB8-HHKBkj-PGVWVMb0j_" TargetMode="External" /><Relationship Id="rId9" Type="http://schemas.openxmlformats.org/officeDocument/2006/relationships/hyperlink" Target="https://www.baidu.com/link?url=KtHEt9U2YWRnNZu6gL_12R_PE0IM6Lk7vRnqc4AcBV5uDluvITlW6EpLfXlOEXvnQa1zyoLZgf8JTqC7wwsPxa&amp;wd=&amp;eqid=e0b6351c0018bfe5000000025d5e0b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dc:title>
  <dc:creator>jiu</dc:creator>
  <cp:revision>0</cp:revision>
</cp:coreProperties>
</file>