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贵金属合金竞争策略分析报告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19" w:history="1">
        <w:r>
          <w:rPr>
            <w:rFonts w:ascii="仿宋" w:eastAsia="仿宋" w:hAnsi="仿宋" w:cs="仿宋" w:hint="eastAsia"/>
            <w:lang w:val="en-GB"/>
          </w:rPr>
          <w:t>序言</w:t>
        </w:r>
        <w:r>
          <w:tab/>
        </w:r>
        <w:r>
          <w:fldChar w:fldCharType="begin"/>
        </w:r>
        <w:r>
          <w:instrText xml:space="preserve"> PAGEREF _Toc31919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5" w:history="1">
        <w:r>
          <w:rPr>
            <w:rFonts w:ascii="仿宋" w:eastAsia="仿宋" w:hAnsi="仿宋" w:cs="仿宋" w:hint="eastAsia"/>
            <w:lang w:val="en-GB"/>
          </w:rPr>
          <w:t>一、员工培训与绩效提升</w:t>
        </w:r>
        <w:r>
          <w:tab/>
        </w:r>
        <w:r>
          <w:fldChar w:fldCharType="begin"/>
        </w:r>
        <w:r>
          <w:instrText xml:space="preserve"> PAGEREF _Toc11835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2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1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_Toc30951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1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_Toc20981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5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_Toc4185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3" w:history="1">
        <w:r>
          <w:rPr>
            <w:rFonts w:ascii="仿宋" w:eastAsia="仿宋" w:hAnsi="仿宋" w:cs="仿宋" w:hint="eastAsia"/>
            <w:lang w:val="en-GB"/>
          </w:rPr>
          <w:t>二、SWOT分析说明</w:t>
        </w:r>
        <w:r>
          <w:tab/>
        </w:r>
        <w:r>
          <w:fldChar w:fldCharType="begin"/>
        </w:r>
        <w:r>
          <w:instrText xml:space="preserve"> PAGEREF _Toc11763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1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_Toc27271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6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_Toc21906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4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_Toc20304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1" w:history="1">
        <w:r>
          <w:rPr>
            <w:rFonts w:ascii="仿宋" w:eastAsia="仿宋" w:hAnsi="仿宋" w:cs="仿宋" w:hint="eastAsia"/>
            <w:lang w:val="en-GB"/>
          </w:rPr>
          <w:t>三、市场地位与竞争战略</w:t>
        </w:r>
        <w:r>
          <w:tab/>
        </w:r>
        <w:r>
          <w:fldChar w:fldCharType="begin"/>
        </w:r>
        <w:r>
          <w:instrText xml:space="preserve"> PAGEREF _Toc6491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3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_Toc10563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_Toc2807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1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_Toc15621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7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_Toc16137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7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_Toc15937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5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_Toc10595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1" w:history="1">
        <w:r>
          <w:rPr>
            <w:rFonts w:ascii="仿宋" w:eastAsia="仿宋" w:hAnsi="仿宋" w:cs="仿宋" w:hint="eastAsia"/>
            <w:lang w:val="en-GB"/>
          </w:rPr>
          <w:t>(十)、贵金属合金行业竞争者识别</w:t>
        </w:r>
        <w:r>
          <w:tab/>
        </w:r>
        <w:r>
          <w:fldChar w:fldCharType="begin"/>
        </w:r>
        <w:r>
          <w:instrText xml:space="preserve"> PAGEREF _Toc19471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8" w:history="1">
        <w:r>
          <w:rPr>
            <w:rFonts w:ascii="仿宋" w:eastAsia="仿宋" w:hAnsi="仿宋" w:cs="仿宋" w:hint="eastAsia"/>
            <w:lang w:val="en-GB"/>
          </w:rPr>
          <w:t>四、人力资源分析</w:t>
        </w:r>
        <w:r>
          <w:tab/>
        </w:r>
        <w:r>
          <w:fldChar w:fldCharType="begin"/>
        </w:r>
        <w:r>
          <w:instrText xml:space="preserve"> PAGEREF _Toc1488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1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6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_Toc15686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0" w:history="1">
        <w:r>
          <w:rPr>
            <w:rFonts w:ascii="仿宋" w:eastAsia="仿宋" w:hAnsi="仿宋" w:cs="仿宋" w:hint="eastAsia"/>
            <w:lang w:val="en-GB"/>
          </w:rPr>
          <w:t>五、公司简介</w:t>
        </w:r>
        <w:r>
          <w:tab/>
        </w:r>
        <w:r>
          <w:fldChar w:fldCharType="begin"/>
        </w:r>
        <w:r>
          <w:instrText xml:space="preserve"> PAGEREF _Toc20040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6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_Toc7106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2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_Toc13442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9" w:history="1">
        <w:r>
          <w:rPr>
            <w:rFonts w:ascii="仿宋" w:eastAsia="仿宋" w:hAnsi="仿宋" w:cs="仿宋" w:hint="eastAsia"/>
            <w:lang w:val="en-GB"/>
          </w:rPr>
          <w:t>六、市场趋势与消费者洞察</w:t>
        </w:r>
        <w:r>
          <w:tab/>
        </w:r>
        <w:r>
          <w:fldChar w:fldCharType="begin"/>
        </w:r>
        <w:r>
          <w:instrText xml:space="preserve"> PAGEREF _Toc7849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0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_Toc23340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0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_Toc11310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1" w:history="1">
        <w:r>
          <w:rPr>
            <w:rFonts w:ascii="仿宋" w:eastAsia="仿宋" w:hAnsi="仿宋" w:cs="仿宋" w:hint="eastAsia"/>
            <w:lang w:val="en-GB"/>
          </w:rPr>
          <w:t>七、贵金属合金定价策略</w:t>
        </w:r>
        <w:r>
          <w:tab/>
        </w:r>
        <w:r>
          <w:fldChar w:fldCharType="begin"/>
        </w:r>
        <w:r>
          <w:instrText xml:space="preserve"> PAGEREF _Toc13541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_Toc1635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3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_Toc16313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3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_Toc5983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7" w:history="1">
        <w:r>
          <w:rPr>
            <w:rFonts w:ascii="仿宋" w:eastAsia="仿宋" w:hAnsi="仿宋" w:cs="仿宋" w:hint="eastAsia"/>
            <w:lang w:val="en-GB"/>
          </w:rPr>
          <w:t>八、技术与生产管理</w:t>
        </w:r>
        <w:r>
          <w:tab/>
        </w:r>
        <w:r>
          <w:fldChar w:fldCharType="begin"/>
        </w:r>
        <w:r>
          <w:instrText xml:space="preserve"> PAGEREF _Toc23917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_Toc26733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5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_Toc10465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34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7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_Toc30687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val="en-GB"/>
          </w:rPr>
          <w:t>九、贵金属合金市场地位与竞争战略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7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_Toc12427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0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_Toc3280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4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_Toc8524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0" w:history="1">
        <w:r>
          <w:rPr>
            <w:rFonts w:ascii="仿宋" w:eastAsia="仿宋" w:hAnsi="仿宋" w:cs="仿宋" w:hint="eastAsia"/>
            <w:lang w:val="en-GB"/>
          </w:rPr>
          <w:t>十、贵金属合金消费者市场分析</w:t>
        </w:r>
        <w:r>
          <w:tab/>
        </w:r>
        <w:r>
          <w:fldChar w:fldCharType="begin"/>
        </w:r>
        <w:r>
          <w:instrText xml:space="preserve"> PAGEREF _Toc28080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0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_Toc29220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8" w:history="1">
        <w:r>
          <w:rPr>
            <w:rFonts w:ascii="仿宋" w:eastAsia="仿宋" w:hAnsi="仿宋" w:cs="仿宋" w:hint="eastAsia"/>
            <w:lang w:val="en-GB"/>
          </w:rPr>
          <w:t>十一、贵金属合金供应链管理</w:t>
        </w:r>
        <w:r>
          <w:tab/>
        </w:r>
        <w:r>
          <w:fldChar w:fldCharType="begin"/>
        </w:r>
        <w:r>
          <w:instrText xml:space="preserve"> PAGEREF _Toc29348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6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_Toc13806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3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_Toc24543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0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_Toc6450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5" w:history="1">
        <w:r>
          <w:rPr>
            <w:rFonts w:ascii="仿宋" w:eastAsia="仿宋" w:hAnsi="仿宋" w:cs="仿宋" w:hint="eastAsia"/>
            <w:lang w:val="en-GB"/>
          </w:rPr>
          <w:t>十二、市场营销与销售策略</w:t>
        </w:r>
        <w:r>
          <w:tab/>
        </w:r>
        <w:r>
          <w:fldChar w:fldCharType="begin"/>
        </w:r>
        <w:r>
          <w:instrText xml:space="preserve"> PAGEREF _Toc9645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1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_Toc27051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_Toc2995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6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_Toc25346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9" w:history="1">
        <w:r>
          <w:rPr>
            <w:rFonts w:ascii="仿宋" w:eastAsia="仿宋" w:hAnsi="仿宋" w:cs="仿宋" w:hint="eastAsia"/>
            <w:lang w:val="en-GB"/>
          </w:rPr>
          <w:t>十三、贵金属合金国际化战略</w:t>
        </w:r>
        <w:r>
          <w:tab/>
        </w:r>
        <w:r>
          <w:fldChar w:fldCharType="begin"/>
        </w:r>
        <w:r>
          <w:instrText xml:space="preserve"> PAGEREF _Toc31329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3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_Toc11213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_Toc2004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2" w:history="1">
        <w:r>
          <w:rPr>
            <w:rFonts w:ascii="仿宋" w:eastAsia="仿宋" w:hAnsi="仿宋" w:cs="仿宋" w:hint="eastAsia"/>
            <w:lang w:val="en-GB"/>
          </w:rPr>
          <w:t>十四、贵金属合金风险管理与合规</w:t>
        </w:r>
        <w:r>
          <w:tab/>
        </w:r>
        <w:r>
          <w:fldChar w:fldCharType="begin"/>
        </w:r>
        <w:r>
          <w:instrText xml:space="preserve"> PAGEREF _Toc32442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5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_Toc30305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5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_Toc30525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6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_Toc23396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3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_Toc24623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4" w:history="1">
        <w:r>
          <w:rPr>
            <w:rFonts w:ascii="仿宋" w:eastAsia="仿宋" w:hAnsi="仿宋" w:cs="仿宋" w:hint="eastAsia"/>
            <w:lang w:val="en-GB"/>
          </w:rPr>
          <w:t>十五、贵金属合金数字化发展方案</w:t>
        </w:r>
        <w:r>
          <w:tab/>
        </w:r>
        <w:r>
          <w:fldChar w:fldCharType="begin"/>
        </w:r>
        <w:r>
          <w:instrText xml:space="preserve"> PAGEREF _Toc8754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9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_Toc23199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3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_Toc10343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0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_Toc20630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5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_Toc32615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31919"/>
      <w:r>
        <w:rPr>
          <w:rFonts w:ascii="仿宋" w:eastAsia="仿宋" w:hAnsi="仿宋" w:cs="仿宋" w:hint="eastAsia"/>
          <w:lang w:val="en-GB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全球化经济的大潮中，贵金属合金企业竞争日益激烈，市场分析与竞争策略的研究变得尤为关键。本报告旨在通过对现行市场结构、竞争环境及消费者行为的深入剖析，为企业决策提供科学参考。通过评估行业动态及竞争对手的战略举措，本报告进一步提出相应的竞争策略建议，旨在辅助企业把握市场脉络，优化战略布局。本文档仅供学习交流使用，不得作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1835"/>
      <w:r>
        <w:rPr>
          <w:rFonts w:ascii="仿宋" w:eastAsia="仿宋" w:hAnsi="仿宋" w:cs="仿宋" w:hint="eastAsia"/>
          <w:sz w:val="28"/>
          <w:lang w:val="en-GB"/>
        </w:rPr>
        <w:t>一、员工培训与绩效提升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0202"/>
      <w:r>
        <w:rPr>
          <w:rFonts w:ascii="仿宋" w:eastAsia="仿宋" w:hAnsi="仿宋" w:cs="仿宋" w:hint="eastAsia"/>
          <w:lang w:val="en-GB"/>
        </w:rPr>
        <w:t>(一)、培训需求分析与计划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为确保公司员工在不断变化的市场和贵金属合金行业中保持竞争力，公司将进行全面的培训需求分析与计划，以提高员工整体素质和适应公司发展需求。下面是公司在培训需求分析与计划方面的详细安排：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公司将通过技能评估，利用各类评估工具全面了解员工的技术水平和专业知识。这将有助于明确员工的技能缺口，为后续个性化培训提供基础数据，确保培训内容更贴近员工实际需求。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市场动态与贵金属合金行业趋势分析：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通过跟踪市场动态和贵金属合金行业趋势，公司将及时获取关于新技术、新趋势的信息。基于这些信息，公司将制定培训计划，使员工紧跟贵金属合金行业发展步伐，提高他们对市场的洞察力和适应力。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团队协作与领导力培训：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面向不同岗位的员工，公司将实施团队协作和领导力培训。通过这些培训，旨在提高团队协作效率，增强管理层的领导力，促使团队更好地协同工作，达到更高的业绩。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专业知识更新：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针对公司所处业务领域的最新发展，公司将定期进行专业知识更新培训。这有助于确保员工了解贵金属合金行业前沿信息，保持专业知识的新鲜度，提高其在专业领域内的竞争力。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职业素养提升：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除技术层面的培训外，公司将关注职业素养的提升，包括沟通技巧、时间管理、问题解决等方面。这将全面提高员工的综合素质，使其更好地应对各类工作挑战。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制定培训计划：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基于上述分析结果，公司将制定全员培训计划。该计划将详细规定培训的时间、地点和方式，确保培训具有系统性和实效性。这样的计划将有助于提高培训的组织性和员工的学习效果。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30951"/>
      <w:r>
        <w:rPr>
          <w:rFonts w:ascii="仿宋" w:eastAsia="仿宋" w:hAnsi="仿宋" w:cs="仿宋" w:hint="eastAsia"/>
          <w:sz w:val="28"/>
          <w:lang w:val="en-GB"/>
        </w:rPr>
        <w:t>(二)、绩效评价体系与激励机制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设立明确的绩效目标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绩效评价体系的第一步是设立明确的绩效目标。这些目标应该与公司的战略目标密切相关，明确员工在各自职责范围内的具体任务和期望成果。设立具体、可衡量、可达成的目标，有助于员工明确自己的工作重点，提高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多维度的评价标准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个有效的绩效评价体系应该包括多维度的评价标准，以全面评估员工的表现。这些标准可以包括工作成果的质量和数量、团队合作能力、创新能力、问题解决能力等。采用多元化的评价标准，有助于避免单一指标导致的评价片面性，更准确地反映员工的全面工作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定期的评价周期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定期的评价周期是绩效评价体系的重要组成部分。通过设立合适的评价周期，如季度或年度，有助于及时发现员工的工作问题，提高对员工表现的敏感度。同时，定期评价也为员工提供了持续改进的机会，促使其不断完善和提升自己的工作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激励机制是通过奖励和认可来激发员工积极性，促使其更好地完成工作任务。一个有效的激励机制可以帮助公司留住优秀人才，提高整体团队的绩效水平。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薪酬激励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薪酬激励是最直接的激励手段之一。通过设立合理的薪酬结构，包括基本工资、奖金、福利等，根据员工的绩效水平提供相应的薪酬激励。设立与绩效挂钩的薪酬制度，既能够激发员工的工作动力，又能够激发其追求卓越的愿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晋升机会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晋升机会也是一种强有力的激励方式。通过制定明确的晋升渠道和条件，让员工清晰了解自己的职业发展方向，有助于员工更为努力地提升自己的工作能力。同时，晋升机会也是一种可持续的激励方式，有助于提高员工的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学习和发展机会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提供学习和发展机会，支持员工提升自身职业技能，也是一种重要的激励手段。公司可以设立培训计划、提供学术资助、鼓励员工参与专业认证等，以促使员工不断学习、不断提升自己的综合素质。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肯定与表彰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及时的肯定与表彰对于员工的激励起到了积极的作用。公司可以通过员工月度或季度表彰、年度绩效大会、荣誉证书颁发等方式，公开赞扬员工的出色表现，让员工感受到被重视和认可。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健康福利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提供良好的健康福利也是一种激励机制。关心员工的身体健康，提供医疗保险、健康体检、健身福利等，可以提高员工对公司的满意度，增强员工的归属感和忠诚度。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工作环境改善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改善工作环境也可以被视为一种激励手段。优越的工作环境包括舒适的办公场所、先进的工作设备、团队氛围等，能够提高员工的工作积极性和幸福感。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https://d.book118.com/798036140055006044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贵金属合金竞争策略分析报告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贵金属合金竞争策略分析报告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贵金属合金竞争策略分析报告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贵金属合金竞争策略分析报告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贵金属合金竞争策略分析报告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贵金属合金竞争策略分析报告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贵金属合金竞争策略分析报告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A14D45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59A14D45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8036140055006044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2024-01-12T00:10:00Z</dcterms:created>
  <dcterms:modified xsi:type="dcterms:W3CDTF">2024-01-12T00:10:50Z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E89AAEEA99724A1899E702BF927BBD1C_11</vt:lpwstr>
  </property>
  <property fmtid="{D5CDD505-2E9C-101B-9397-08002B2CF9AE}" pid="3" name="KSOProductBuildVer">
    <vt:lpwstr>2052-12.1.0.16120</vt:lpwstr>
  </property>
</Properties>
</file>