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休闲专用车及其零附件项目规划设计方案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96" w:history="1">
        <w:r>
          <w:rPr>
            <w:rFonts w:ascii="仿宋" w:eastAsia="仿宋" w:hAnsi="仿宋" w:cs="仿宋" w:hint="eastAsia"/>
            <w:lang w:eastAsia="zh-CN"/>
          </w:rPr>
          <w:t>概论</w:t>
        </w:r>
        <w:r>
          <w:tab/>
        </w:r>
        <w:r>
          <w:fldChar w:fldCharType="begin"/>
        </w:r>
        <w:r>
          <w:instrText xml:space="preserve"> PAGEREF _Toc16396 \h </w:instrText>
        </w:r>
        <w:r>
          <w:fldChar w:fldCharType="separate"/>
        </w:r>
        <w:r>
          <w:t>3</w:t>
        </w:r>
        <w:r>
          <w:fldChar w:fldCharType="end"/>
        </w:r>
      </w:hyperlink>
    </w:p>
    <w:p>
      <w:pPr>
        <w:pStyle w:val="TOC1"/>
        <w:tabs>
          <w:tab w:val="right" w:leader="dot" w:pos="8306"/>
        </w:tabs>
      </w:pPr>
      <w:hyperlink w:anchor="_Toc16845" w:history="1">
        <w:r>
          <w:rPr>
            <w:rFonts w:ascii="仿宋" w:eastAsia="仿宋" w:hAnsi="仿宋" w:cs="仿宋" w:hint="eastAsia"/>
            <w:lang w:eastAsia="zh-CN"/>
          </w:rPr>
          <w:t>一、休闲专用车及其零附件项目建设背景及必要性分析</w:t>
        </w:r>
        <w:r>
          <w:tab/>
        </w:r>
        <w:r>
          <w:fldChar w:fldCharType="begin"/>
        </w:r>
        <w:r>
          <w:instrText xml:space="preserve"> PAGEREF _Toc16845 \h </w:instrText>
        </w:r>
        <w:r>
          <w:fldChar w:fldCharType="separate"/>
        </w:r>
        <w:r>
          <w:t>3</w:t>
        </w:r>
        <w:r>
          <w:fldChar w:fldCharType="end"/>
        </w:r>
      </w:hyperlink>
    </w:p>
    <w:p>
      <w:pPr>
        <w:pStyle w:val="TOC2"/>
        <w:tabs>
          <w:tab w:val="right" w:leader="dot" w:pos="8306"/>
        </w:tabs>
      </w:pPr>
      <w:hyperlink w:anchor="_Toc23697" w:history="1">
        <w:r>
          <w:rPr>
            <w:rFonts w:ascii="仿宋" w:eastAsia="仿宋" w:hAnsi="仿宋" w:cs="仿宋" w:hint="eastAsia"/>
            <w:lang w:eastAsia="zh-CN"/>
          </w:rPr>
          <w:t>(一)、休闲专用车及其零附件项目背景分析</w:t>
        </w:r>
        <w:r>
          <w:tab/>
        </w:r>
        <w:r>
          <w:fldChar w:fldCharType="begin"/>
        </w:r>
        <w:r>
          <w:instrText xml:space="preserve"> PAGEREF _Toc23697 \h </w:instrText>
        </w:r>
        <w:r>
          <w:fldChar w:fldCharType="separate"/>
        </w:r>
        <w:r>
          <w:t>3</w:t>
        </w:r>
        <w:r>
          <w:fldChar w:fldCharType="end"/>
        </w:r>
      </w:hyperlink>
    </w:p>
    <w:p>
      <w:pPr>
        <w:pStyle w:val="TOC2"/>
        <w:tabs>
          <w:tab w:val="right" w:leader="dot" w:pos="8306"/>
        </w:tabs>
      </w:pPr>
      <w:hyperlink w:anchor="_Toc29533" w:history="1">
        <w:r>
          <w:rPr>
            <w:rFonts w:ascii="仿宋" w:eastAsia="仿宋" w:hAnsi="仿宋" w:cs="仿宋" w:hint="eastAsia"/>
            <w:lang w:eastAsia="zh-CN"/>
          </w:rPr>
          <w:t>(二)、休闲专用车及其零附件项目建设必要性分析</w:t>
        </w:r>
        <w:r>
          <w:tab/>
        </w:r>
        <w:r>
          <w:fldChar w:fldCharType="begin"/>
        </w:r>
        <w:r>
          <w:instrText xml:space="preserve"> PAGEREF _Toc29533 \h </w:instrText>
        </w:r>
        <w:r>
          <w:fldChar w:fldCharType="separate"/>
        </w:r>
        <w:r>
          <w:t>5</w:t>
        </w:r>
        <w:r>
          <w:fldChar w:fldCharType="end"/>
        </w:r>
      </w:hyperlink>
    </w:p>
    <w:p>
      <w:pPr>
        <w:pStyle w:val="TOC1"/>
        <w:tabs>
          <w:tab w:val="right" w:leader="dot" w:pos="8306"/>
        </w:tabs>
      </w:pPr>
      <w:hyperlink w:anchor="_Toc25632" w:history="1">
        <w:r>
          <w:rPr>
            <w:rFonts w:ascii="仿宋" w:eastAsia="仿宋" w:hAnsi="仿宋" w:cs="仿宋" w:hint="eastAsia"/>
            <w:lang w:eastAsia="zh-CN"/>
          </w:rPr>
          <w:t>二、休闲专用车及其零附件项目绩效评估</w:t>
        </w:r>
        <w:r>
          <w:tab/>
        </w:r>
        <w:r>
          <w:fldChar w:fldCharType="begin"/>
        </w:r>
        <w:r>
          <w:instrText xml:space="preserve"> PAGEREF _Toc25632 \h </w:instrText>
        </w:r>
        <w:r>
          <w:fldChar w:fldCharType="separate"/>
        </w:r>
        <w:r>
          <w:t>6</w:t>
        </w:r>
        <w:r>
          <w:fldChar w:fldCharType="end"/>
        </w:r>
      </w:hyperlink>
    </w:p>
    <w:p>
      <w:pPr>
        <w:pStyle w:val="TOC2"/>
        <w:tabs>
          <w:tab w:val="right" w:leader="dot" w:pos="8306"/>
        </w:tabs>
      </w:pPr>
      <w:hyperlink w:anchor="_Toc29454" w:history="1">
        <w:r>
          <w:rPr>
            <w:rFonts w:ascii="仿宋" w:eastAsia="仿宋" w:hAnsi="仿宋" w:cs="仿宋" w:hint="eastAsia"/>
            <w:lang w:eastAsia="zh-CN"/>
          </w:rPr>
          <w:t>(一)、绩效评估指标</w:t>
        </w:r>
        <w:r>
          <w:tab/>
        </w:r>
        <w:r>
          <w:fldChar w:fldCharType="begin"/>
        </w:r>
        <w:r>
          <w:instrText xml:space="preserve"> PAGEREF _Toc29454 \h </w:instrText>
        </w:r>
        <w:r>
          <w:fldChar w:fldCharType="separate"/>
        </w:r>
        <w:r>
          <w:t>6</w:t>
        </w:r>
        <w:r>
          <w:fldChar w:fldCharType="end"/>
        </w:r>
      </w:hyperlink>
    </w:p>
    <w:p>
      <w:pPr>
        <w:pStyle w:val="TOC2"/>
        <w:tabs>
          <w:tab w:val="right" w:leader="dot" w:pos="8306"/>
        </w:tabs>
      </w:pPr>
      <w:hyperlink w:anchor="_Toc24721" w:history="1">
        <w:r>
          <w:rPr>
            <w:rFonts w:ascii="仿宋" w:eastAsia="仿宋" w:hAnsi="仿宋" w:cs="仿宋" w:hint="eastAsia"/>
            <w:lang w:eastAsia="zh-CN"/>
          </w:rPr>
          <w:t>(二)、绩效评估方法</w:t>
        </w:r>
        <w:r>
          <w:tab/>
        </w:r>
        <w:r>
          <w:fldChar w:fldCharType="begin"/>
        </w:r>
        <w:r>
          <w:instrText xml:space="preserve"> PAGEREF _Toc24721 \h </w:instrText>
        </w:r>
        <w:r>
          <w:fldChar w:fldCharType="separate"/>
        </w:r>
        <w:r>
          <w:t>7</w:t>
        </w:r>
        <w:r>
          <w:fldChar w:fldCharType="end"/>
        </w:r>
      </w:hyperlink>
    </w:p>
    <w:p>
      <w:pPr>
        <w:pStyle w:val="TOC2"/>
        <w:tabs>
          <w:tab w:val="right" w:leader="dot" w:pos="8306"/>
        </w:tabs>
      </w:pPr>
      <w:hyperlink w:anchor="_Toc20309" w:history="1">
        <w:r>
          <w:rPr>
            <w:rFonts w:ascii="仿宋" w:eastAsia="仿宋" w:hAnsi="仿宋" w:cs="仿宋" w:hint="eastAsia"/>
            <w:lang w:eastAsia="zh-CN"/>
          </w:rPr>
          <w:t>(三)、绩效评估周期</w:t>
        </w:r>
        <w:r>
          <w:tab/>
        </w:r>
        <w:r>
          <w:fldChar w:fldCharType="begin"/>
        </w:r>
        <w:r>
          <w:instrText xml:space="preserve"> PAGEREF _Toc20309 \h </w:instrText>
        </w:r>
        <w:r>
          <w:fldChar w:fldCharType="separate"/>
        </w:r>
        <w:r>
          <w:t>8</w:t>
        </w:r>
        <w:r>
          <w:fldChar w:fldCharType="end"/>
        </w:r>
      </w:hyperlink>
    </w:p>
    <w:p>
      <w:pPr>
        <w:pStyle w:val="TOC1"/>
        <w:tabs>
          <w:tab w:val="right" w:leader="dot" w:pos="8306"/>
        </w:tabs>
      </w:pPr>
      <w:hyperlink w:anchor="_Toc2707" w:history="1">
        <w:r>
          <w:rPr>
            <w:rFonts w:ascii="仿宋" w:eastAsia="仿宋" w:hAnsi="仿宋" w:cs="仿宋" w:hint="eastAsia"/>
            <w:lang w:eastAsia="zh-CN"/>
          </w:rPr>
          <w:t>三、休闲专用车及其零附件项目土建工程</w:t>
        </w:r>
        <w:r>
          <w:tab/>
        </w:r>
        <w:r>
          <w:fldChar w:fldCharType="begin"/>
        </w:r>
        <w:r>
          <w:instrText xml:space="preserve"> PAGEREF _Toc2707 \h </w:instrText>
        </w:r>
        <w:r>
          <w:fldChar w:fldCharType="separate"/>
        </w:r>
        <w:r>
          <w:t>10</w:t>
        </w:r>
        <w:r>
          <w:fldChar w:fldCharType="end"/>
        </w:r>
      </w:hyperlink>
    </w:p>
    <w:p>
      <w:pPr>
        <w:pStyle w:val="TOC2"/>
        <w:tabs>
          <w:tab w:val="right" w:leader="dot" w:pos="8306"/>
        </w:tabs>
      </w:pPr>
      <w:hyperlink w:anchor="_Toc31211" w:history="1">
        <w:r>
          <w:rPr>
            <w:rFonts w:ascii="仿宋" w:eastAsia="仿宋" w:hAnsi="仿宋" w:cs="仿宋" w:hint="eastAsia"/>
            <w:lang w:eastAsia="zh-CN"/>
          </w:rPr>
          <w:t>(一)、建筑工程设计原则</w:t>
        </w:r>
        <w:r>
          <w:tab/>
        </w:r>
        <w:r>
          <w:fldChar w:fldCharType="begin"/>
        </w:r>
        <w:r>
          <w:instrText xml:space="preserve"> PAGEREF _Toc31211 \h </w:instrText>
        </w:r>
        <w:r>
          <w:fldChar w:fldCharType="separate"/>
        </w:r>
        <w:r>
          <w:t>10</w:t>
        </w:r>
        <w:r>
          <w:fldChar w:fldCharType="end"/>
        </w:r>
      </w:hyperlink>
    </w:p>
    <w:p>
      <w:pPr>
        <w:pStyle w:val="TOC2"/>
        <w:tabs>
          <w:tab w:val="right" w:leader="dot" w:pos="8306"/>
        </w:tabs>
      </w:pPr>
      <w:hyperlink w:anchor="_Toc24990" w:history="1">
        <w:r>
          <w:rPr>
            <w:rFonts w:ascii="仿宋" w:eastAsia="仿宋" w:hAnsi="仿宋" w:cs="仿宋" w:hint="eastAsia"/>
            <w:lang w:eastAsia="zh-CN"/>
          </w:rPr>
          <w:t>(二)、土建工程设计年限及安全等级</w:t>
        </w:r>
        <w:r>
          <w:tab/>
        </w:r>
        <w:r>
          <w:fldChar w:fldCharType="begin"/>
        </w:r>
        <w:r>
          <w:instrText xml:space="preserve"> PAGEREF _Toc24990 \h </w:instrText>
        </w:r>
        <w:r>
          <w:fldChar w:fldCharType="separate"/>
        </w:r>
        <w:r>
          <w:t>11</w:t>
        </w:r>
        <w:r>
          <w:fldChar w:fldCharType="end"/>
        </w:r>
      </w:hyperlink>
    </w:p>
    <w:p>
      <w:pPr>
        <w:pStyle w:val="TOC2"/>
        <w:tabs>
          <w:tab w:val="right" w:leader="dot" w:pos="8306"/>
        </w:tabs>
      </w:pPr>
      <w:hyperlink w:anchor="_Toc32387" w:history="1">
        <w:r>
          <w:rPr>
            <w:rFonts w:ascii="仿宋" w:eastAsia="仿宋" w:hAnsi="仿宋" w:cs="仿宋" w:hint="eastAsia"/>
            <w:lang w:eastAsia="zh-CN"/>
          </w:rPr>
          <w:t>(三)、建筑工程设计总体要求</w:t>
        </w:r>
        <w:r>
          <w:tab/>
        </w:r>
        <w:r>
          <w:fldChar w:fldCharType="begin"/>
        </w:r>
        <w:r>
          <w:instrText xml:space="preserve"> PAGEREF _Toc32387 \h </w:instrText>
        </w:r>
        <w:r>
          <w:fldChar w:fldCharType="separate"/>
        </w:r>
        <w:r>
          <w:t>12</w:t>
        </w:r>
        <w:r>
          <w:fldChar w:fldCharType="end"/>
        </w:r>
      </w:hyperlink>
    </w:p>
    <w:p>
      <w:pPr>
        <w:pStyle w:val="TOC2"/>
        <w:tabs>
          <w:tab w:val="right" w:leader="dot" w:pos="8306"/>
        </w:tabs>
      </w:pPr>
      <w:hyperlink w:anchor="_Toc3148" w:history="1">
        <w:r>
          <w:rPr>
            <w:rFonts w:ascii="仿宋" w:eastAsia="仿宋" w:hAnsi="仿宋" w:cs="仿宋" w:hint="eastAsia"/>
            <w:lang w:eastAsia="zh-CN"/>
          </w:rPr>
          <w:t>(四)、土建工程建设指标</w:t>
        </w:r>
        <w:r>
          <w:tab/>
        </w:r>
        <w:r>
          <w:fldChar w:fldCharType="begin"/>
        </w:r>
        <w:r>
          <w:instrText xml:space="preserve"> PAGEREF _Toc3148 \h </w:instrText>
        </w:r>
        <w:r>
          <w:fldChar w:fldCharType="separate"/>
        </w:r>
        <w:r>
          <w:t>13</w:t>
        </w:r>
        <w:r>
          <w:fldChar w:fldCharType="end"/>
        </w:r>
      </w:hyperlink>
    </w:p>
    <w:p>
      <w:pPr>
        <w:pStyle w:val="TOC1"/>
        <w:tabs>
          <w:tab w:val="right" w:leader="dot" w:pos="8306"/>
        </w:tabs>
      </w:pPr>
      <w:hyperlink w:anchor="_Toc21561" w:history="1">
        <w:r>
          <w:rPr>
            <w:rFonts w:ascii="仿宋" w:eastAsia="仿宋" w:hAnsi="仿宋" w:cs="仿宋" w:hint="eastAsia"/>
            <w:lang w:eastAsia="zh-CN"/>
          </w:rPr>
          <w:t>四、休闲专用车及其零附件项目建设单位说明</w:t>
        </w:r>
        <w:r>
          <w:tab/>
        </w:r>
        <w:r>
          <w:fldChar w:fldCharType="begin"/>
        </w:r>
        <w:r>
          <w:instrText xml:space="preserve"> PAGEREF _Toc21561 \h </w:instrText>
        </w:r>
        <w:r>
          <w:fldChar w:fldCharType="separate"/>
        </w:r>
        <w:r>
          <w:t>13</w:t>
        </w:r>
        <w:r>
          <w:fldChar w:fldCharType="end"/>
        </w:r>
      </w:hyperlink>
    </w:p>
    <w:p>
      <w:pPr>
        <w:pStyle w:val="TOC2"/>
        <w:tabs>
          <w:tab w:val="right" w:leader="dot" w:pos="8306"/>
        </w:tabs>
      </w:pPr>
      <w:hyperlink w:anchor="_Toc3208" w:history="1">
        <w:r>
          <w:rPr>
            <w:rFonts w:ascii="仿宋" w:eastAsia="仿宋" w:hAnsi="仿宋" w:cs="仿宋" w:hint="eastAsia"/>
            <w:lang w:eastAsia="zh-CN"/>
          </w:rPr>
          <w:t>(一)、休闲专用车及其零附件项目承办单位基本情况</w:t>
        </w:r>
        <w:r>
          <w:tab/>
        </w:r>
        <w:r>
          <w:fldChar w:fldCharType="begin"/>
        </w:r>
        <w:r>
          <w:instrText xml:space="preserve"> PAGEREF _Toc3208 \h </w:instrText>
        </w:r>
        <w:r>
          <w:fldChar w:fldCharType="separate"/>
        </w:r>
        <w:r>
          <w:t>13</w:t>
        </w:r>
        <w:r>
          <w:fldChar w:fldCharType="end"/>
        </w:r>
      </w:hyperlink>
    </w:p>
    <w:p>
      <w:pPr>
        <w:pStyle w:val="TOC2"/>
        <w:tabs>
          <w:tab w:val="right" w:leader="dot" w:pos="8306"/>
        </w:tabs>
      </w:pPr>
      <w:hyperlink w:anchor="_Toc18311" w:history="1">
        <w:r>
          <w:rPr>
            <w:rFonts w:ascii="仿宋" w:eastAsia="仿宋" w:hAnsi="仿宋" w:cs="仿宋" w:hint="eastAsia"/>
            <w:lang w:eastAsia="zh-CN"/>
          </w:rPr>
          <w:t>(二)、公司经济效益分析</w:t>
        </w:r>
        <w:r>
          <w:tab/>
        </w:r>
        <w:r>
          <w:fldChar w:fldCharType="begin"/>
        </w:r>
        <w:r>
          <w:instrText xml:space="preserve"> PAGEREF _Toc18311 \h </w:instrText>
        </w:r>
        <w:r>
          <w:fldChar w:fldCharType="separate"/>
        </w:r>
        <w:r>
          <w:t>14</w:t>
        </w:r>
        <w:r>
          <w:fldChar w:fldCharType="end"/>
        </w:r>
      </w:hyperlink>
    </w:p>
    <w:p>
      <w:pPr>
        <w:pStyle w:val="TOC1"/>
        <w:tabs>
          <w:tab w:val="right" w:leader="dot" w:pos="8306"/>
        </w:tabs>
      </w:pPr>
      <w:hyperlink w:anchor="_Toc28219" w:history="1">
        <w:r>
          <w:rPr>
            <w:rFonts w:ascii="仿宋" w:eastAsia="仿宋" w:hAnsi="仿宋" w:cs="仿宋" w:hint="eastAsia"/>
            <w:lang w:eastAsia="zh-CN"/>
          </w:rPr>
          <w:t>五、工艺说明</w:t>
        </w:r>
        <w:r>
          <w:tab/>
        </w:r>
        <w:r>
          <w:fldChar w:fldCharType="begin"/>
        </w:r>
        <w:r>
          <w:instrText xml:space="preserve"> PAGEREF _Toc28219 \h </w:instrText>
        </w:r>
        <w:r>
          <w:fldChar w:fldCharType="separate"/>
        </w:r>
        <w:r>
          <w:t>15</w:t>
        </w:r>
        <w:r>
          <w:fldChar w:fldCharType="end"/>
        </w:r>
      </w:hyperlink>
    </w:p>
    <w:p>
      <w:pPr>
        <w:pStyle w:val="TOC2"/>
        <w:tabs>
          <w:tab w:val="right" w:leader="dot" w:pos="8306"/>
        </w:tabs>
      </w:pPr>
      <w:hyperlink w:anchor="_Toc10424" w:history="1">
        <w:r>
          <w:rPr>
            <w:rFonts w:ascii="仿宋" w:eastAsia="仿宋" w:hAnsi="仿宋" w:cs="仿宋" w:hint="eastAsia"/>
            <w:lang w:eastAsia="zh-CN"/>
          </w:rPr>
          <w:t>(一)、技术管理特点</w:t>
        </w:r>
        <w:r>
          <w:tab/>
        </w:r>
        <w:r>
          <w:fldChar w:fldCharType="begin"/>
        </w:r>
        <w:r>
          <w:instrText xml:space="preserve"> PAGEREF _Toc10424 \h </w:instrText>
        </w:r>
        <w:r>
          <w:fldChar w:fldCharType="separate"/>
        </w:r>
        <w:r>
          <w:t>15</w:t>
        </w:r>
        <w:r>
          <w:fldChar w:fldCharType="end"/>
        </w:r>
      </w:hyperlink>
    </w:p>
    <w:p>
      <w:pPr>
        <w:pStyle w:val="TOC2"/>
        <w:tabs>
          <w:tab w:val="right" w:leader="dot" w:pos="8306"/>
        </w:tabs>
      </w:pPr>
      <w:hyperlink w:anchor="_Toc3168" w:history="1">
        <w:r>
          <w:rPr>
            <w:rFonts w:ascii="仿宋" w:eastAsia="仿宋" w:hAnsi="仿宋" w:cs="仿宋" w:hint="eastAsia"/>
            <w:lang w:eastAsia="zh-CN"/>
          </w:rPr>
          <w:t>(二)、休闲专用车及其零附件项目工艺技术设计方案</w:t>
        </w:r>
        <w:r>
          <w:tab/>
        </w:r>
        <w:r>
          <w:fldChar w:fldCharType="begin"/>
        </w:r>
        <w:r>
          <w:instrText xml:space="preserve"> PAGEREF _Toc3168 \h </w:instrText>
        </w:r>
        <w:r>
          <w:fldChar w:fldCharType="separate"/>
        </w:r>
        <w:r>
          <w:t>16</w:t>
        </w:r>
        <w:r>
          <w:fldChar w:fldCharType="end"/>
        </w:r>
      </w:hyperlink>
    </w:p>
    <w:p>
      <w:pPr>
        <w:pStyle w:val="TOC2"/>
        <w:tabs>
          <w:tab w:val="right" w:leader="dot" w:pos="8306"/>
        </w:tabs>
      </w:pPr>
      <w:hyperlink w:anchor="_Toc2877" w:history="1">
        <w:r>
          <w:rPr>
            <w:rFonts w:ascii="仿宋" w:eastAsia="仿宋" w:hAnsi="仿宋" w:cs="仿宋" w:hint="eastAsia"/>
            <w:lang w:eastAsia="zh-CN"/>
          </w:rPr>
          <w:t>(三)、设备选型方案</w:t>
        </w:r>
        <w:r>
          <w:tab/>
        </w:r>
        <w:r>
          <w:fldChar w:fldCharType="begin"/>
        </w:r>
        <w:r>
          <w:instrText xml:space="preserve"> PAGEREF _Toc2877 \h </w:instrText>
        </w:r>
        <w:r>
          <w:fldChar w:fldCharType="separate"/>
        </w:r>
        <w:r>
          <w:t>17</w:t>
        </w:r>
        <w:r>
          <w:fldChar w:fldCharType="end"/>
        </w:r>
      </w:hyperlink>
    </w:p>
    <w:p>
      <w:pPr>
        <w:pStyle w:val="TOC1"/>
        <w:tabs>
          <w:tab w:val="right" w:leader="dot" w:pos="8306"/>
        </w:tabs>
      </w:pPr>
      <w:hyperlink w:anchor="_Toc10141" w:history="1">
        <w:r>
          <w:rPr>
            <w:rFonts w:ascii="仿宋" w:eastAsia="仿宋" w:hAnsi="仿宋" w:cs="仿宋" w:hint="eastAsia"/>
            <w:lang w:eastAsia="zh-CN"/>
          </w:rPr>
          <w:t>六、市场分析、调研</w:t>
        </w:r>
        <w:r>
          <w:tab/>
        </w:r>
        <w:r>
          <w:fldChar w:fldCharType="begin"/>
        </w:r>
        <w:r>
          <w:instrText xml:space="preserve"> PAGEREF _Toc10141 \h </w:instrText>
        </w:r>
        <w:r>
          <w:fldChar w:fldCharType="separate"/>
        </w:r>
        <w:r>
          <w:t>19</w:t>
        </w:r>
        <w:r>
          <w:fldChar w:fldCharType="end"/>
        </w:r>
      </w:hyperlink>
    </w:p>
    <w:p>
      <w:pPr>
        <w:pStyle w:val="TOC2"/>
        <w:tabs>
          <w:tab w:val="right" w:leader="dot" w:pos="8306"/>
        </w:tabs>
      </w:pPr>
      <w:hyperlink w:anchor="_Toc1094" w:history="1">
        <w:r>
          <w:rPr>
            <w:rFonts w:ascii="仿宋" w:eastAsia="仿宋" w:hAnsi="仿宋" w:cs="仿宋" w:hint="eastAsia"/>
            <w:lang w:eastAsia="zh-CN"/>
          </w:rPr>
          <w:t>(一)、休闲专用车及其零附件行业分析</w:t>
        </w:r>
        <w:r>
          <w:tab/>
        </w:r>
        <w:r>
          <w:fldChar w:fldCharType="begin"/>
        </w:r>
        <w:r>
          <w:instrText xml:space="preserve"> PAGEREF _Toc1094 \h </w:instrText>
        </w:r>
        <w:r>
          <w:fldChar w:fldCharType="separate"/>
        </w:r>
        <w:r>
          <w:t>19</w:t>
        </w:r>
        <w:r>
          <w:fldChar w:fldCharType="end"/>
        </w:r>
      </w:hyperlink>
    </w:p>
    <w:p>
      <w:pPr>
        <w:pStyle w:val="TOC2"/>
        <w:tabs>
          <w:tab w:val="right" w:leader="dot" w:pos="8306"/>
        </w:tabs>
      </w:pPr>
      <w:hyperlink w:anchor="_Toc8925" w:history="1">
        <w:r>
          <w:rPr>
            <w:rFonts w:ascii="仿宋" w:eastAsia="仿宋" w:hAnsi="仿宋" w:cs="仿宋" w:hint="eastAsia"/>
            <w:lang w:eastAsia="zh-CN"/>
          </w:rPr>
          <w:t>(二)、休闲专用车及其零附件市场分析预测</w:t>
        </w:r>
        <w:r>
          <w:tab/>
        </w:r>
        <w:r>
          <w:fldChar w:fldCharType="begin"/>
        </w:r>
        <w:r>
          <w:instrText xml:space="preserve"> PAGEREF _Toc8925 \h </w:instrText>
        </w:r>
        <w:r>
          <w:fldChar w:fldCharType="separate"/>
        </w:r>
        <w:r>
          <w:t>19</w:t>
        </w:r>
        <w:r>
          <w:fldChar w:fldCharType="end"/>
        </w:r>
      </w:hyperlink>
    </w:p>
    <w:p>
      <w:pPr>
        <w:pStyle w:val="TOC1"/>
        <w:tabs>
          <w:tab w:val="right" w:leader="dot" w:pos="8306"/>
        </w:tabs>
      </w:pPr>
      <w:hyperlink w:anchor="_Toc2962" w:history="1">
        <w:r>
          <w:rPr>
            <w:rFonts w:ascii="仿宋" w:eastAsia="仿宋" w:hAnsi="仿宋" w:cs="仿宋" w:hint="eastAsia"/>
            <w:lang w:eastAsia="zh-CN"/>
          </w:rPr>
          <w:t>七、生产安全保护</w:t>
        </w:r>
        <w:r>
          <w:tab/>
        </w:r>
        <w:r>
          <w:fldChar w:fldCharType="begin"/>
        </w:r>
        <w:r>
          <w:instrText xml:space="preserve"> PAGEREF _Toc2962 \h </w:instrText>
        </w:r>
        <w:r>
          <w:fldChar w:fldCharType="separate"/>
        </w:r>
        <w:r>
          <w:t>20</w:t>
        </w:r>
        <w:r>
          <w:fldChar w:fldCharType="end"/>
        </w:r>
      </w:hyperlink>
    </w:p>
    <w:p>
      <w:pPr>
        <w:pStyle w:val="TOC2"/>
        <w:tabs>
          <w:tab w:val="right" w:leader="dot" w:pos="8306"/>
        </w:tabs>
      </w:pPr>
      <w:hyperlink w:anchor="_Toc7547" w:history="1">
        <w:r>
          <w:rPr>
            <w:rFonts w:ascii="仿宋" w:eastAsia="仿宋" w:hAnsi="仿宋" w:cs="仿宋" w:hint="eastAsia"/>
            <w:lang w:eastAsia="zh-CN"/>
          </w:rPr>
          <w:t>(一)、消防安全</w:t>
        </w:r>
        <w:r>
          <w:tab/>
        </w:r>
        <w:r>
          <w:fldChar w:fldCharType="begin"/>
        </w:r>
        <w:r>
          <w:instrText xml:space="preserve"> PAGEREF _Toc7547 \h </w:instrText>
        </w:r>
        <w:r>
          <w:fldChar w:fldCharType="separate"/>
        </w:r>
        <w:r>
          <w:t>20</w:t>
        </w:r>
        <w:r>
          <w:fldChar w:fldCharType="end"/>
        </w:r>
      </w:hyperlink>
    </w:p>
    <w:p>
      <w:pPr>
        <w:pStyle w:val="TOC2"/>
        <w:tabs>
          <w:tab w:val="right" w:leader="dot" w:pos="8306"/>
        </w:tabs>
      </w:pPr>
      <w:hyperlink w:anchor="_Toc30547" w:history="1">
        <w:r>
          <w:rPr>
            <w:rFonts w:ascii="仿宋" w:eastAsia="仿宋" w:hAnsi="仿宋" w:cs="仿宋" w:hint="eastAsia"/>
            <w:lang w:eastAsia="zh-CN"/>
          </w:rPr>
          <w:t>(二)、防火防爆总图布置措施</w:t>
        </w:r>
        <w:r>
          <w:tab/>
        </w:r>
        <w:r>
          <w:fldChar w:fldCharType="begin"/>
        </w:r>
        <w:r>
          <w:instrText xml:space="preserve"> PAGEREF _Toc30547 \h </w:instrText>
        </w:r>
        <w:r>
          <w:fldChar w:fldCharType="separate"/>
        </w:r>
        <w:r>
          <w:t>22</w:t>
        </w:r>
        <w:r>
          <w:fldChar w:fldCharType="end"/>
        </w:r>
      </w:hyperlink>
    </w:p>
    <w:p>
      <w:pPr>
        <w:pStyle w:val="TOC2"/>
        <w:tabs>
          <w:tab w:val="right" w:leader="dot" w:pos="8306"/>
        </w:tabs>
      </w:pPr>
      <w:hyperlink w:anchor="_Toc8190" w:history="1">
        <w:r>
          <w:rPr>
            <w:rFonts w:ascii="仿宋" w:eastAsia="仿宋" w:hAnsi="仿宋" w:cs="仿宋" w:hint="eastAsia"/>
            <w:lang w:eastAsia="zh-CN"/>
          </w:rPr>
          <w:t>(三)、自然灾害防范措施</w:t>
        </w:r>
        <w:r>
          <w:tab/>
        </w:r>
        <w:r>
          <w:fldChar w:fldCharType="begin"/>
        </w:r>
        <w:r>
          <w:instrText xml:space="preserve"> PAGEREF _Toc8190 \h </w:instrText>
        </w:r>
        <w:r>
          <w:fldChar w:fldCharType="separate"/>
        </w:r>
        <w:r>
          <w:t>23</w:t>
        </w:r>
        <w:r>
          <w:fldChar w:fldCharType="end"/>
        </w:r>
      </w:hyperlink>
    </w:p>
    <w:p>
      <w:pPr>
        <w:pStyle w:val="TOC2"/>
        <w:tabs>
          <w:tab w:val="right" w:leader="dot" w:pos="8306"/>
        </w:tabs>
      </w:pPr>
      <w:hyperlink w:anchor="_Toc5270" w:history="1">
        <w:r>
          <w:rPr>
            <w:rFonts w:ascii="仿宋" w:eastAsia="仿宋" w:hAnsi="仿宋" w:cs="仿宋" w:hint="eastAsia"/>
            <w:lang w:eastAsia="zh-CN"/>
          </w:rPr>
          <w:t>(四)、安全色及安全标志使用要求</w:t>
        </w:r>
        <w:r>
          <w:tab/>
        </w:r>
        <w:r>
          <w:fldChar w:fldCharType="begin"/>
        </w:r>
        <w:r>
          <w:instrText xml:space="preserve"> PAGEREF _Toc5270 \h </w:instrText>
        </w:r>
        <w:r>
          <w:fldChar w:fldCharType="separate"/>
        </w:r>
        <w:r>
          <w:t>24</w:t>
        </w:r>
        <w:r>
          <w:fldChar w:fldCharType="end"/>
        </w:r>
      </w:hyperlink>
    </w:p>
    <w:p>
      <w:pPr>
        <w:pStyle w:val="TOC2"/>
        <w:tabs>
          <w:tab w:val="right" w:leader="dot" w:pos="8306"/>
        </w:tabs>
      </w:pPr>
      <w:hyperlink w:anchor="_Toc30580" w:history="1">
        <w:r>
          <w:rPr>
            <w:rFonts w:ascii="仿宋" w:eastAsia="仿宋" w:hAnsi="仿宋" w:cs="仿宋" w:hint="eastAsia"/>
            <w:lang w:eastAsia="zh-CN"/>
          </w:rPr>
          <w:t>(五)、防尘防毒措施</w:t>
        </w:r>
        <w:r>
          <w:tab/>
        </w:r>
        <w:r>
          <w:fldChar w:fldCharType="begin"/>
        </w:r>
        <w:r>
          <w:instrText xml:space="preserve"> PAGEREF _Toc30580 \h </w:instrText>
        </w:r>
        <w:r>
          <w:fldChar w:fldCharType="separate"/>
        </w:r>
        <w:r>
          <w:t>25</w:t>
        </w:r>
        <w:r>
          <w:fldChar w:fldCharType="end"/>
        </w:r>
      </w:hyperlink>
    </w:p>
    <w:p>
      <w:pPr>
        <w:pStyle w:val="TOC2"/>
        <w:tabs>
          <w:tab w:val="right" w:leader="dot" w:pos="8306"/>
        </w:tabs>
      </w:pPr>
      <w:hyperlink w:anchor="_Toc10133" w:history="1">
        <w:r>
          <w:rPr>
            <w:rFonts w:ascii="仿宋" w:eastAsia="仿宋" w:hAnsi="仿宋" w:cs="仿宋" w:hint="eastAsia"/>
            <w:lang w:eastAsia="zh-CN"/>
          </w:rPr>
          <w:t>(六)、防静电、触电防护及防雷措施</w:t>
        </w:r>
        <w:r>
          <w:tab/>
        </w:r>
        <w:r>
          <w:fldChar w:fldCharType="begin"/>
        </w:r>
        <w:r>
          <w:instrText xml:space="preserve"> PAGEREF _Toc10133 \h </w:instrText>
        </w:r>
        <w:r>
          <w:fldChar w:fldCharType="separate"/>
        </w:r>
        <w:r>
          <w:t>26</w:t>
        </w:r>
        <w:r>
          <w:fldChar w:fldCharType="end"/>
        </w:r>
      </w:hyperlink>
    </w:p>
    <w:p>
      <w:pPr>
        <w:pStyle w:val="TOC2"/>
        <w:tabs>
          <w:tab w:val="right" w:leader="dot" w:pos="8306"/>
        </w:tabs>
      </w:pPr>
      <w:hyperlink w:anchor="_Toc31985" w:history="1">
        <w:r>
          <w:rPr>
            <w:rFonts w:ascii="仿宋" w:eastAsia="仿宋" w:hAnsi="仿宋" w:cs="仿宋" w:hint="eastAsia"/>
            <w:lang w:eastAsia="zh-CN"/>
          </w:rPr>
          <w:t>(七)、机械设备安全保障措施</w:t>
        </w:r>
        <w:r>
          <w:tab/>
        </w:r>
        <w:r>
          <w:fldChar w:fldCharType="begin"/>
        </w:r>
        <w:r>
          <w:instrText xml:space="preserve"> PAGEREF _Toc31985 \h </w:instrText>
        </w:r>
        <w:r>
          <w:fldChar w:fldCharType="separate"/>
        </w:r>
        <w:r>
          <w:t>27</w:t>
        </w:r>
        <w:r>
          <w:fldChar w:fldCharType="end"/>
        </w:r>
      </w:hyperlink>
    </w:p>
    <w:p>
      <w:pPr>
        <w:pStyle w:val="TOC1"/>
        <w:tabs>
          <w:tab w:val="right" w:leader="dot" w:pos="8306"/>
        </w:tabs>
      </w:pPr>
      <w:hyperlink w:anchor="_Toc15315" w:history="1">
        <w:r>
          <w:rPr>
            <w:rFonts w:ascii="仿宋" w:eastAsia="仿宋" w:hAnsi="仿宋" w:cs="仿宋" w:hint="eastAsia"/>
            <w:lang w:eastAsia="zh-CN"/>
          </w:rPr>
          <w:t>八、休闲专用车及其零附件项目人力资源培养与发展</w:t>
        </w:r>
        <w:r>
          <w:tab/>
        </w:r>
        <w:r>
          <w:fldChar w:fldCharType="begin"/>
        </w:r>
        <w:r>
          <w:instrText xml:space="preserve"> PAGEREF _Toc15315 \h </w:instrText>
        </w:r>
        <w:r>
          <w:fldChar w:fldCharType="separate"/>
        </w:r>
        <w:r>
          <w:t>29</w:t>
        </w:r>
        <w:r>
          <w:fldChar w:fldCharType="end"/>
        </w:r>
      </w:hyperlink>
    </w:p>
    <w:p>
      <w:pPr>
        <w:pStyle w:val="TOC2"/>
        <w:tabs>
          <w:tab w:val="right" w:leader="dot" w:pos="8306"/>
        </w:tabs>
      </w:pPr>
      <w:hyperlink w:anchor="_Toc12733" w:history="1">
        <w:r>
          <w:rPr>
            <w:rFonts w:ascii="仿宋" w:eastAsia="仿宋" w:hAnsi="仿宋" w:cs="仿宋" w:hint="eastAsia"/>
            <w:lang w:eastAsia="zh-CN"/>
          </w:rPr>
          <w:t>(一)、人才需求与规划</w:t>
        </w:r>
        <w:r>
          <w:tab/>
        </w:r>
        <w:r>
          <w:fldChar w:fldCharType="begin"/>
        </w:r>
        <w:r>
          <w:instrText xml:space="preserve"> PAGEREF _Toc12733 \h </w:instrText>
        </w:r>
        <w:r>
          <w:fldChar w:fldCharType="separate"/>
        </w:r>
        <w:r>
          <w:t>29</w:t>
        </w:r>
        <w:r>
          <w:fldChar w:fldCharType="end"/>
        </w:r>
      </w:hyperlink>
    </w:p>
    <w:p>
      <w:pPr>
        <w:pStyle w:val="TOC2"/>
        <w:tabs>
          <w:tab w:val="right" w:leader="dot" w:pos="8306"/>
        </w:tabs>
      </w:pPr>
      <w:hyperlink w:anchor="_Toc10749" w:history="1">
        <w:r>
          <w:rPr>
            <w:rFonts w:ascii="仿宋" w:eastAsia="仿宋" w:hAnsi="仿宋" w:cs="仿宋" w:hint="eastAsia"/>
            <w:lang w:eastAsia="zh-CN"/>
          </w:rPr>
          <w:t>(二)、培训与发展计划</w:t>
        </w:r>
        <w:r>
          <w:tab/>
        </w:r>
        <w:r>
          <w:fldChar w:fldCharType="begin"/>
        </w:r>
        <w:r>
          <w:instrText xml:space="preserve"> PAGEREF _Toc10749 \h </w:instrText>
        </w:r>
        <w:r>
          <w:fldChar w:fldCharType="separate"/>
        </w:r>
        <w:r>
          <w:t>30</w:t>
        </w:r>
        <w:r>
          <w:fldChar w:fldCharType="end"/>
        </w:r>
      </w:hyperlink>
    </w:p>
    <w:p>
      <w:pPr>
        <w:pStyle w:val="TOC1"/>
        <w:tabs>
          <w:tab w:val="right" w:leader="dot" w:pos="8306"/>
        </w:tabs>
      </w:pPr>
      <w:hyperlink w:anchor="_Toc7732" w:history="1">
        <w:r>
          <w:rPr>
            <w:rFonts w:ascii="仿宋" w:eastAsia="仿宋" w:hAnsi="仿宋" w:cs="仿宋" w:hint="eastAsia"/>
            <w:lang w:eastAsia="zh-CN"/>
          </w:rPr>
          <w:t>九、休闲专用车及其零附件项目财务管理</w:t>
        </w:r>
        <w:r>
          <w:tab/>
        </w:r>
        <w:r>
          <w:fldChar w:fldCharType="begin"/>
        </w:r>
        <w:r>
          <w:instrText xml:space="preserve"> PAGEREF _Toc7732 \h </w:instrText>
        </w:r>
        <w:r>
          <w:fldChar w:fldCharType="separate"/>
        </w:r>
        <w:r>
          <w:t>30</w:t>
        </w:r>
        <w:r>
          <w:fldChar w:fldCharType="end"/>
        </w:r>
      </w:hyperlink>
    </w:p>
    <w:p>
      <w:pPr>
        <w:pStyle w:val="TOC2"/>
        <w:tabs>
          <w:tab w:val="right" w:leader="dot" w:pos="8306"/>
        </w:tabs>
      </w:pPr>
      <w:hyperlink w:anchor="_Toc10718" w:history="1">
        <w:r>
          <w:rPr>
            <w:rFonts w:ascii="仿宋" w:eastAsia="仿宋" w:hAnsi="仿宋" w:cs="仿宋" w:hint="eastAsia"/>
            <w:lang w:eastAsia="zh-CN"/>
          </w:rPr>
          <w:t>(一)、资金需求大</w:t>
        </w:r>
        <w:r>
          <w:tab/>
        </w:r>
        <w:r>
          <w:fldChar w:fldCharType="begin"/>
        </w:r>
        <w:r>
          <w:instrText xml:space="preserve"> PAGEREF _Toc10718 \h </w:instrText>
        </w:r>
        <w:r>
          <w:fldChar w:fldCharType="separate"/>
        </w:r>
        <w:r>
          <w:t>30</w:t>
        </w:r>
        <w:r>
          <w:fldChar w:fldCharType="end"/>
        </w:r>
      </w:hyperlink>
    </w:p>
    <w:p>
      <w:pPr>
        <w:pStyle w:val="TOC2"/>
        <w:tabs>
          <w:tab w:val="right" w:leader="dot" w:pos="8306"/>
        </w:tabs>
      </w:pPr>
      <w:hyperlink w:anchor="_Toc4198" w:history="1">
        <w:r>
          <w:rPr>
            <w:rFonts w:ascii="仿宋" w:eastAsia="仿宋" w:hAnsi="仿宋" w:cs="仿宋" w:hint="eastAsia"/>
            <w:lang w:eastAsia="zh-CN"/>
          </w:rPr>
          <w:t>(二)、研发周期长</w:t>
        </w:r>
        <w:r>
          <w:tab/>
        </w:r>
        <w:r>
          <w:fldChar w:fldCharType="begin"/>
        </w:r>
        <w:r>
          <w:instrText xml:space="preserve"> PAGEREF _Toc4198 \h </w:instrText>
        </w:r>
        <w:r>
          <w:fldChar w:fldCharType="separate"/>
        </w:r>
        <w:r>
          <w:t>31</w:t>
        </w:r>
        <w:r>
          <w:fldChar w:fldCharType="end"/>
        </w:r>
      </w:hyperlink>
    </w:p>
    <w:p>
      <w:pPr>
        <w:pStyle w:val="TOC2"/>
        <w:tabs>
          <w:tab w:val="right" w:leader="dot" w:pos="8306"/>
        </w:tabs>
      </w:pPr>
      <w:hyperlink w:anchor="_Toc14569" w:history="1">
        <w:r>
          <w:rPr>
            <w:rFonts w:ascii="仿宋" w:eastAsia="仿宋" w:hAnsi="仿宋" w:cs="仿宋" w:hint="eastAsia"/>
            <w:lang w:eastAsia="zh-CN"/>
          </w:rPr>
          <w:t>(三)、市场风险大</w:t>
        </w:r>
        <w:r>
          <w:tab/>
        </w:r>
        <w:r>
          <w:fldChar w:fldCharType="begin"/>
        </w:r>
        <w:r>
          <w:instrText xml:space="preserve"> PAGEREF _Toc14569 \h </w:instrText>
        </w:r>
        <w:r>
          <w:fldChar w:fldCharType="separate"/>
        </w:r>
        <w:r>
          <w:t>33</w:t>
        </w:r>
        <w:r>
          <w:fldChar w:fldCharType="end"/>
        </w:r>
      </w:hyperlink>
    </w:p>
    <w:p>
      <w:pPr>
        <w:pStyle w:val="TOC2"/>
        <w:tabs>
          <w:tab w:val="right" w:leader="dot" w:pos="8306"/>
        </w:tabs>
      </w:pPr>
      <w:hyperlink w:anchor="_Toc250" w:history="1">
        <w:r>
          <w:rPr>
            <w:rFonts w:ascii="仿宋" w:eastAsia="仿宋" w:hAnsi="仿宋" w:cs="仿宋" w:hint="eastAsia"/>
            <w:lang w:eastAsia="zh-CN"/>
          </w:rPr>
          <w:t>(四)、利润率高</w:t>
        </w:r>
        <w:r>
          <w:tab/>
        </w:r>
        <w:r>
          <w:fldChar w:fldCharType="begin"/>
        </w:r>
        <w:r>
          <w:instrText xml:space="preserve"> PAGEREF _Toc250 \h </w:instrText>
        </w:r>
        <w:r>
          <w:fldChar w:fldCharType="separate"/>
        </w:r>
        <w:r>
          <w:t>36</w:t>
        </w:r>
        <w:r>
          <w:fldChar w:fldCharType="end"/>
        </w:r>
      </w:hyperlink>
    </w:p>
    <w:p>
      <w:pPr>
        <w:pStyle w:val="TOC1"/>
        <w:tabs>
          <w:tab w:val="right" w:leader="dot" w:pos="8306"/>
        </w:tabs>
      </w:pPr>
      <w:hyperlink w:anchor="_Toc8747" w:history="1">
        <w:r>
          <w:rPr>
            <w:rFonts w:ascii="仿宋" w:eastAsia="仿宋" w:hAnsi="仿宋" w:cs="仿宋" w:hint="eastAsia"/>
            <w:lang w:eastAsia="zh-CN"/>
          </w:rPr>
          <w:t>十、休闲专用车及其零附件项目投资规划</w:t>
        </w:r>
        <w:r>
          <w:tab/>
        </w:r>
        <w:r>
          <w:fldChar w:fldCharType="begin"/>
        </w:r>
        <w:r>
          <w:instrText xml:space="preserve"> PAGEREF _Toc8747 \h </w:instrText>
        </w:r>
        <w:r>
          <w:fldChar w:fldCharType="separate"/>
        </w:r>
        <w:r>
          <w:t>38</w:t>
        </w:r>
        <w:r>
          <w:fldChar w:fldCharType="end"/>
        </w:r>
      </w:hyperlink>
    </w:p>
    <w:p>
      <w:pPr>
        <w:pStyle w:val="TOC2"/>
        <w:tabs>
          <w:tab w:val="right" w:leader="dot" w:pos="8306"/>
        </w:tabs>
      </w:pPr>
      <w:hyperlink w:anchor="_Toc22495" w:history="1">
        <w:r>
          <w:rPr>
            <w:rFonts w:ascii="仿宋" w:eastAsia="仿宋" w:hAnsi="仿宋" w:cs="仿宋" w:hint="eastAsia"/>
            <w:lang w:eastAsia="zh-CN"/>
          </w:rPr>
          <w:t>(一)、休闲专用车及其零附件项目总投资估算</w:t>
        </w:r>
        <w:r>
          <w:tab/>
        </w:r>
        <w:r>
          <w:fldChar w:fldCharType="begin"/>
        </w:r>
        <w:r>
          <w:instrText xml:space="preserve"> PAGEREF _Toc22495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1" w:history="1">
        <w:r>
          <w:rPr>
            <w:rFonts w:ascii="仿宋" w:eastAsia="仿宋" w:hAnsi="仿宋" w:cs="仿宋" w:hint="eastAsia"/>
            <w:lang w:eastAsia="zh-CN"/>
          </w:rPr>
          <w:t>(二)、资金筹措</w:t>
        </w:r>
        <w:r>
          <w:tab/>
        </w:r>
        <w:r>
          <w:fldChar w:fldCharType="begin"/>
        </w:r>
        <w:r>
          <w:instrText xml:space="preserve"> PAGEREF _Toc6811 \h </w:instrText>
        </w:r>
        <w:r>
          <w:fldChar w:fldCharType="separate"/>
        </w:r>
        <w:r>
          <w:t>39</w:t>
        </w:r>
        <w:r>
          <w:fldChar w:fldCharType="end"/>
        </w:r>
      </w:hyperlink>
    </w:p>
    <w:p>
      <w:pPr>
        <w:pStyle w:val="TOC1"/>
        <w:tabs>
          <w:tab w:val="right" w:leader="dot" w:pos="8306"/>
        </w:tabs>
      </w:pPr>
      <w:hyperlink w:anchor="_Toc22480" w:history="1">
        <w:r>
          <w:rPr>
            <w:rFonts w:ascii="仿宋" w:eastAsia="仿宋" w:hAnsi="仿宋" w:cs="仿宋" w:hint="eastAsia"/>
            <w:lang w:eastAsia="zh-CN"/>
          </w:rPr>
          <w:t>十一、休闲专用车及其零附件项目社会影响</w:t>
        </w:r>
        <w:r>
          <w:tab/>
        </w:r>
        <w:r>
          <w:fldChar w:fldCharType="begin"/>
        </w:r>
        <w:r>
          <w:instrText xml:space="preserve"> PAGEREF _Toc22480 \h </w:instrText>
        </w:r>
        <w:r>
          <w:fldChar w:fldCharType="separate"/>
        </w:r>
        <w:r>
          <w:t>40</w:t>
        </w:r>
        <w:r>
          <w:fldChar w:fldCharType="end"/>
        </w:r>
      </w:hyperlink>
    </w:p>
    <w:p>
      <w:pPr>
        <w:pStyle w:val="TOC2"/>
        <w:tabs>
          <w:tab w:val="right" w:leader="dot" w:pos="8306"/>
        </w:tabs>
      </w:pPr>
      <w:hyperlink w:anchor="_Toc15653" w:history="1">
        <w:r>
          <w:rPr>
            <w:rFonts w:ascii="仿宋" w:eastAsia="仿宋" w:hAnsi="仿宋" w:cs="仿宋" w:hint="eastAsia"/>
            <w:lang w:eastAsia="zh-CN"/>
          </w:rPr>
          <w:t>(一)、社会责任与义务</w:t>
        </w:r>
        <w:r>
          <w:tab/>
        </w:r>
        <w:r>
          <w:fldChar w:fldCharType="begin"/>
        </w:r>
        <w:r>
          <w:instrText xml:space="preserve"> PAGEREF _Toc15653 \h </w:instrText>
        </w:r>
        <w:r>
          <w:fldChar w:fldCharType="separate"/>
        </w:r>
        <w:r>
          <w:t>40</w:t>
        </w:r>
        <w:r>
          <w:fldChar w:fldCharType="end"/>
        </w:r>
      </w:hyperlink>
    </w:p>
    <w:p>
      <w:pPr>
        <w:pStyle w:val="TOC2"/>
        <w:tabs>
          <w:tab w:val="right" w:leader="dot" w:pos="8306"/>
        </w:tabs>
      </w:pPr>
      <w:hyperlink w:anchor="_Toc28346" w:history="1">
        <w:r>
          <w:rPr>
            <w:rFonts w:ascii="仿宋" w:eastAsia="仿宋" w:hAnsi="仿宋" w:cs="仿宋" w:hint="eastAsia"/>
            <w:lang w:eastAsia="zh-CN"/>
          </w:rPr>
          <w:t>(二)、社会参与与沟通</w:t>
        </w:r>
        <w:r>
          <w:tab/>
        </w:r>
        <w:r>
          <w:fldChar w:fldCharType="begin"/>
        </w:r>
        <w:r>
          <w:instrText xml:space="preserve"> PAGEREF _Toc28346 \h </w:instrText>
        </w:r>
        <w:r>
          <w:fldChar w:fldCharType="separate"/>
        </w:r>
        <w:r>
          <w:t>41</w:t>
        </w:r>
        <w:r>
          <w:fldChar w:fldCharType="end"/>
        </w:r>
      </w:hyperlink>
    </w:p>
    <w:p>
      <w:pPr>
        <w:pStyle w:val="TOC1"/>
        <w:tabs>
          <w:tab w:val="right" w:leader="dot" w:pos="8306"/>
        </w:tabs>
      </w:pPr>
      <w:hyperlink w:anchor="_Toc19434" w:history="1">
        <w:r>
          <w:rPr>
            <w:rFonts w:ascii="仿宋" w:eastAsia="仿宋" w:hAnsi="仿宋" w:cs="仿宋" w:hint="eastAsia"/>
            <w:lang w:eastAsia="zh-CN"/>
          </w:rPr>
          <w:t>十二、休闲专用车及其零附件项目技术管理</w:t>
        </w:r>
        <w:r>
          <w:tab/>
        </w:r>
        <w:r>
          <w:fldChar w:fldCharType="begin"/>
        </w:r>
        <w:r>
          <w:instrText xml:space="preserve"> PAGEREF _Toc19434 \h </w:instrText>
        </w:r>
        <w:r>
          <w:fldChar w:fldCharType="separate"/>
        </w:r>
        <w:r>
          <w:t>42</w:t>
        </w:r>
        <w:r>
          <w:fldChar w:fldCharType="end"/>
        </w:r>
      </w:hyperlink>
    </w:p>
    <w:p>
      <w:pPr>
        <w:pStyle w:val="TOC2"/>
        <w:tabs>
          <w:tab w:val="right" w:leader="dot" w:pos="8306"/>
        </w:tabs>
      </w:pPr>
      <w:hyperlink w:anchor="_Toc23168" w:history="1">
        <w:r>
          <w:rPr>
            <w:rFonts w:ascii="仿宋" w:eastAsia="仿宋" w:hAnsi="仿宋" w:cs="仿宋" w:hint="eastAsia"/>
            <w:lang w:eastAsia="zh-CN"/>
          </w:rPr>
          <w:t>(一)、技术方案选用方向</w:t>
        </w:r>
        <w:r>
          <w:tab/>
        </w:r>
        <w:r>
          <w:fldChar w:fldCharType="begin"/>
        </w:r>
        <w:r>
          <w:instrText xml:space="preserve"> PAGEREF _Toc23168 \h </w:instrText>
        </w:r>
        <w:r>
          <w:fldChar w:fldCharType="separate"/>
        </w:r>
        <w:r>
          <w:t>42</w:t>
        </w:r>
        <w:r>
          <w:fldChar w:fldCharType="end"/>
        </w:r>
      </w:hyperlink>
    </w:p>
    <w:p>
      <w:pPr>
        <w:pStyle w:val="TOC2"/>
        <w:tabs>
          <w:tab w:val="right" w:leader="dot" w:pos="8306"/>
        </w:tabs>
      </w:pPr>
      <w:hyperlink w:anchor="_Toc2174" w:history="1">
        <w:r>
          <w:rPr>
            <w:rFonts w:ascii="仿宋" w:eastAsia="仿宋" w:hAnsi="仿宋" w:cs="仿宋" w:hint="eastAsia"/>
            <w:lang w:eastAsia="zh-CN"/>
          </w:rPr>
          <w:t>(二)、工艺技术方案选用原则</w:t>
        </w:r>
        <w:r>
          <w:tab/>
        </w:r>
        <w:r>
          <w:fldChar w:fldCharType="begin"/>
        </w:r>
        <w:r>
          <w:instrText xml:space="preserve"> PAGEREF _Toc2174 \h </w:instrText>
        </w:r>
        <w:r>
          <w:fldChar w:fldCharType="separate"/>
        </w:r>
        <w:r>
          <w:t>44</w:t>
        </w:r>
        <w:r>
          <w:fldChar w:fldCharType="end"/>
        </w:r>
      </w:hyperlink>
    </w:p>
    <w:p>
      <w:pPr>
        <w:pStyle w:val="TOC2"/>
        <w:tabs>
          <w:tab w:val="right" w:leader="dot" w:pos="8306"/>
        </w:tabs>
      </w:pPr>
      <w:hyperlink w:anchor="_Toc19634" w:history="1">
        <w:r>
          <w:rPr>
            <w:rFonts w:ascii="仿宋" w:eastAsia="仿宋" w:hAnsi="仿宋" w:cs="仿宋" w:hint="eastAsia"/>
            <w:lang w:eastAsia="zh-CN"/>
          </w:rPr>
          <w:t>(三)、工艺技术方案要求</w:t>
        </w:r>
        <w:r>
          <w:tab/>
        </w:r>
        <w:r>
          <w:fldChar w:fldCharType="begin"/>
        </w:r>
        <w:r>
          <w:instrText xml:space="preserve"> PAGEREF _Toc19634 \h </w:instrText>
        </w:r>
        <w:r>
          <w:fldChar w:fldCharType="separate"/>
        </w:r>
        <w:r>
          <w:t>46</w:t>
        </w:r>
        <w:r>
          <w:fldChar w:fldCharType="end"/>
        </w:r>
      </w:hyperlink>
    </w:p>
    <w:p>
      <w:pPr>
        <w:pStyle w:val="TOC1"/>
        <w:tabs>
          <w:tab w:val="right" w:leader="dot" w:pos="8306"/>
        </w:tabs>
      </w:pPr>
      <w:hyperlink w:anchor="_Toc17207" w:history="1">
        <w:r>
          <w:rPr>
            <w:rFonts w:ascii="仿宋" w:eastAsia="仿宋" w:hAnsi="仿宋" w:cs="仿宋" w:hint="eastAsia"/>
            <w:lang w:eastAsia="zh-CN"/>
          </w:rPr>
          <w:t>十三、休闲专用车及其零附件项目实施保障措施</w:t>
        </w:r>
        <w:r>
          <w:tab/>
        </w:r>
        <w:r>
          <w:fldChar w:fldCharType="begin"/>
        </w:r>
        <w:r>
          <w:instrText xml:space="preserve"> PAGEREF _Toc17207 \h </w:instrText>
        </w:r>
        <w:r>
          <w:fldChar w:fldCharType="separate"/>
        </w:r>
        <w:r>
          <w:t>48</w:t>
        </w:r>
        <w:r>
          <w:fldChar w:fldCharType="end"/>
        </w:r>
      </w:hyperlink>
    </w:p>
    <w:p>
      <w:pPr>
        <w:pStyle w:val="TOC2"/>
        <w:tabs>
          <w:tab w:val="right" w:leader="dot" w:pos="8306"/>
        </w:tabs>
      </w:pPr>
      <w:hyperlink w:anchor="_Toc19765" w:history="1">
        <w:r>
          <w:rPr>
            <w:rFonts w:ascii="仿宋" w:eastAsia="仿宋" w:hAnsi="仿宋" w:cs="仿宋" w:hint="eastAsia"/>
            <w:lang w:eastAsia="zh-CN"/>
          </w:rPr>
          <w:t>(一)、休闲专用车及其零附件项目实施保障机制</w:t>
        </w:r>
        <w:r>
          <w:tab/>
        </w:r>
        <w:r>
          <w:fldChar w:fldCharType="begin"/>
        </w:r>
        <w:r>
          <w:instrText xml:space="preserve"> PAGEREF _Toc19765 \h </w:instrText>
        </w:r>
        <w:r>
          <w:fldChar w:fldCharType="separate"/>
        </w:r>
        <w:r>
          <w:t>48</w:t>
        </w:r>
        <w:r>
          <w:fldChar w:fldCharType="end"/>
        </w:r>
      </w:hyperlink>
    </w:p>
    <w:p>
      <w:pPr>
        <w:pStyle w:val="TOC2"/>
        <w:tabs>
          <w:tab w:val="right" w:leader="dot" w:pos="8306"/>
        </w:tabs>
      </w:pPr>
      <w:hyperlink w:anchor="_Toc452" w:history="1">
        <w:r>
          <w:rPr>
            <w:rFonts w:ascii="仿宋" w:eastAsia="仿宋" w:hAnsi="仿宋" w:cs="仿宋" w:hint="eastAsia"/>
            <w:lang w:eastAsia="zh-CN"/>
          </w:rPr>
          <w:t>(二)、休闲专用车及其零附件项目法律合规要求</w:t>
        </w:r>
        <w:r>
          <w:tab/>
        </w:r>
        <w:r>
          <w:fldChar w:fldCharType="begin"/>
        </w:r>
        <w:r>
          <w:instrText xml:space="preserve"> PAGEREF _Toc452 \h </w:instrText>
        </w:r>
        <w:r>
          <w:fldChar w:fldCharType="separate"/>
        </w:r>
        <w:r>
          <w:t>52</w:t>
        </w:r>
        <w:r>
          <w:fldChar w:fldCharType="end"/>
        </w:r>
      </w:hyperlink>
    </w:p>
    <w:p>
      <w:pPr>
        <w:pStyle w:val="TOC2"/>
        <w:tabs>
          <w:tab w:val="right" w:leader="dot" w:pos="8306"/>
        </w:tabs>
      </w:pPr>
      <w:hyperlink w:anchor="_Toc23277" w:history="1">
        <w:r>
          <w:rPr>
            <w:rFonts w:ascii="仿宋" w:eastAsia="仿宋" w:hAnsi="仿宋" w:cs="仿宋" w:hint="eastAsia"/>
            <w:lang w:eastAsia="zh-CN"/>
          </w:rPr>
          <w:t>(三)、休闲专用车及其零附件项目合同管理与法律事务</w:t>
        </w:r>
        <w:r>
          <w:tab/>
        </w:r>
        <w:r>
          <w:fldChar w:fldCharType="begin"/>
        </w:r>
        <w:r>
          <w:instrText xml:space="preserve"> PAGEREF _Toc23277 \h </w:instrText>
        </w:r>
        <w:r>
          <w:fldChar w:fldCharType="separate"/>
        </w:r>
        <w:r>
          <w:t>57</w:t>
        </w:r>
        <w:r>
          <w:fldChar w:fldCharType="end"/>
        </w:r>
      </w:hyperlink>
    </w:p>
    <w:p>
      <w:pPr>
        <w:pStyle w:val="TOC2"/>
        <w:tabs>
          <w:tab w:val="right" w:leader="dot" w:pos="8306"/>
        </w:tabs>
      </w:pPr>
      <w:hyperlink w:anchor="_Toc24483" w:history="1">
        <w:r>
          <w:rPr>
            <w:rFonts w:ascii="仿宋" w:eastAsia="仿宋" w:hAnsi="仿宋" w:cs="仿宋" w:hint="eastAsia"/>
            <w:lang w:eastAsia="zh-CN"/>
          </w:rPr>
          <w:t>(四)、休闲专用车及其零附件项目知识产权保护策略</w:t>
        </w:r>
        <w:r>
          <w:tab/>
        </w:r>
        <w:r>
          <w:fldChar w:fldCharType="begin"/>
        </w:r>
        <w:r>
          <w:instrText xml:space="preserve"> PAGEREF _Toc24483 \h </w:instrText>
        </w:r>
        <w:r>
          <w:fldChar w:fldCharType="separate"/>
        </w:r>
        <w:r>
          <w:t>63</w:t>
        </w:r>
        <w:r>
          <w:fldChar w:fldCharType="end"/>
        </w:r>
      </w:hyperlink>
    </w:p>
    <w:p>
      <w:pPr>
        <w:pStyle w:val="TOC1"/>
        <w:tabs>
          <w:tab w:val="right" w:leader="dot" w:pos="8306"/>
        </w:tabs>
      </w:pPr>
      <w:hyperlink w:anchor="_Toc737" w:history="1">
        <w:r>
          <w:rPr>
            <w:rFonts w:ascii="仿宋" w:eastAsia="仿宋" w:hAnsi="仿宋" w:cs="仿宋" w:hint="eastAsia"/>
            <w:lang w:eastAsia="zh-CN"/>
          </w:rPr>
          <w:t>十四、休闲专用车及其零附件项目实施时间节点</w:t>
        </w:r>
        <w:r>
          <w:tab/>
        </w:r>
        <w:r>
          <w:fldChar w:fldCharType="begin"/>
        </w:r>
        <w:r>
          <w:instrText xml:space="preserve"> PAGEREF _Toc737 \h </w:instrText>
        </w:r>
        <w:r>
          <w:fldChar w:fldCharType="separate"/>
        </w:r>
        <w:r>
          <w:t>66</w:t>
        </w:r>
        <w:r>
          <w:fldChar w:fldCharType="end"/>
        </w:r>
      </w:hyperlink>
    </w:p>
    <w:p>
      <w:pPr>
        <w:pStyle w:val="TOC2"/>
        <w:tabs>
          <w:tab w:val="right" w:leader="dot" w:pos="8306"/>
        </w:tabs>
      </w:pPr>
      <w:hyperlink w:anchor="_Toc7990" w:history="1">
        <w:r>
          <w:rPr>
            <w:rFonts w:ascii="仿宋" w:eastAsia="仿宋" w:hAnsi="仿宋" w:cs="仿宋" w:hint="eastAsia"/>
            <w:lang w:eastAsia="zh-CN"/>
          </w:rPr>
          <w:t>(一)、休闲专用车及其零附件项目启动阶段时间节点</w:t>
        </w:r>
        <w:r>
          <w:tab/>
        </w:r>
        <w:r>
          <w:fldChar w:fldCharType="begin"/>
        </w:r>
        <w:r>
          <w:instrText xml:space="preserve"> PAGEREF _Toc7990 \h </w:instrText>
        </w:r>
        <w:r>
          <w:fldChar w:fldCharType="separate"/>
        </w:r>
        <w:r>
          <w:t>66</w:t>
        </w:r>
        <w:r>
          <w:fldChar w:fldCharType="end"/>
        </w:r>
      </w:hyperlink>
    </w:p>
    <w:p>
      <w:pPr>
        <w:pStyle w:val="TOC2"/>
        <w:tabs>
          <w:tab w:val="right" w:leader="dot" w:pos="8306"/>
        </w:tabs>
      </w:pPr>
      <w:hyperlink w:anchor="_Toc10622" w:history="1">
        <w:r>
          <w:rPr>
            <w:rFonts w:ascii="仿宋" w:eastAsia="仿宋" w:hAnsi="仿宋" w:cs="仿宋" w:hint="eastAsia"/>
            <w:lang w:eastAsia="zh-CN"/>
          </w:rPr>
          <w:t>(二)、休闲专用车及其零附件项目执行阶段时间节点</w:t>
        </w:r>
        <w:r>
          <w:tab/>
        </w:r>
        <w:r>
          <w:fldChar w:fldCharType="begin"/>
        </w:r>
        <w:r>
          <w:instrText xml:space="preserve"> PAGEREF _Toc10622 \h </w:instrText>
        </w:r>
        <w:r>
          <w:fldChar w:fldCharType="separate"/>
        </w:r>
        <w:r>
          <w:t>67</w:t>
        </w:r>
        <w:r>
          <w:fldChar w:fldCharType="end"/>
        </w:r>
      </w:hyperlink>
    </w:p>
    <w:p>
      <w:pPr>
        <w:pStyle w:val="TOC2"/>
        <w:tabs>
          <w:tab w:val="right" w:leader="dot" w:pos="8306"/>
        </w:tabs>
      </w:pPr>
      <w:hyperlink w:anchor="_Toc22655" w:history="1">
        <w:r>
          <w:rPr>
            <w:rFonts w:ascii="仿宋" w:eastAsia="仿宋" w:hAnsi="仿宋" w:cs="仿宋" w:hint="eastAsia"/>
            <w:lang w:eastAsia="zh-CN"/>
          </w:rPr>
          <w:t>(三)、休闲专用车及其零附件项目完成阶段时间节点</w:t>
        </w:r>
        <w:r>
          <w:tab/>
        </w:r>
        <w:r>
          <w:fldChar w:fldCharType="begin"/>
        </w:r>
        <w:r>
          <w:instrText xml:space="preserve"> PAGEREF _Toc22655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45"/>
      <w:r>
        <w:rPr>
          <w:rFonts w:ascii="仿宋" w:eastAsia="仿宋" w:hAnsi="仿宋" w:cs="仿宋" w:hint="eastAsia"/>
          <w:sz w:val="28"/>
          <w:lang w:eastAsia="zh-CN"/>
        </w:rPr>
        <w:t>一、休闲专用车及其零附件项目建设背景及必要性分析</w:t>
      </w:r>
      <w:bookmarkEnd w:id="2"/>
    </w:p>
    <w:p>
      <w:pPr>
        <w:pStyle w:val="Heading2"/>
        <w:rPr>
          <w:rFonts w:ascii="仿宋" w:eastAsia="仿宋" w:hAnsi="仿宋" w:cs="仿宋" w:hint="eastAsia"/>
          <w:lang w:eastAsia="zh-CN"/>
        </w:rPr>
      </w:pPr>
      <w:bookmarkStart w:id="3" w:name="_Toc23697"/>
      <w:r>
        <w:rPr>
          <w:rFonts w:ascii="仿宋" w:eastAsia="仿宋" w:hAnsi="仿宋" w:cs="仿宋" w:hint="eastAsia"/>
          <w:lang w:eastAsia="zh-CN"/>
        </w:rPr>
        <w:t>(一)、休闲专用车及其零附件项目背景分析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休闲专用车及其零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休闲专用车及其零附件项目在这个潮流中的定位。同时，我们将关注行业内涌现的新兴机遇，以便休闲专用车及其零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休闲专用车及其零附件项目提供了强大的发展动力。我们将聚焦于行业内最新的技术发展趋势，包括但不限于人工智能、大数据分析、物联网等领域。通过深度的技术研究，我们将确保休闲专用车及其零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休闲专用车及其零附件项目发展的源泉。我们将投入更多的精力对市场需求进行深入剖析，超越表面的需求，深入挖掘潜在的市场痛点和机遇。通过对市场需求的细致了解，休闲专用车及其零附件项目将更有针对性地设计解决方案，满足市场的多样化需求，从而更好地促进休闲专用车及其零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休闲专用车及其零附件项目战略至关重要。我们将对竞争态势进行更为深入的分析，包括但不限于市场份额、产品特点、客户满意度等多个维度。通过深度的竞争分析，休闲专用车及其零附件项目将能够更准确地把握市场脉搏，制定具有竞争力的休闲专用车及其零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休闲专用车及其零附件项目的发展具有直接的影响。我们将进行更为全面的法规和政策分析，了解行业发展中的潜在法律风险和合规挑战。通过充分了解和遵守相关法规，休闲专用车及其零附件项目将确保在法律框架内合法合规运营，为休闲专用车及其零附件项目的稳健发展提供有力支持。</w:t>
      </w:r>
    </w:p>
    <w:p>
      <w:pPr>
        <w:pStyle w:val="Heading2"/>
        <w:ind w:firstLine="560" w:firstLineChars="200"/>
        <w:rPr>
          <w:rFonts w:ascii="仿宋" w:eastAsia="仿宋" w:hAnsi="仿宋" w:cs="仿宋" w:hint="eastAsia"/>
          <w:sz w:val="28"/>
          <w:lang w:eastAsia="zh-CN"/>
        </w:rPr>
      </w:pPr>
      <w:bookmarkStart w:id="4" w:name="_Toc29533"/>
      <w:r>
        <w:rPr>
          <w:rFonts w:ascii="仿宋" w:eastAsia="仿宋" w:hAnsi="仿宋" w:cs="仿宋" w:hint="eastAsia"/>
          <w:sz w:val="28"/>
          <w:lang w:eastAsia="zh-CN"/>
        </w:rPr>
        <w:t>(二)、休闲专用车及其零附件项目建设必要性分析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建设的迫切性源于对行业发展趋势的深刻洞察。我们正处于一个行业变革的时代，科技创新、数字化转型成为企业发展的关键动力。休闲专用车及其零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建设不仅仅是为了跟上潮流，更是为了通过技术创新推动企业的持续发展。通过引入先进的技术和解决方案，休闲专用车及其零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休闲专用车及其零附件项目的建设成为必然选择，通过提高产品质量、拓展服务领域，从而在竞争中获得更多的机会。休闲专用车及其零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休闲专用车及其零附件项目建设的必要性体现在对客户需求更精准的满足。通过休闲专用车及其零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建设的背后是对企业持续创新的追求。只有通过不断创新，企业才能在竞争中立于不败之地。休闲专用车及其零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632"/>
      <w:r>
        <w:rPr>
          <w:rFonts w:ascii="仿宋" w:eastAsia="仿宋" w:hAnsi="仿宋" w:cs="仿宋" w:hint="eastAsia"/>
          <w:sz w:val="28"/>
          <w:lang w:eastAsia="zh-CN"/>
        </w:rPr>
        <w:t>二、休闲专用车及其零附件项目绩效评估</w:t>
      </w:r>
      <w:bookmarkEnd w:id="5"/>
    </w:p>
    <w:p>
      <w:pPr>
        <w:pStyle w:val="Heading2"/>
        <w:rPr>
          <w:rFonts w:ascii="仿宋" w:eastAsia="仿宋" w:hAnsi="仿宋" w:cs="仿宋" w:hint="eastAsia"/>
          <w:lang w:eastAsia="zh-CN"/>
        </w:rPr>
      </w:pPr>
      <w:bookmarkStart w:id="6" w:name="_Toc2945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休闲专用车及其零附件项目中，我们设计了一套全面的绩效评估指标，以确保休闲专用车及其零附件项目的可控和成功交付。这些指标跨足休闲专用车及其零附件项目目标、成本、进度和质量等多个维度，为我们提供了全面洞察休闲专用车及其零附件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休闲专用车及其零附件项目目标达成率是我们关注的首要指标。我们设定了明确的目标，并通过定期监测和评估，迅速发现并应对潜在的目标偏差。这为休闲专用车及其零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成本绩效是另一个核心关注点。通过实际成本与预算成本的对比分析，我们深入了解成本差异的原因，及时调整资源分配，保持休闲专用车及其零附件项目在经济效益方面的合理水平。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进度作为关键的绩效指标之一，得到了精心的关注。我们制定了详细的休闲专用车及其零附件项目进度计划，并设立了进度符合度指标，确保实际进度与计划进度保持一致。这使我们能够快速发现和解决潜在的进度问题，保持休闲专用车及其零附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休闲专用车及其零附件项目绩效的不可或缺的一环。我们引入了一系列的质量标准和客户满意度指标，以确保休闲专用车及其零附件项目交付的成果在质量上达到或超越预期水平。通过持续监测这些指标，我们努力提升休闲专用车及其零附件项目整体质量水平，为休闲专用车及其零附件项目的成功交付提供有力保障。通过这些科学且全面的绩效评估，我们能够更好地引导休闲专用车及其零附件项目的持续改进，确保休闲专用车及其零附件项目目标的顺利达成。</w:t>
      </w:r>
    </w:p>
    <w:p>
      <w:pPr>
        <w:pStyle w:val="Heading2"/>
        <w:ind w:firstLine="560" w:firstLineChars="200"/>
        <w:rPr>
          <w:rFonts w:ascii="仿宋" w:eastAsia="仿宋" w:hAnsi="仿宋" w:cs="仿宋" w:hint="eastAsia"/>
          <w:sz w:val="28"/>
          <w:lang w:eastAsia="zh-CN"/>
        </w:rPr>
      </w:pPr>
      <w:bookmarkStart w:id="7" w:name="_Toc2472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绩效评估是休闲专用车及其零附件项目中的关键环节，为确保休闲专用车及其零附件项目达到预期目标，我们采用了多层次、多维度的绩效评估方法。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休闲专用车及其零附件项目的战略目标对齐，确保每个决策和行动都与休闲专用车及其零附件项目整体目标保持一致。团队会定期召开战略对齐会议，审视当前工作与休闲专用车及其零附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休闲专用车及其零附件项目进度、质量、成本和风险等方面。这些指标通过数据收集和分析，为休闲专用车及其零附件项目管理团队提供了客观的评估依据。例如，我们通过休闲专用车及其零附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休闲专用车及其零附件项目内部，还考虑了休闲专用车及其零附件项目对外部环境的影响。我们定期进行干系人满意度调查，以了解各利益相关方对休闲专用车及其零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这种多层次、多角度的绩效评估方法，使得我们能够全面了解休闲专用车及其零附件项目的运行状态，及时做出调整，确保休闲专用车及其零附件项目在不断变化的环境中保持稳健前行。</w:t>
      </w:r>
    </w:p>
    <w:p>
      <w:pPr>
        <w:pStyle w:val="Heading2"/>
        <w:ind w:firstLine="560" w:firstLineChars="200"/>
        <w:rPr>
          <w:rFonts w:ascii="仿宋" w:eastAsia="仿宋" w:hAnsi="仿宋" w:cs="仿宋" w:hint="eastAsia"/>
          <w:sz w:val="28"/>
          <w:lang w:eastAsia="zh-CN"/>
        </w:rPr>
      </w:pPr>
      <w:bookmarkStart w:id="8" w:name="_Toc2030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为了确保休闲专用车及其零附件项目的有效管理和不断优化，我们采用了精心设计的绩效评估周期。这个周期旨在实现灵活、实时和全面的评估，以适应休闲专用车及其零附件项目执行中的各种挑战。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休闲专用车及其零附件项目的不同需求，分为短期、中期和长期。短期评估关注每个迭代或工作周期，以及时发现和解决当前任务中的问题。中期评估涵盖几个迭代，深入了解整体休闲专用车及其零附件项目的趋势和性能。长期评估则着眼于整个休闲专用车及其零附件项目阶段，确保休闲专用车及其零附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休闲专用车及其零附件项目管理工具和协作平台，团队成员能够随时更新和分享休闲专用车及其零附件项目数据。这种实时性的反馈机制使我们能够及时察觉潜在问题，快速调整，保持休闲专用车及其零附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休闲专用车及其零附件项目的决策制定密不可分。每个周期的休闲专用车及其零附件项目回顾会议成为集体总结经验、识别问题深层次原因并找到创新解决方案的平台。这种定期的反思与调整机制使休闲专用车及其零附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07"/>
      <w:r>
        <w:rPr>
          <w:rFonts w:ascii="仿宋" w:eastAsia="仿宋" w:hAnsi="仿宋" w:cs="仿宋" w:hint="eastAsia"/>
          <w:sz w:val="28"/>
          <w:lang w:eastAsia="zh-CN"/>
        </w:rPr>
        <w:t>三、休闲专用车及其零附件项目土建工程</w:t>
      </w:r>
      <w:bookmarkEnd w:id="9"/>
    </w:p>
    <w:p>
      <w:pPr>
        <w:pStyle w:val="Heading2"/>
        <w:rPr>
          <w:rFonts w:ascii="仿宋" w:eastAsia="仿宋" w:hAnsi="仿宋" w:cs="仿宋" w:hint="eastAsia"/>
          <w:lang w:eastAsia="zh-CN"/>
        </w:rPr>
      </w:pPr>
      <w:bookmarkStart w:id="10" w:name="_Toc3121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在休闲专用车及其零附件项目的建筑工程设计中，我们将秉承一系列重要的设计原则，以确保休闲专用车及其零附件项目建筑在功能、美观、可持续性等方面达到最佳效果。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首要原则是确保建筑的功能性得到最大化的发挥。我们将充分理解休闲专用车及其零附件项目的实际需求，合理布局各个功能区域，保证建筑在满足业务需求的同时，提供高效的工作环境。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在建筑设计中，我们将综合考虑建设和运营成本。通过精细的经济效益分析，确保设计方案在高效利用资源的同时，对休闲专用车及其零附件项目的长期盈利能力有积极的贡献。</w:t>
      </w:r>
    </w:p>
    <w:p>
      <w:pPr>
        <w:pStyle w:val="Heading2"/>
        <w:ind w:firstLine="560" w:firstLineChars="200"/>
        <w:rPr>
          <w:rFonts w:ascii="仿宋" w:eastAsia="仿宋" w:hAnsi="仿宋" w:cs="仿宋" w:hint="eastAsia"/>
          <w:sz w:val="28"/>
          <w:lang w:eastAsia="zh-CN"/>
        </w:rPr>
      </w:pPr>
      <w:bookmarkStart w:id="11" w:name="_Toc2499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专用车及其零附件项目的土建工程设计中，我们将精准设定设计年限，结合休闲专用车及其零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休闲专用车及其零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238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休闲专用车及其零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休闲专用车及其零附件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休闲专用车及其零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14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本期工程休闲专用车及其零附件项目预计总建筑面积XXX平方米，其中：计容建筑面积XXX平方米，计划建筑工程投资XX万元，占休闲专用车及其零附件项目总投资的XX%。</w:t>
      </w:r>
    </w:p>
    <w:p>
      <w:pPr>
        <w:pStyle w:val="Heading1"/>
        <w:ind w:firstLine="560" w:firstLineChars="200"/>
        <w:rPr>
          <w:rFonts w:ascii="仿宋" w:eastAsia="仿宋" w:hAnsi="仿宋" w:cs="仿宋" w:hint="eastAsia"/>
          <w:sz w:val="28"/>
          <w:lang w:eastAsia="zh-CN"/>
        </w:rPr>
      </w:pPr>
      <w:bookmarkStart w:id="14" w:name="_Toc21561"/>
      <w:r>
        <w:rPr>
          <w:rFonts w:ascii="仿宋" w:eastAsia="仿宋" w:hAnsi="仿宋" w:cs="仿宋" w:hint="eastAsia"/>
          <w:sz w:val="28"/>
          <w:lang w:eastAsia="zh-CN"/>
        </w:rPr>
        <w:t>四、休闲专用车及其零附件项目建设单位说明</w:t>
      </w:r>
      <w:bookmarkEnd w:id="14"/>
    </w:p>
    <w:p>
      <w:pPr>
        <w:pStyle w:val="Heading2"/>
        <w:rPr>
          <w:rFonts w:ascii="仿宋" w:eastAsia="仿宋" w:hAnsi="仿宋" w:cs="仿宋" w:hint="eastAsia"/>
          <w:lang w:eastAsia="zh-CN"/>
        </w:rPr>
      </w:pPr>
      <w:bookmarkStart w:id="15" w:name="_Toc3208"/>
      <w:r>
        <w:rPr>
          <w:rFonts w:ascii="仿宋" w:eastAsia="仿宋" w:hAnsi="仿宋" w:cs="仿宋" w:hint="eastAsia"/>
          <w:lang w:eastAsia="zh-CN"/>
        </w:rPr>
        <w:t>(一)、休闲专用车及其零附件项目承办单位基本情况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831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休闲专用车及其零附件项目承办单位的XXXX，我们着眼于实现可持续的经济效益。通过技术创新和解决方案的提供，公司预计在休闲专用车及其零附件项目执行期间将获得可观的收入增长。这一收入来源主要包括休闲专用车及其零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同时，我们注重成本控制和效率提升，以确保休闲专用车及其零附件项目的可持续盈利。透过精细的管理和资源优化，公司期望实现休闲专用车及其零附件项目利润最大化。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休闲专用车及其零附件项目实施进行全面的投资评估，包括休闲专用车及其零附件项目启动阶段的资金投入和后续运营成本。通过对休闲专用车及其零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休闲专用车及其零附件项目实施过程中具备足够的资金流动性，公司将进行详尽的现金流分析。这包括资金需求的合理预测、休闲专用车及其零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821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42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的技术管理特点体现在其创新导向。通过引入最先进的技术趋势和解决方案，休闲专用车及其零附件项目致力于提升科技含量、提高质量和效率水平。这意味着我们将采用最新的工具和方法，确保休闲专用车及其零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休闲专用车及其零附件项目技术管理的显著特征。通过整合不同领域的技术资源，我们实现了跨学科的协同工作。这有助于优化技术架构，提高整体效能。此外，整合性策略还促进了不同技术团队之间的紧密沟通和高效合作，确保休闲专用车及其零附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休闲专用车及其零附件项目所采用的技术。通过不断优化技术方案，休闲专用车及其零附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休闲专用车及其零附件项目团队将在休闲专用车及其零附件项目初期识别可能的技术风险，并采取相应的预防和应对措施。通过建立健全的风险评估机制，休闲专用车及其零附件项目能够在实施过程中及时发现并解决潜在的技术问题，保障休闲专用车及其零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休闲专用车及其零附件项目中，技术将成为休闲专用车及其零附件项目成功的有力支持。这一深度剖析揭示了技术管理在休闲专用车及其零附件项目实施中的关键作用，为休闲专用车及其零附件项目的技术基础奠定了坚实的基础。</w:t>
      </w:r>
    </w:p>
    <w:p>
      <w:pPr>
        <w:pStyle w:val="Heading2"/>
        <w:ind w:firstLine="560" w:firstLineChars="200"/>
        <w:rPr>
          <w:rFonts w:ascii="仿宋" w:eastAsia="仿宋" w:hAnsi="仿宋" w:cs="仿宋" w:hint="eastAsia"/>
          <w:sz w:val="28"/>
          <w:lang w:eastAsia="zh-CN"/>
        </w:rPr>
      </w:pPr>
      <w:bookmarkStart w:id="19" w:name="_Toc3168"/>
      <w:r>
        <w:rPr>
          <w:rFonts w:ascii="仿宋" w:eastAsia="仿宋" w:hAnsi="仿宋" w:cs="仿宋" w:hint="eastAsia"/>
          <w:sz w:val="28"/>
          <w:lang w:eastAsia="zh-CN"/>
        </w:rPr>
        <w:t>(二)、休闲专用车及其零附件项目工艺技术设计方案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休闲专用车及其零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休闲专用车及其零附件项目将严格按照相关行业规范要求进行组织。通过有效控制产品质量，休闲专用车及其零附件项目将致力于为顾客提供优质的休闲专用车及其零附件项目产品和良好的服务。这体现了休闲专用车及其零附件项目对于生产活动合规性和质量标准的高度重视，为休闲专用车及其零附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https://d.book118.com/798136025006006027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56EA0"/>
    <w:rsid w:val="32356E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36025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2024-01-15T02:06:00Z</dcterms:created>
  <dcterms:modified xsi:type="dcterms:W3CDTF">2024-01-15T02:07:08Z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CE7F823564F34172A76304413BB519DB_11</vt:lpwstr>
  </property>
  <property fmtid="{D5CDD505-2E9C-101B-9397-08002B2CF9AE}" pid="3" name="KSOProductBuildVer">
    <vt:lpwstr>2052-12.1.0.16120</vt:lpwstr>
  </property>
</Properties>
</file>