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2024年硅酸盐行业趋势报告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27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_Toc14270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9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一、质量与技术管理</w:t>
        </w:r>
        <w:r>
          <w:tab/>
        </w:r>
        <w:r>
          <w:fldChar w:fldCharType="begin"/>
        </w:r>
        <w:r>
          <w:instrText xml:space="preserve"> PAGEREF _Toc31392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_Toc32679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_Toc22911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9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二、资金筹措与投资分析</w:t>
        </w:r>
        <w:r>
          <w:tab/>
        </w:r>
        <w:r>
          <w:fldChar w:fldCharType="begin"/>
        </w:r>
        <w:r>
          <w:instrText xml:space="preserve"> PAGEREF _Toc23392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_Toc2288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_Toc598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5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三、硅酸盐行业市场营销分析</w:t>
        </w:r>
        <w:r>
          <w:tab/>
        </w:r>
        <w:r>
          <w:fldChar w:fldCharType="begin"/>
        </w:r>
        <w:r>
          <w:instrText xml:space="preserve"> PAGEREF _Toc31953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(一)、硅酸盐行业市场营销总体思路</w:t>
        </w:r>
        <w:r>
          <w:tab/>
        </w:r>
        <w:r>
          <w:fldChar w:fldCharType="begin"/>
        </w:r>
        <w:r>
          <w:instrText xml:space="preserve"> PAGEREF _Toc21130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(二)、硅酸盐行业组织市场分析</w:t>
        </w:r>
        <w:r>
          <w:tab/>
        </w:r>
        <w:r>
          <w:fldChar w:fldCharType="begin"/>
        </w:r>
        <w:r>
          <w:instrText xml:space="preserve"> PAGEREF _Toc22096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(三)、硅酸盐行业目标市场营销战略</w:t>
        </w:r>
        <w:r>
          <w:tab/>
        </w:r>
        <w:r>
          <w:fldChar w:fldCharType="begin"/>
        </w:r>
        <w:r>
          <w:instrText xml:space="preserve"> PAGEREF _Toc32474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(四)、硅酸盐行业定价策略</w:t>
        </w:r>
        <w:r>
          <w:tab/>
        </w:r>
        <w:r>
          <w:fldChar w:fldCharType="begin"/>
        </w:r>
        <w:r>
          <w:instrText xml:space="preserve"> PAGEREF _Toc24981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(五)、硅酸盐行业促销策略</w:t>
        </w:r>
        <w:r>
          <w:tab/>
        </w:r>
        <w:r>
          <w:fldChar w:fldCharType="begin"/>
        </w:r>
        <w:r>
          <w:instrText xml:space="preserve"> PAGEREF _Toc31883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(六)、硅酸盐行业品牌策略</w:t>
        </w:r>
        <w:r>
          <w:tab/>
        </w:r>
        <w:r>
          <w:fldChar w:fldCharType="begin"/>
        </w:r>
        <w:r>
          <w:instrText xml:space="preserve"> PAGEREF _Toc6564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(七)、硅酸盐行业关系营销</w:t>
        </w:r>
        <w:r>
          <w:tab/>
        </w:r>
        <w:r>
          <w:fldChar w:fldCharType="begin"/>
        </w:r>
        <w:r>
          <w:instrText xml:space="preserve"> PAGEREF _Toc4634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(八)、硅酸盐行业体验营销</w:t>
        </w:r>
        <w:r>
          <w:tab/>
        </w:r>
        <w:r>
          <w:fldChar w:fldCharType="begin"/>
        </w:r>
        <w:r>
          <w:instrText xml:space="preserve"> PAGEREF _Toc11368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(九)、硅酸盐行业互联网营销</w:t>
        </w:r>
        <w:r>
          <w:tab/>
        </w:r>
        <w:r>
          <w:fldChar w:fldCharType="begin"/>
        </w:r>
        <w:r>
          <w:instrText xml:space="preserve"> PAGEREF _Toc14751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四、环境与社会责任</w:t>
        </w:r>
        <w:r>
          <w:tab/>
        </w:r>
        <w:r>
          <w:fldChar w:fldCharType="begin"/>
        </w:r>
        <w:r>
          <w:instrText xml:space="preserve"> PAGEREF _Toc2057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(一)、环境影响评估</w:t>
        </w:r>
        <w:r>
          <w:tab/>
        </w:r>
        <w:r>
          <w:fldChar w:fldCharType="begin"/>
        </w:r>
        <w:r>
          <w:instrText xml:space="preserve"> PAGEREF _Toc23370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_Toc1017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2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五、硅酸盐行业人才招聘与发展</w:t>
        </w:r>
        <w:r>
          <w:tab/>
        </w:r>
        <w:r>
          <w:fldChar w:fldCharType="begin"/>
        </w:r>
        <w:r>
          <w:instrText xml:space="preserve"> PAGEREF _Toc18625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_Toc2909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_Toc26722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_Toc7094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_Toc14272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_Toc16897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2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六、硅酸盐行业公司治理与社会责任</w:t>
        </w:r>
        <w:r>
          <w:tab/>
        </w:r>
        <w:r>
          <w:fldChar w:fldCharType="begin"/>
        </w:r>
        <w:r>
          <w:instrText xml:space="preserve"> PAGEREF _Toc18127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_Toc20901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_Toc6549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_Toc11229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_Toc3176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_Toc25487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45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七、可持续发展与绿色经营</w:t>
        </w:r>
        <w:r>
          <w:tab/>
        </w:r>
        <w:r>
          <w:fldChar w:fldCharType="begin"/>
        </w:r>
        <w:r>
          <w:instrText xml:space="preserve"> PAGEREF _Toc30452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(一)、可持续发展战略与目标</w:t>
        </w:r>
        <w:r>
          <w:tab/>
        </w:r>
        <w:r>
          <w:fldChar w:fldCharType="begin"/>
        </w:r>
        <w:r>
          <w:instrText xml:space="preserve"> PAGEREF _Toc10405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(二)、环保政策与实践</w:t>
        </w:r>
        <w:r>
          <w:tab/>
        </w:r>
        <w:r>
          <w:fldChar w:fldCharType="begin"/>
        </w:r>
        <w:r>
          <w:instrText xml:space="preserve"> PAGEREF _Toc27811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(三)、资源利用与循环经济</w:t>
        </w:r>
        <w:r>
          <w:tab/>
        </w:r>
        <w:r>
          <w:fldChar w:fldCharType="begin"/>
        </w:r>
        <w:r>
          <w:instrText xml:space="preserve"> PAGEREF _Toc32612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(四)、碳中和与生态足迹</w:t>
        </w:r>
        <w:r>
          <w:tab/>
        </w:r>
        <w:r>
          <w:fldChar w:fldCharType="begin"/>
        </w:r>
        <w:r>
          <w:instrText xml:space="preserve"> PAGEREF _Toc11553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9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八、质量管理与持续改进</w:t>
        </w:r>
        <w:r>
          <w:tab/>
        </w:r>
        <w:r>
          <w:fldChar w:fldCharType="begin"/>
        </w:r>
        <w:r>
          <w:instrText xml:space="preserve"> PAGEREF _Toc11099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_Toc11785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_Toc13019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_Toc12037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_Toc18198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9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九、项目运营与管理</w:t>
        </w:r>
        <w:r>
          <w:tab/>
        </w:r>
        <w:r>
          <w:fldChar w:fldCharType="begin"/>
        </w:r>
        <w:r>
          <w:instrText xml:space="preserve"> PAGEREF _Toc5095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(一)、运营模式选择</w:t>
        </w:r>
        <w:r>
          <w:tab/>
        </w:r>
        <w:r>
          <w:fldChar w:fldCharType="begin"/>
        </w:r>
        <w:r>
          <w:instrText xml:space="preserve"> PAGEREF _Toc32345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(二)、人力资源规划</w:t>
        </w:r>
        <w:r>
          <w:tab/>
        </w:r>
        <w:r>
          <w:fldChar w:fldCharType="begin"/>
        </w:r>
        <w:r>
          <w:instrText xml:space="preserve"> PAGEREF _Toc23681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(三)、财务管理计划</w:t>
        </w:r>
        <w:r>
          <w:tab/>
        </w:r>
        <w:r>
          <w:fldChar w:fldCharType="begin"/>
        </w:r>
        <w:r>
          <w:instrText xml:space="preserve"> PAGEREF _Toc30977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(四)、供应链管理</w:t>
        </w:r>
        <w:r>
          <w:tab/>
        </w:r>
        <w:r>
          <w:fldChar w:fldCharType="begin"/>
        </w:r>
        <w:r>
          <w:instrText xml:space="preserve"> PAGEREF _Toc4167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6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十、项目背景与概况</w:t>
        </w:r>
        <w:r>
          <w:tab/>
        </w:r>
        <w:r>
          <w:fldChar w:fldCharType="begin"/>
        </w:r>
        <w:r>
          <w:instrText xml:space="preserve"> PAGEREF _Toc3860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(一)、项目背景介绍</w:t>
        </w:r>
        <w:r>
          <w:tab/>
        </w:r>
        <w:r>
          <w:fldChar w:fldCharType="begin"/>
        </w:r>
        <w:r>
          <w:instrText xml:space="preserve"> PAGEREF _Toc25602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_Toc21414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(三)、硅酸盐行业及市场分析</w:t>
        </w:r>
        <w:r>
          <w:tab/>
        </w:r>
        <w:r>
          <w:fldChar w:fldCharType="begin"/>
        </w:r>
        <w:r>
          <w:instrText xml:space="preserve"> PAGEREF _Toc21022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2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十一、项目技术流程</w:t>
        </w:r>
        <w:r>
          <w:tab/>
        </w:r>
        <w:r>
          <w:fldChar w:fldCharType="begin"/>
        </w:r>
        <w:r>
          <w:instrText xml:space="preserve"> PAGEREF _Toc25720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(一)、技术方案选择</w:t>
        </w:r>
        <w:r>
          <w:tab/>
        </w:r>
        <w:r>
          <w:fldChar w:fldCharType="begin"/>
        </w:r>
        <w:r>
          <w:instrText xml:space="preserve"> PAGEREF _Toc25174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(二)、设备选型方案</w:t>
        </w:r>
        <w:r>
          <w:tab/>
        </w:r>
        <w:r>
          <w:fldChar w:fldCharType="begin"/>
        </w:r>
        <w:r>
          <w:instrText xml:space="preserve"> PAGEREF _Toc28525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_Toc967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0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十二、项目管理与团队协作</w:t>
        </w:r>
        <w:r>
          <w:tab/>
        </w:r>
        <w:r>
          <w:fldChar w:fldCharType="begin"/>
        </w:r>
        <w:r>
          <w:instrText xml:space="preserve"> PAGEREF _Toc25802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_Toc13502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_Toc17503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_Toc19888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_Toc9483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r>
        <w:fldChar w:fldCharType="end"/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https://d.book118.com/798140104030006030</w:t>
        </w:r>
      </w:hyperlink>
    </w:p>
    <w:p/>
    <w:sectPr>
      <w:headerReference w:type="default" r:id="rId9"/>
      <w:footerReference w:type="default" r:id="rId10"/>
      <w:type w:val="nextPage"/>
      <w:pgSz w:w="11906" w:h="16838"/>
      <w:pgMar w:top="1440" w:right="1800" w:bottom="1440" w:left="1800" w:header="851" w:footer="992" w:gutter="0"/>
      <w:pgNumType w:start="3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39403669"/>
    <w:rsid w:val="3DAC44EE"/>
    <w:rsid w:val="453746B4"/>
    <w:rsid w:val="482775B3"/>
    <w:rsid w:val="49C53810"/>
    <w:rsid w:val="4E155AC7"/>
    <w:rsid w:val="50930768"/>
    <w:rsid w:val="62A91464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yperlink" Target="https://d.book118.com/798140104030006030" TargetMode="Externa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2024-01-17T07:01:54Z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