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2CFA" w14:paraId="29EE24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2CFA" w14:paraId="010BD5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2CFA" w14:paraId="4F0722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2CFA" w:rsidRPr="00D62CFA" w14:paraId="7429B49D" w14:textId="2D66ECD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2CFA">
        <w:rPr>
          <w:rFonts w:ascii="宋体" w:eastAsia="宋体" w:hAnsi="宋体" w:hint="eastAsia"/>
          <w:b/>
          <w:sz w:val="60"/>
        </w:rPr>
        <w:t>丁醇项目效益评估报告</w:t>
      </w:r>
    </w:p>
    <w:p w:rsidR="00D62CFA" w:rsidP="00D62CFA" w14:paraId="674FA745" w14:textId="55713C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2CFA">
        <w:rPr>
          <w:rFonts w:ascii="仿宋" w:eastAsia="仿宋" w:hAnsi="仿宋" w:hint="eastAsia"/>
          <w:b/>
          <w:sz w:val="40"/>
        </w:rPr>
        <w:t>目录</w:t>
      </w:r>
    </w:p>
    <w:p w:rsidR="00D62CFA" w14:paraId="6D79631A" w14:textId="1B929C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2CFA" w14:paraId="64DBDC59" w14:textId="7E1AA0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2CFA" w14:paraId="61A11E91" w14:textId="71D749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2CFA" w14:paraId="7D1E9184" w14:textId="216AF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2CFA" w14:paraId="18C163ED" w14:textId="55F63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2CFA" w14:paraId="4E232F06" w14:textId="064BDB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62CFA" w14:paraId="36CFCE4D" w14:textId="68D4F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二、丁醇项目概论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2CFA" w14:paraId="5D2A20A2" w14:textId="62C279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(一)、丁醇项目名称及投资人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2CFA" w14:paraId="3432DDB0" w14:textId="2F0CA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2CFA" w14:paraId="1E6F85ED" w14:textId="18C17E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2CFA" w14:paraId="37719889" w14:textId="3A99F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2CFA" w14:paraId="1BF58588" w14:textId="4380EC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(五)、丁醇项目建设背景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2CFA" w14:paraId="35106A01" w14:textId="54F010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2CFA" w14:paraId="51BF79A9" w14:textId="027817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2CFA" w14:paraId="39AB254E" w14:textId="1BA9A0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2CFA" w14:paraId="75C3042A" w14:textId="2B7D9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2CFA" w14:paraId="5583AF80" w14:textId="7BBF94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2CFA" w14:paraId="37F09F3C" w14:textId="038E2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2CFA" w14:paraId="2519A38E" w14:textId="33C0F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2CFA" w14:paraId="63A4417F" w14:textId="03210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2CFA" w14:paraId="2F7186D8" w14:textId="2640471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2CFA" w14:paraId="314EE0EA" w14:textId="4A1A5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(一)、丁醇项目工程设计总体要求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2CFA" w14:paraId="3A173FAF" w14:textId="18FF2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2CFA" w14:paraId="28F2EBC6" w14:textId="46ED4E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2CFA" w14:paraId="0A4BE48C" w14:textId="5F9DD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2CFA" w14:paraId="1C8B8BA1" w14:textId="1D9A7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2CFA" w14:paraId="30785EE1" w14:textId="5DF601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2CFA" w14:paraId="14DCAAD8" w14:textId="0C3A5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2CFA" w14:paraId="7092D06C" w14:textId="30CA3C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2CFA" w14:paraId="4B52A2AA" w14:textId="4CE0F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_Toc153756279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62CFA" w14:paraId="3C372F19" w14:textId="3EB4F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62CFA" w14:paraId="2C1695AB" w14:textId="654FC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2CFA" w14:paraId="797894D0" w14:textId="1EBDEA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2CFA" w14:paraId="21F1EBA5" w14:textId="251ED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2CFA" w14:paraId="58E9EAFD" w14:textId="05B41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2CFA" w14:paraId="20E8C1C8" w14:textId="206A6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2CFA" w14:paraId="1C5ECF47" w14:textId="39CE9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2CFA" w14:paraId="7C42A46A" w14:textId="7FDE20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62CFA" w14:paraId="23AA7D9B" w14:textId="6A7290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62CFA" w14:paraId="5EA169F7" w14:textId="11856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62CFA" w14:paraId="716B0D95" w14:textId="04B82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2CFA" w14:paraId="32F4F9B3" w14:textId="3DA5E6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2CFA" w14:paraId="7B1C2981" w14:textId="3B30A88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2CFA" w14:paraId="02714622" w14:textId="0575A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62CFA" w14:paraId="4E9C3B07" w14:textId="17A60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2CFA" w14:paraId="5A91499F" w14:textId="280826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2CFA" w14:paraId="12C22D95" w14:textId="5644F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2CFA" w14:paraId="3E5B7848" w14:textId="0DBDD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62CFA" w14:paraId="5622431D" w14:textId="62E857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2CFA" w14:paraId="7B758B05" w14:textId="58AB04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_Toc153756299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62CFA" w14:paraId="676336B3" w14:textId="1AA80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2CFA" w14:paraId="643662D7" w14:textId="2B3285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2CFA" w14:paraId="157ACEF0" w14:textId="5F3D90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2CFA" w14:paraId="23619831" w14:textId="20DBF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2CFA" w14:paraId="721862D2" w14:textId="53133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2CFA" w14:paraId="2C93F605" w14:textId="094C73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2CFA" w14:paraId="4351EEAA" w14:textId="3942A1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62CFA" w14:paraId="393DC939" w14:textId="662880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62CFA" w14:paraId="125D64E7" w14:textId="59761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62CFA" w14:paraId="23F4B98D" w14:textId="3A97C5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2CFA" w14:paraId="7E7F2292" w14:textId="4D1400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2CFA" w14:paraId="6E5E3EC3" w14:textId="5CF2B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2CFA" w14:paraId="309AA545" w14:textId="6D5AF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_Toc153756312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2CFA" w:rsidP="00D62CFA" w14:paraId="1346794D" w14:textId="37C3073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D62CFA" w:rsidP="00D62CFA" w14:paraId="05858E92" w14:textId="74E5143E">
      <w:pPr>
        <w:pStyle w:val="Heading1"/>
        <w:jc w:val="center"/>
        <w:rPr>
          <w:rFonts w:hint="eastAsia"/>
        </w:rPr>
      </w:pPr>
      <w:bookmarkStart w:id="0" w:name="_Toc153756250"/>
      <w:r w:rsidRPr="00D62CFA">
        <w:rPr>
          <w:rFonts w:hint="eastAsia"/>
        </w:rPr>
        <w:t>前言</w:t>
      </w:r>
      <w:bookmarkEnd w:id="0"/>
    </w:p>
    <w:p w:rsidR="00D62CFA" w:rsidP="00D62CFA" w14:paraId="53759F2A" w14:textId="6267F67B">
      <w:pPr>
        <w:ind w:firstLine="560" w:firstLineChars="200"/>
        <w:rPr>
          <w:rFonts w:ascii="仿宋" w:eastAsia="仿宋" w:hint="eastAsia"/>
          <w:sz w:val="28"/>
        </w:rPr>
      </w:pPr>
      <w:r w:rsidRPr="00D62CFA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D62CFA" w:rsidP="00D62CFA" w14:paraId="2C3AA883" w14:textId="615F7305">
      <w:pPr>
        <w:pStyle w:val="Heading1"/>
        <w:rPr>
          <w:rFonts w:hint="eastAsia"/>
        </w:rPr>
      </w:pPr>
      <w:bookmarkStart w:id="1" w:name="_Toc153756251"/>
      <w:r w:rsidRPr="00D62CFA">
        <w:rPr>
          <w:rFonts w:hint="eastAsia"/>
        </w:rPr>
        <w:t>一、环保分析</w:t>
      </w:r>
      <w:bookmarkEnd w:id="1"/>
    </w:p>
    <w:p w:rsidR="00D62CFA" w:rsidP="00D62CFA" w14:paraId="2CB05E30" w14:textId="051A2059">
      <w:pPr>
        <w:pStyle w:val="Heading2"/>
      </w:pPr>
      <w:bookmarkStart w:id="2" w:name="_Toc153756252"/>
      <w:r w:rsidRPr="00D62CFA">
        <w:t>(一)、建设期环境影响</w:t>
      </w:r>
      <w:bookmarkEnd w:id="2"/>
    </w:p>
    <w:p w:rsidR="00D62CFA" w:rsidRPr="00D62CFA" w:rsidP="00D62CFA" w14:paraId="6DCC66B1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在建设期，丁醇项目将产生一定数量的污染物排放，主要涉及气体和颗粒物排放。为确保大气环境的合理性，进行了详尽的排放分析：</w:t>
      </w:r>
    </w:p>
    <w:p w:rsidR="00D62CFA" w:rsidRPr="00D62CFA" w:rsidP="00D62CFA" w14:paraId="749B1477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气体排放分析：</w:t>
      </w:r>
      <w:r w:rsidRPr="00D62CFA">
        <w:rPr>
          <w:rFonts w:ascii="仿宋" w:eastAsia="仿宋" w:hAnsi="仿宋"/>
          <w:sz w:val="28"/>
        </w:rPr>
        <w:t xml:space="preserve"> 对丁醇项目涉及的气体排放进行详细测算，包括二氧化硫（SO2）、氮氧化物（NOx）、挥发性有机物（VOCs）等。采用先进的净化技术和设备以最大程度减少对大气的不良影响。</w:t>
      </w:r>
    </w:p>
    <w:p w:rsidR="00D62CFA" w:rsidRPr="00D62CFA" w:rsidP="00D62CFA" w14:paraId="7CD99221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颗粒物排放分析：</w:t>
      </w:r>
      <w:r w:rsidRPr="00D62CFA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D62CFA" w:rsidRPr="00D62CFA" w:rsidP="00D62CFA" w14:paraId="2E20382A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/>
          <w:sz w:val="28"/>
        </w:rPr>
        <w:t>2.1.2 水体质量评估</w:t>
      </w:r>
    </w:p>
    <w:p w:rsidR="00D62CFA" w:rsidRPr="00D62CFA" w:rsidP="00D62CFA" w14:paraId="584330F0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D62CFA" w:rsidRPr="00D62CFA" w:rsidP="00D62CFA" w14:paraId="441C0F9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62CFA">
        <w:rPr>
          <w:rFonts w:ascii="仿宋" w:eastAsia="仿宋" w:hAnsi="仿宋" w:hint="eastAsia"/>
          <w:sz w:val="28"/>
        </w:rPr>
        <w:t>排水系统设计：</w:t>
      </w:r>
    </w:p>
    <w:p w:rsidR="00D62CFA" w:rsidRPr="00D62CFA" w:rsidP="00D62CFA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/>
          <w:sz w:val="28"/>
        </w:rPr>
        <w:t xml:space="preserve"> 丁醇项目建设期间，将采用先进的排水系统，确保排水不对附近水体造成污染。排水口将定期监测，以确保排放水质符合相关法规标准</w:t>
      </w:r>
      <w:r w:rsidRPr="00D62CFA">
        <w:rPr>
          <w:rFonts w:ascii="仿宋" w:eastAsia="仿宋" w:hAnsi="仿宋"/>
          <w:sz w:val="28"/>
        </w:rPr>
        <w:t>。</w:t>
      </w:r>
    </w:p>
    <w:p w:rsidR="00D62CFA" w:rsidRPr="00D62CFA" w:rsidP="00D62CFA" w14:paraId="3BEC9C5F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水质监测网络：</w:t>
      </w:r>
      <w:r w:rsidRPr="00D62CFA">
        <w:rPr>
          <w:rFonts w:ascii="仿宋" w:eastAsia="仿宋" w:hAnsi="仿宋"/>
          <w:sz w:val="28"/>
        </w:rPr>
        <w:t xml:space="preserve"> 在丁醇项目周边建立水质监测网络，定期对水体进行取样和监测。对于任何异常情况，将采取及时的措施进行纠正，并及时向相关监管机构报告。</w:t>
      </w:r>
    </w:p>
    <w:p w:rsidR="00D62CFA" w:rsidRPr="00D62CFA" w:rsidP="00D62CFA" w14:paraId="15CC4F0A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/>
          <w:sz w:val="28"/>
        </w:rPr>
        <w:t>2.2 固体废弃物管理</w:t>
      </w:r>
    </w:p>
    <w:p w:rsidR="00D62CFA" w:rsidRPr="00D62CFA" w:rsidP="00D62CFA" w14:paraId="70298A99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/>
          <w:sz w:val="28"/>
        </w:rPr>
        <w:t>2.2.1 产生与处理分析</w:t>
      </w:r>
    </w:p>
    <w:p w:rsidR="00D62CFA" w:rsidRPr="00D62CFA" w:rsidP="00D62CFA" w14:paraId="5C576C17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在建设期，丁醇项目产生的固体废弃物将得到合理管理：</w:t>
      </w:r>
    </w:p>
    <w:p w:rsidR="00D62CFA" w:rsidRPr="00D62CFA" w:rsidP="00D62CFA" w14:paraId="308FAB12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废弃物分类：</w:t>
      </w:r>
      <w:r w:rsidRPr="00D62CFA">
        <w:rPr>
          <w:rFonts w:ascii="仿宋" w:eastAsia="仿宋" w:hAnsi="仿宋"/>
          <w:sz w:val="28"/>
        </w:rPr>
        <w:t xml:space="preserve"> 对产生的废弃物进行详细分类，包括可回收物、有害废物和一般废物。采用科</w:t>
      </w:r>
      <w:r w:rsidRPr="00D62CFA">
        <w:rPr>
          <w:rFonts w:ascii="仿宋" w:eastAsia="仿宋" w:hAnsi="仿宋" w:hint="eastAsia"/>
          <w:sz w:val="28"/>
        </w:rPr>
        <w:t>学合理的处理方法，最大限度地减少对环境的负面影响。</w:t>
      </w:r>
    </w:p>
    <w:p w:rsidR="00D62CFA" w:rsidRPr="00D62CFA" w:rsidP="00D62CFA" w14:paraId="2706A53E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建设期废弃物来源：</w:t>
      </w:r>
      <w:r w:rsidRPr="00D62CFA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D62CFA" w:rsidRPr="00D62CFA" w:rsidP="00D62CFA" w14:paraId="5E02D672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/>
          <w:sz w:val="28"/>
        </w:rPr>
        <w:t>2.2.2 环境可行性评估</w:t>
      </w:r>
    </w:p>
    <w:p w:rsidR="00D62CFA" w:rsidRPr="00D62CFA" w:rsidP="00D62CFA" w14:paraId="57E9F849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环境影响评估：</w:t>
      </w:r>
      <w:r w:rsidRPr="00D62CFA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D62CFA" w:rsidP="00D62CFA" w14:paraId="7A962D54" w14:textId="48BCD01B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社区参与：</w:t>
      </w:r>
      <w:r w:rsidRPr="00D62CFA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</w:p>
    <w:p w:rsidR="00D62CFA" w:rsidP="00D62CFA" w14:paraId="259D2164" w14:textId="1816BB58">
      <w:pPr>
        <w:pStyle w:val="Heading2"/>
      </w:pPr>
      <w:bookmarkStart w:id="3" w:name="_Toc153756253"/>
      <w:r w:rsidRPr="00D62CFA">
        <w:t>(二)、营运期环境评价</w:t>
      </w:r>
      <w:bookmarkEnd w:id="3"/>
    </w:p>
    <w:p w:rsidR="00D62CFA" w:rsidRPr="00D62CFA" w:rsidP="00D62CFA" w14:paraId="41017A77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62CFA">
        <w:rPr>
          <w:rFonts w:ascii="仿宋" w:eastAsia="仿宋" w:hAnsi="仿宋"/>
          <w:sz w:val="28"/>
        </w:rPr>
        <w:t>3.营运期环境评价</w:t>
      </w:r>
    </w:p>
    <w:p w:rsidR="00D62CFA" w:rsidRPr="00D62CFA" w:rsidP="00D62CFA" w14:paraId="5871F3F8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在丁醇项目进入营运期后，将持续进行环境评价，以确保丁醇项</w:t>
      </w:r>
      <w:r w:rsidRPr="00D62CFA">
        <w:rPr>
          <w:rFonts w:ascii="仿宋" w:eastAsia="仿宋" w:hAnsi="仿宋" w:hint="eastAsia"/>
          <w:sz w:val="28"/>
        </w:rPr>
        <w:t>目在运营期间对周边环境的影响得到有效管理。</w:t>
      </w:r>
    </w:p>
    <w:p w:rsidR="00D62CFA" w:rsidRPr="00D62CFA" w:rsidP="00D62CFA" w14:paraId="4925138E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/>
          <w:sz w:val="28"/>
        </w:rPr>
        <w:t>3.1持续性监测</w:t>
      </w:r>
    </w:p>
    <w:p w:rsidR="00D62CFA" w:rsidRPr="00D62CFA" w:rsidP="00D62CFA" w14:paraId="6F5EDA28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环境监测系统：建立完善的环境监测系统，实时监测空气、水体、土壤等环境指标。通过先进的传感器和监测设备，确保监测数据的准确性和实时性。</w:t>
      </w:r>
    </w:p>
    <w:p w:rsidR="00D62CFA" w:rsidRPr="00D62CFA" w:rsidP="00D62CFA" w14:paraId="6D361CE4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数据分析与报告：对监测数据进行定期分析，生成详尽的环境监测报告。及时向相关部门和社会公众公布监测结果，保持透明度，接受监督。</w:t>
      </w:r>
    </w:p>
    <w:p w:rsidR="00D62CFA" w:rsidRPr="00D62CFA" w:rsidP="00D62CFA" w14:paraId="0E790529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/>
          <w:sz w:val="28"/>
        </w:rPr>
        <w:t>3.2环境监测计划</w:t>
      </w:r>
    </w:p>
    <w:p w:rsidR="00D62CFA" w:rsidRPr="00D62CFA" w:rsidP="00D62CFA" w14:paraId="22E273EA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计划制定：制定全面的环境监测计划，包括监测频率、监测指标、监测点位等。确保监测计划覆盖到可能受到影响的区域，全面了解丁醇项目运营对环境的影响。</w:t>
      </w:r>
    </w:p>
    <w:p w:rsidR="00D62CFA" w:rsidRPr="00D62CFA" w:rsidP="00D62CFA" w14:paraId="1AAA9C03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计划调整与优化：随着运营期的推进，根据实际情况对监测计划进行调整和优化。确保监测计划与丁醇项目运营的实际情况保持一致。</w:t>
      </w:r>
    </w:p>
    <w:p w:rsidR="00D62CFA" w:rsidRPr="00D62CFA" w:rsidP="00D62CFA" w14:paraId="2C714D8E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/>
          <w:sz w:val="28"/>
        </w:rPr>
        <w:t>3.3生态系统健康评估</w:t>
      </w:r>
    </w:p>
    <w:p w:rsidR="00D62CFA" w:rsidRPr="00D62CFA" w:rsidP="00D62CFA" w14:paraId="7870C32A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生态学专家参与：邀请生态学专家参与生态系统健康评估，对丁醇项目周边生态系统进行全面评估。通过生物多样性、土壤质量、水体健康等指标，评估丁醇项目对生态系统的影响。</w:t>
      </w:r>
    </w:p>
    <w:p w:rsidR="00D62CFA" w:rsidRPr="00D62CFA" w:rsidP="00D62CFA" w14:paraId="0786E0D1" w14:textId="77777777">
      <w:pPr>
        <w:ind w:firstLine="560" w:firstLineChars="200"/>
        <w:rPr>
          <w:rFonts w:ascii="仿宋" w:eastAsia="仿宋" w:hAnsi="仿宋"/>
          <w:sz w:val="28"/>
        </w:rPr>
      </w:pPr>
      <w:r w:rsidRPr="00D62CFA">
        <w:rPr>
          <w:rFonts w:ascii="仿宋" w:eastAsia="仿宋" w:hAnsi="仿宋" w:hint="eastAsia"/>
          <w:sz w:val="28"/>
        </w:rPr>
        <w:t>生态修复措施：根据评估结果，制定生态修复措施，确保丁醇项目对周边生态系统的影响在可控范围内，并在可能的情况下实现生态效益的增强。</w:t>
      </w:r>
      <w:r w:rsidRPr="00D62CFA">
        <w:rPr>
          <w:rFonts w:ascii="仿宋" w:eastAsia="仿宋" w:hAnsi="仿宋"/>
          <w:sz w:val="28"/>
        </w:rPr>
        <w:br/>
      </w:r>
      <w:r w:rsidRPr="00D62CFA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https://d.book118.com/805120002023011041</w:t>
        </w:r>
      </w:hyperlink>
    </w:p>
    <w:p w:rsidR="00D62CFA" w:rsidRPr="00D62CFA" w:rsidP="00D62CFA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type w:val="nextPage"/>
      <w:pgSz w:w="11906" w:h="16838"/>
      <w:pgMar w:top="1440" w:right="1800" w:bottom="1440" w:left="180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paraId="48B065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CFA" w14:paraId="1BF0E23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paraId="323BA2AF" w14:textId="15F242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2CFA" w14:paraId="24F153F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paraId="3158FE4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15F242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15F242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15F242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15F242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15F242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P="00E920D8" w14:textId="15F2423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D62CFA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paraId="256EFDE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RPr="00D62CFA" w:rsidP="00D62CFA" w14:paraId="164C0861" w14:textId="3E209B0D">
    <w:pPr>
      <w:pStyle w:val="Header"/>
      <w:rPr>
        <w:rFonts w:ascii="仿宋" w:eastAsia="仿宋" w:hAnsi="仿宋"/>
      </w:rPr>
    </w:pPr>
    <w:r w:rsidRPr="00D62CFA">
      <w:rPr>
        <w:rFonts w:ascii="仿宋" w:eastAsia="仿宋" w:hAnsi="仿宋" w:hint="eastAsia"/>
      </w:rPr>
      <w:t>丁醇项目效益评估报告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paraId="19E6E32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RPr="00D62CFA" w:rsidP="00D62CFA" w14:textId="3E209B0D">
    <w:pPr>
      <w:pStyle w:val="Header"/>
      <w:rPr>
        <w:rFonts w:ascii="仿宋" w:eastAsia="仿宋" w:hAnsi="仿宋"/>
      </w:rPr>
    </w:pPr>
    <w:r w:rsidRPr="00D62CFA">
      <w:rPr>
        <w:rFonts w:ascii="仿宋" w:eastAsia="仿宋" w:hAnsi="仿宋" w:hint="eastAsia"/>
      </w:rPr>
      <w:t>丁醇项目效益评估报告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RPr="00D62CFA" w:rsidP="00D62CFA" w14:textId="3E209B0D">
    <w:pPr>
      <w:pStyle w:val="Header"/>
      <w:rPr>
        <w:rFonts w:ascii="仿宋" w:eastAsia="仿宋" w:hAnsi="仿宋"/>
      </w:rPr>
    </w:pPr>
    <w:r w:rsidRPr="00D62CFA">
      <w:rPr>
        <w:rFonts w:ascii="仿宋" w:eastAsia="仿宋" w:hAnsi="仿宋" w:hint="eastAsia"/>
      </w:rPr>
      <w:t>丁醇项目效益评估报告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RPr="00D62CFA" w:rsidP="00D62CFA" w14:textId="3E209B0D">
    <w:pPr>
      <w:pStyle w:val="Header"/>
      <w:rPr>
        <w:rFonts w:ascii="仿宋" w:eastAsia="仿宋" w:hAnsi="仿宋"/>
      </w:rPr>
    </w:pPr>
    <w:r w:rsidRPr="00D62CFA">
      <w:rPr>
        <w:rFonts w:ascii="仿宋" w:eastAsia="仿宋" w:hAnsi="仿宋" w:hint="eastAsia"/>
      </w:rPr>
      <w:t>丁醇项目效益评估报告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RPr="00D62CFA" w:rsidP="00D62CFA" w14:textId="3E209B0D">
    <w:pPr>
      <w:pStyle w:val="Header"/>
      <w:rPr>
        <w:rFonts w:ascii="仿宋" w:eastAsia="仿宋" w:hAnsi="仿宋"/>
      </w:rPr>
    </w:pPr>
    <w:r w:rsidRPr="00D62CFA">
      <w:rPr>
        <w:rFonts w:ascii="仿宋" w:eastAsia="仿宋" w:hAnsi="仿宋" w:hint="eastAsia"/>
      </w:rPr>
      <w:t>丁醇项目效益评估报告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RPr="00D62CFA" w:rsidP="00D62CFA" w14:textId="3E209B0D">
    <w:pPr>
      <w:pStyle w:val="Header"/>
      <w:rPr>
        <w:rFonts w:ascii="仿宋" w:eastAsia="仿宋" w:hAnsi="仿宋"/>
      </w:rPr>
    </w:pPr>
    <w:r w:rsidRPr="00D62CFA">
      <w:rPr>
        <w:rFonts w:ascii="仿宋" w:eastAsia="仿宋" w:hAnsi="仿宋" w:hint="eastAsia"/>
      </w:rPr>
      <w:t>丁醇项目效益评估报告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:rsidRPr="00D62CFA" w:rsidP="00D62CFA" w14:textId="3E209B0D">
    <w:pPr>
      <w:pStyle w:val="Header"/>
      <w:rPr>
        <w:rFonts w:ascii="仿宋" w:eastAsia="仿宋" w:hAnsi="仿宋"/>
      </w:rPr>
    </w:pPr>
    <w:r w:rsidRPr="00D62CFA">
      <w:rPr>
        <w:rFonts w:ascii="仿宋" w:eastAsia="仿宋" w:hAnsi="仿宋" w:hint="eastAsia"/>
      </w:rPr>
      <w:t>丁醇项目效益评估报告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2C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FA"/>
    <w:rsid w:val="00837C0D"/>
    <w:rsid w:val="00D62CFA"/>
    <w:rsid w:val="00E920D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04E4E2"/>
  <w15:chartTrackingRefBased/>
  <w15:docId w15:val="{C61E6568-247E-4C2A-8ACA-CC77FEFC9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2C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2C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2C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2C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2C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2C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2C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2C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2CFA"/>
  </w:style>
  <w:style w:type="paragraph" w:styleId="TOC1">
    <w:name w:val="toc 1"/>
    <w:basedOn w:val="Normal"/>
    <w:next w:val="Normal"/>
    <w:autoRedefine/>
    <w:uiPriority w:val="39"/>
    <w:unhideWhenUsed/>
    <w:rsid w:val="00D62CFA"/>
  </w:style>
  <w:style w:type="paragraph" w:styleId="TOC2">
    <w:name w:val="toc 2"/>
    <w:basedOn w:val="Normal"/>
    <w:next w:val="Normal"/>
    <w:autoRedefine/>
    <w:uiPriority w:val="39"/>
    <w:unhideWhenUsed/>
    <w:rsid w:val="00D62C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yperlink" Target="https://d.book118.com/805120002023011041" TargetMode="External" /><Relationship Id="rId41" Type="http://schemas.openxmlformats.org/officeDocument/2006/relationships/header" Target="header19.xml" /><Relationship Id="rId42" Type="http://schemas.openxmlformats.org/officeDocument/2006/relationships/header" Target="header20.xml" /><Relationship Id="rId43" Type="http://schemas.openxmlformats.org/officeDocument/2006/relationships/footer" Target="footer19.xml" /><Relationship Id="rId44" Type="http://schemas.openxmlformats.org/officeDocument/2006/relationships/footer" Target="footer20.xml" /><Relationship Id="rId45" Type="http://schemas.openxmlformats.org/officeDocument/2006/relationships/header" Target="header21.xml" /><Relationship Id="rId46" Type="http://schemas.openxmlformats.org/officeDocument/2006/relationships/footer" Target="footer21.xml" /><Relationship Id="rId47" Type="http://schemas.openxmlformats.org/officeDocument/2006/relationships/theme" Target="theme/theme1.xml" /><Relationship Id="rId48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2942</Words>
  <Characters>16775</Characters>
  <Application>Microsoft Office Word</Application>
  <DocSecurity>0</DocSecurity>
  <Lines>139</Lines>
  <Paragraphs>39</Paragraphs>
  <ScaleCrop>false</ScaleCrop>
  <Company/>
  <LinksUpToDate>false</LinksUpToDate>
  <CharactersWithSpaces>19678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2023-12-17T17:43:00Z</dcterms:created>
  <dcterms:modified xsi:type="dcterms:W3CDTF">2023-12-17T17:43:00Z</dcterms:modified>
</cp:coreProperties>
</file>