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2024年大学试题(财经商贸)-国际金融历年考试高频考点试题附带答案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试述货币危机产生的原因。</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专业性商业银行</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对利率平价说进行简单评价。</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简述国际黄金市场的分类。</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试述欧洲票据的种类。</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防范交易风险的方法和措施有哪些？</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马歇尔－勒纳条件</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试述金融租赁的主要特点。</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欧洲货币市场中长期信贷的各项费用有哪些？</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国际开发协会</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直接投资</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请简要介绍国际短期资金流动的三种类型。</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简述本币贬值对该国进出口贸易的影响。</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举例说明什么是直接标价和间接标价。</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平价发行</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资产负债综合管理理论</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外部均衡</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即期外汇</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试分析布雷顿森林体系及牙买加体系内容上的区别。</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简要回答融资租赁业务的程序？</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金汇兑本位制的主要内容包括（）。</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简述影响国际股票市场形成和发展的因素。</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背书</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国际开发协会贷款有什么特点？</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简述欧洲货币市场的主要特点。</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国际储备与国际清偿能力有何关系？</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指数型基金</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货币升值效果的资本存量约束</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收益资本化</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国际收支平衡表编制原则是什么？</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开放经济条件中的一价定律</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分析国际收支中的主要差额所反映的经济现象。</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依据货币自由兑换的涵义，全面分析人民币实行自由兑换的条件。</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提前或延期结汇法</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自由浮动</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简述离岸金融市场的作用。</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国际金融市场的创新及其影响有哪些？</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香港某进口商于2003年6月底与美国某公司签订了一份进口机器设备的合同，价款为50万美元，在10月底进行支付.该香港进口商担心10月底美元汇率上涨会给自己带来损失，于是决定通过外币期权交易来防范外汇风险.现在假设：在签订期权合约时，即期汇率为1美元=7.78港元，期权合约的执行价格为1美元=7.76港元，每张合约的价值是5万美元，到10月底的期权费是50万美元按市场即期汇率兑换港币金额的0.6%.试问香港进口商如何买卖期权，假设10月底的市场汇率分别为1美元兑换7.89港币，7.76港币香港进口商应该如何操作，相应的损益是多少</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国际收支的自动调节机制有哪些？并分别论述机制的传递过程？</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货币需求</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货币平价条款</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国际货币银行基金组织贷款的基金来源有哪些？</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简述内部均衡和外部均衡的矛盾关系。</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内部均衡</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对于跨国公司、东道国政府和企业而言，股权式合营企业有什么利弊?</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什么是投机性资本流动，怎样对投机性资本进行监管。</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简述绝对和相对购买力平价理论的基本观点。</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国际清算银行的业务主要有哪些？</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试比较固定汇率制与浮动汇率制的利弊。在你看来，一个国家选择固定汇率还是浮动汇率主要应考虑哪些问题？</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影响汇率变动的主要经济因素有哪些？</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简述欧洲大额可转让定期存单的发行条件。</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货币失衡</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简述资产组合理论的核心观点。</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粘性价格</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简述牙买加体系与布雷顿森林体系的区别。</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试述1994年初我国外汇体制改革的主要内容。</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资本市场</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国际货币市场和国际资本市场的区别？</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汇率失调的技术进步缺口</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简述金融危机理论模型的变迁。</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固定利率</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短期跨国资本流动有哪些特点？可能的形成原因是什么？</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广义的国际金融市场</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国际债务危机的解决方案有几种？</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金融创新的概念？</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实值期权</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基准货币</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外汇的主要特征有哪些？</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国际收支平衡表按照（）原理进行统计纪录。</w:t>
      </w:r>
      <w:r>
        <w:rPr>
          <w:rFonts w:ascii="黑体" w:eastAsia="黑体" w:hAnsi="黑体" w:cs="黑体" w:hint="eastAsia"/>
          <w:sz w:val="24"/>
          <w:szCs w:val="28"/>
        </w:rPr>
        <w:tab/>
      </w:r>
      <w:r>
        <w:rPr>
          <w:rFonts w:ascii="黑体" w:eastAsia="黑体" w:hAnsi="黑体" w:cs="黑体" w:hint="eastAsia"/>
          <w:sz w:val="24"/>
          <w:szCs w:val="28"/>
        </w:rPr>
        <w:t xml:space="preserve">  </w:t>
      </w:r>
    </w:p>
    <w:p>
      <w:pPr>
        <w:pStyle w:val="Normal68"/>
        <w:jc w:val="left"/>
        <w:rPr>
          <w:rFonts w:ascii="黑体" w:eastAsia="黑体" w:hAnsi="黑体" w:cs="黑体" w:hint="eastAsia"/>
          <w:sz w:val="24"/>
          <w:szCs w:val="28"/>
        </w:rPr>
      </w:pPr>
      <w:r>
        <w:rPr>
          <w:rFonts w:ascii="黑体" w:eastAsia="黑体" w:hAnsi="黑体" w:cs="黑体" w:hint="eastAsia"/>
          <w:sz w:val="24"/>
          <w:szCs w:val="28"/>
        </w:rPr>
        <w:t>A、单式计帐</w:t>
      </w:r>
    </w:p>
    <w:p>
      <w:pPr>
        <w:pStyle w:val="Normal68"/>
        <w:jc w:val="left"/>
        <w:rPr>
          <w:rFonts w:ascii="黑体" w:eastAsia="黑体" w:hAnsi="黑体" w:cs="黑体" w:hint="eastAsia"/>
          <w:sz w:val="24"/>
          <w:szCs w:val="28"/>
        </w:rPr>
      </w:pPr>
      <w:r>
        <w:rPr>
          <w:rFonts w:ascii="黑体" w:eastAsia="黑体" w:hAnsi="黑体" w:cs="黑体" w:hint="eastAsia"/>
          <w:sz w:val="24"/>
          <w:szCs w:val="28"/>
        </w:rPr>
        <w:t>B、复式记账</w:t>
      </w:r>
    </w:p>
    <w:p>
      <w:pPr>
        <w:pStyle w:val="Normal68"/>
        <w:jc w:val="left"/>
        <w:rPr>
          <w:rFonts w:ascii="黑体" w:eastAsia="黑体" w:hAnsi="黑体" w:cs="黑体" w:hint="eastAsia"/>
          <w:sz w:val="24"/>
          <w:szCs w:val="28"/>
        </w:rPr>
      </w:pPr>
      <w:r>
        <w:rPr>
          <w:rFonts w:ascii="黑体" w:eastAsia="黑体" w:hAnsi="黑体" w:cs="黑体" w:hint="eastAsia"/>
          <w:sz w:val="24"/>
          <w:szCs w:val="28"/>
        </w:rPr>
        <w:t>C、增减记账</w:t>
      </w:r>
    </w:p>
    <w:p>
      <w:pPr>
        <w:pStyle w:val="Normal68"/>
        <w:jc w:val="left"/>
        <w:rPr>
          <w:rFonts w:ascii="黑体" w:eastAsia="黑体" w:hAnsi="黑体" w:cs="黑体" w:hint="eastAsia"/>
          <w:sz w:val="24"/>
          <w:szCs w:val="28"/>
        </w:rPr>
      </w:pPr>
      <w:r>
        <w:rPr>
          <w:rFonts w:ascii="黑体" w:eastAsia="黑体" w:hAnsi="黑体" w:cs="黑体" w:hint="eastAsia"/>
          <w:sz w:val="24"/>
          <w:szCs w:val="28"/>
        </w:rPr>
        <w:t>D、收付记帐</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20.</w:t>
      </w:r>
      <w:r>
        <w:rPr>
          <w:rFonts w:ascii="黑体" w:eastAsia="黑体" w:hAnsi="黑体" w:cs="黑体" w:hint="eastAsia"/>
          <w:sz w:val="24"/>
          <w:szCs w:val="28"/>
        </w:rPr>
        <w:t>看跌期权</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跨国公司短期融资流程包括哪些环节？</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货币乘数</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试评价国际货币基金组织的贷款条件性？</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跨国公司如何进行外债的期限决策？</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试述托收方式下，出口商面临的风险。</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（1）经济基础变化带来的投机冲击所导致的货币危机</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政府过度的扩张性财政政策导致经济基础恶化是引发对固定汇率的投机攻击从而爆发货币危机的最基本的原因。</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这种类型的货币危机具有如下特点：</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第一，在货币危机的成因上。这一货币危机的发生是由于政府不合理的宏观政策引起的。</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第二，在货币危机的发生机制上，投机冲击导致储备急剧下降为零是这种货币危机发生的一般过程。</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第三，在货币危机的防范机制上，紧缩性财政货币政策是防止这种危机发生的关键。</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（2）主要由心理预期带来的投机性冲击所导致的货币危机。</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投机冲击的出现有可能与经济基本面因素无关，而是在国际短期资金流动存在独特的内在运动规律的条件下，主要由心理预期因素导致的。</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政府提高利率来维持固定汇率制度的成本一般包括：第一，如果政府债务存量很高，高利率会加大预算赤字，给政府带来沉重的还本付息负担。第二，高利率不利于银行稳定经营。第三，最为重要的是，高利率一般意味着经济紧缩，这会带来衰退与高失业率等一系列问题。</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政府面临投机冲击时，决定是否提高利率实际上是对这两种成本的权衡过程。当维持固定汇率的收益超过其成本时，政府就应将其维持下去，反之，则放弃。也就是说，政府只能将利率提高到一定限度，如果维持固定汇率制度二要求将利率提高得超过这一限度，则政府宁肯选择放弃对投机攻击的抵御，听任汇率自由浮动。</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专门从事某一领域或某一类型银行业务的商业银行。</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首先，利率评价说的研究角度从商品流动转移到资金流动，指出了汇率与利率之间存在的内在关系，这对正确认识外汇市场上汇率的形成机制是非常重要的。</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其次，利率评价说描述了汇率与利率间存在的关系，与其他汇率决定理论之间是相互补充的，常常被作为一种基本的关系式而运用在其他汇率决定理论的分析中。</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再次，利率评价说具有特别的实践价值，为中央银行对外汇市场进行灵活的调节提供了有效的途径：即培育一个发达的、有效的货币市场，在货币市场上利用利率尤其是短期利率的变动以对汇率进行调节。</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（1）根据黄金交易的自然属性和金融属性，可以分为一般商品的交易和作为金融工具的交易；</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（2）根据市场组织形式的不同，可以分为有形市场和无形市场；</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（3）根据交易方式的不同，可以分为现货市场和期货市场；</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（4）根据黄金交易中心在国际黄金市场上的地位不同，可以分为起主导作用的黄金交易中心和区域性黄金交易中心。</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（1）承销性票据发行便利，是银行等金融机构对客户发行欧洲票据所提供的融资额度；</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（2）循环承销便利，是借款人希望通过发行欧洲短期票据来满足其较长期限（如5—7年）的资金需求时，承销银行提供的一种可循环使用的信用额度；</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（3）非承销欧洲票据，包括欧洲商业票据和非承销性票据发行便利；</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（4）多种融资选择便利，即允许借款人采用多种方式提取资金，包括短期贷款、浮动信用额度、银行承兑票据等；</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（5）欧洲中期票据，指期限从9个月到10年不等的欧洲票据。</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选择货币法：要选择自由兑换的货币；出口收汇要尽量选择硬币作为计价货币，进口用汇则尽可能；选择软币作为计价货币；在签订进出口合同时，应尽量采用本国货币计价结算；采用软硬货币搭配使用的方法，当双方在货币选择上各抒己见，无法达成协议时，可采用对半货币折衷方法，甚至可采用几种货币组合，以多种货币对外报价，这种形式尤其适合于大型设备的进出口贸易。</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（2）货币保值法：黄金保值条款；硬货币保值；用"一篮子"货币保值.。</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（3）利用外汇市场与货币市场业务消除汇率风险：即期合同法；远期合同法；货币期货合同法；外汇期权合同法；掉期合同法；BSI和LSI法。</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（4）运用经营决策：提前收付或推迟收付法；平衡法；利用对销贸易法；调整价格法；转售中心法.</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（5）货币互换协议：平行贷款；货币互换；信贷互换</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防范：资产负债表保值法：设法使资产负债表上的外币暴露资产和外币暴露负债在币种与金额上趋于一致，从而使净换算暴露等于零。经济风险的防范：经营多元化；融资多元化。</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指贸易收支改善的必要条件，即出口商品的需求价格弹性和进口商品的需求价格弹性之和必须大于1。</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是一项涉及三方当事人的合同，至少有两个以上的合同；定金付清，基本租期内的设备只租给一个特定用户使用；租期长，合同不可撤销；承租人自行选定设备由出租人购买，设备验收由承租人负责；设备所有权和使用权分离，法律上所有权属于出租人，经纪商使用权属于承租人；期满，承租人有权选择留购、续租和退租。</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费用主要包括：管理费、代理费、杂费、承担费等。</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国际开发协会成立于1960年成立，是世界银行集团成员，也是世界银行的无息贷款（软贷款）和赠款窗口。协会通过向生产性项目提供贷款，促进欠发达国家的经济社会发展。协会成立以来，对于促进不发达国家和地区的发展做出了巨大的贡献。</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指一经济体居民对另一经济体居民的企业以获得持久性利益为目的的投资，其主要特征是投资者对另一经济体企业的经营管理活动拥有有效的发言权，投资者可以对企业的经营管理施加相当大的影响。</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国际短期资金流动是指发生在国际间、期限在一年以下的资金流动。就其性质分，可以分为三种类型：</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1）套利性资金流动，一般是利用各国金融市场上利率与汇率的暂时差异而赚取这一差价的资金流动，又可分为套汇与套利两种情况，分别对应不同外汇市场上的汇率差异和各国货币市场上的利率差异而进行。</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2）避险性资金流动，又称资本外逃，是指金融资产的持有者为了资金的安全而进行资金调拨转移所形成的短期资金流动。</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3）投机性资金流动，是指投资者利用国际市场上的汇率、金融资产或商品价格的波动，从中谋取利润而引起的短期资金流动。</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本币贬值或者会使出口商品价格下降，或者会使出口商品利润提高，或者二者兼而有之，这都会使出口规模扩大。如果出口数量增加的幅度超过商品价格下降的程度，则本国出口外汇收入净增加。但以外币计价的进口商品在国内销售时折合的本币价格比贬值前提高，进口高成本增加，利润减少，进口数量相应减少。因此，本币贬值会自动地抑制商品的进口。如果本币贬值有效地促进了出口，限制了进口，则会改善一国的贸易条件，扭转贸易收支的不平衡。</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本币贬值会改善贸易逆差，但必须符合马歇尔-勒纳条件，即需要的具体条件是进出口需求弹性之和必须大于1。</w:t>
      </w:r>
    </w:p>
    <w:p>
      <w:pPr>
        <w:pStyle w:val="Normal120"/>
        <w:spacing w:before="0" w:after="0" w:line="240" w:lineRule="atLeast"/>
      </w:pP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直接标价：以一定量的外币表示多少本币的汇率(2分)</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中国：￡100=Rmb1300</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$100=Rmb840</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DM100=Rmb540</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间接标价：以一定量的本币表示多少外币的汇率(2分)</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美国：1=DM1.45</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1=J￥100</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1=sf1.32</w:t>
      </w:r>
    </w:p>
    <w:p>
      <w:pPr>
        <w:pStyle w:val="Normal130"/>
        <w:spacing w:before="0" w:after="0" w:line="240" w:lineRule="atLeast"/>
      </w:pP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15.参考答案:</w:t>
      </w: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债券投资者认购新发行债券的价格如按票面值发行，即平价发行。</w:t>
      </w:r>
    </w:p>
    <w:p>
      <w:pPr>
        <w:pStyle w:val="Normal140"/>
        <w:spacing w:before="0" w:after="0" w:line="240" w:lineRule="atLeast"/>
      </w:pP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16.参考答案:</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https://d.book118.com/805120113210011044</w:t>
        </w:r>
      </w:hyperlink>
    </w:p>
    <w:p>
      <w:pPr>
        <w:pStyle w:val="Normal15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805120113210011044"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