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74AB">
      <w:pPr>
        <w:widowControl/>
        <w:jc w:val="left"/>
        <w:rPr>
          <w:rFonts w:ascii="仿宋" w:eastAsia="仿宋" w:hAnsi="仿宋"/>
          <w:b/>
          <w:sz w:val="40"/>
        </w:rPr>
      </w:pPr>
      <w:bookmarkStart w:id="0" w:name="_GoBack"/>
      <w:bookmarkEnd w:id="0"/>
    </w:p>
    <w:p w:rsidR="003A74AB">
      <w:pPr>
        <w:widowControl/>
        <w:jc w:val="left"/>
        <w:rPr>
          <w:rFonts w:ascii="仿宋" w:eastAsia="仿宋" w:hAnsi="仿宋"/>
          <w:b/>
          <w:sz w:val="40"/>
        </w:rPr>
      </w:pPr>
    </w:p>
    <w:p w:rsidR="003A74AB">
      <w:pPr>
        <w:widowControl/>
        <w:jc w:val="left"/>
        <w:rPr>
          <w:rFonts w:ascii="仿宋" w:eastAsia="仿宋" w:hAnsi="仿宋"/>
          <w:b/>
          <w:sz w:val="40"/>
        </w:rPr>
      </w:pPr>
    </w:p>
    <w:p w:rsidR="003A74AB" w:rsidRPr="003A74A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74AB">
        <w:rPr>
          <w:rFonts w:ascii="宋体" w:eastAsia="宋体" w:hAnsi="宋体" w:hint="eastAsia"/>
          <w:b/>
          <w:sz w:val="60"/>
        </w:rPr>
        <w:t>鼠抗肿瘤相关抗原单克隆抗体风险评估与管理报告</w:t>
      </w:r>
    </w:p>
    <w:p w:rsidR="003A74AB" w:rsidP="003A74AB">
      <w:pPr>
        <w:widowControl/>
        <w:jc w:val="center"/>
        <w:rPr>
          <w:rFonts w:ascii="仿宋" w:eastAsia="仿宋" w:hAnsi="仿宋" w:hint="eastAsia"/>
          <w:b/>
          <w:sz w:val="40"/>
        </w:rPr>
      </w:pPr>
      <w:r w:rsidRPr="003A74AB">
        <w:rPr>
          <w:rFonts w:ascii="仿宋" w:eastAsia="仿宋" w:hAnsi="仿宋" w:hint="eastAsia"/>
          <w:b/>
          <w:sz w:val="40"/>
        </w:rPr>
        <w:t>目录</w:t>
      </w:r>
    </w:p>
    <w:p w:rsidR="003A74A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_Toc158943245 \h </w:instrText>
      </w:r>
      <w:r>
        <w:rPr>
          <w:noProof/>
        </w:rPr>
        <w:fldChar w:fldCharType="separate"/>
      </w:r>
      <w:r>
        <w:rPr>
          <w:noProof/>
        </w:rPr>
        <w:t>3</w:t>
      </w:r>
      <w:r>
        <w:rPr>
          <w:noProof/>
        </w:rPr>
        <w:fldChar w:fldCharType="end"/>
      </w:r>
    </w:p>
    <w:p w:rsidR="003A74AB">
      <w:pPr>
        <w:pStyle w:val="TOC1"/>
        <w:tabs>
          <w:tab w:val="right" w:leader="dot" w:pos="8296"/>
        </w:tabs>
        <w:rPr>
          <w:noProof/>
        </w:rPr>
      </w:pPr>
      <w:r>
        <w:rPr>
          <w:rFonts w:hint="eastAsia"/>
          <w:noProof/>
        </w:rPr>
        <w:t>一、鼠抗肿瘤相关抗原单克隆抗体项目质量管理方案</w:t>
      </w:r>
      <w:r>
        <w:rPr>
          <w:noProof/>
        </w:rPr>
        <w:tab/>
      </w:r>
      <w:r>
        <w:rPr>
          <w:noProof/>
        </w:rPr>
        <w:fldChar w:fldCharType="begin"/>
      </w:r>
      <w:r>
        <w:rPr>
          <w:noProof/>
        </w:rPr>
        <w:instrText xml:space="preserve"> PAGEREF _Toc158943246 \h </w:instrText>
      </w:r>
      <w:r>
        <w:rPr>
          <w:noProof/>
        </w:rPr>
        <w:fldChar w:fldCharType="separate"/>
      </w:r>
      <w:r>
        <w:rPr>
          <w:noProof/>
        </w:rPr>
        <w:t>3</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_Toc158943247 \h </w:instrText>
      </w:r>
      <w:r>
        <w:rPr>
          <w:noProof/>
        </w:rPr>
        <w:fldChar w:fldCharType="separate"/>
      </w:r>
      <w:r>
        <w:rPr>
          <w:noProof/>
        </w:rPr>
        <w:t>3</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_Toc158943248 \h </w:instrText>
      </w:r>
      <w:r>
        <w:rPr>
          <w:noProof/>
        </w:rPr>
        <w:fldChar w:fldCharType="separate"/>
      </w:r>
      <w:r>
        <w:rPr>
          <w:noProof/>
        </w:rPr>
        <w:t>7</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_Toc158943249 \h </w:instrText>
      </w:r>
      <w:r>
        <w:rPr>
          <w:noProof/>
        </w:rPr>
        <w:fldChar w:fldCharType="separate"/>
      </w:r>
      <w:r>
        <w:rPr>
          <w:noProof/>
        </w:rPr>
        <w:t>10</w:t>
      </w:r>
      <w:r>
        <w:rPr>
          <w:noProof/>
        </w:rPr>
        <w:fldChar w:fldCharType="end"/>
      </w:r>
    </w:p>
    <w:p w:rsidR="003A74AB">
      <w:pPr>
        <w:pStyle w:val="TOC1"/>
        <w:tabs>
          <w:tab w:val="right" w:leader="dot" w:pos="8296"/>
        </w:tabs>
        <w:rPr>
          <w:noProof/>
        </w:rPr>
      </w:pPr>
      <w:r>
        <w:rPr>
          <w:rFonts w:hint="eastAsia"/>
          <w:noProof/>
        </w:rPr>
        <w:t>二、鼠抗肿瘤相关抗原单克隆抗体项目风险管理方案</w:t>
      </w:r>
      <w:r>
        <w:rPr>
          <w:noProof/>
        </w:rPr>
        <w:tab/>
      </w:r>
      <w:r>
        <w:rPr>
          <w:noProof/>
        </w:rPr>
        <w:fldChar w:fldCharType="begin"/>
      </w:r>
      <w:r>
        <w:rPr>
          <w:noProof/>
        </w:rPr>
        <w:instrText xml:space="preserve"> PAGEREF _Toc158943250 \h </w:instrText>
      </w:r>
      <w:r>
        <w:rPr>
          <w:noProof/>
        </w:rPr>
        <w:fldChar w:fldCharType="separate"/>
      </w:r>
      <w:r>
        <w:rPr>
          <w:noProof/>
        </w:rPr>
        <w:t>11</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_Toc158943251 \h </w:instrText>
      </w:r>
      <w:r>
        <w:rPr>
          <w:noProof/>
        </w:rPr>
        <w:fldChar w:fldCharType="separate"/>
      </w:r>
      <w:r>
        <w:rPr>
          <w:noProof/>
        </w:rPr>
        <w:t>11</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_Toc158943252 \h </w:instrText>
      </w:r>
      <w:r>
        <w:rPr>
          <w:noProof/>
        </w:rPr>
        <w:fldChar w:fldCharType="separate"/>
      </w:r>
      <w:r>
        <w:rPr>
          <w:noProof/>
        </w:rPr>
        <w:t>13</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_Toc158943253 \h </w:instrText>
      </w:r>
      <w:r>
        <w:rPr>
          <w:noProof/>
        </w:rPr>
        <w:fldChar w:fldCharType="separate"/>
      </w:r>
      <w:r>
        <w:rPr>
          <w:noProof/>
        </w:rPr>
        <w:t>15</w:t>
      </w:r>
      <w:r>
        <w:rPr>
          <w:noProof/>
        </w:rPr>
        <w:fldChar w:fldCharType="end"/>
      </w:r>
    </w:p>
    <w:p w:rsidR="003A74A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_Toc158943254 \h </w:instrText>
      </w:r>
      <w:r>
        <w:rPr>
          <w:noProof/>
        </w:rPr>
        <w:fldChar w:fldCharType="separate"/>
      </w:r>
      <w:r>
        <w:rPr>
          <w:noProof/>
        </w:rPr>
        <w:t>17</w:t>
      </w:r>
      <w:r>
        <w:rPr>
          <w:noProof/>
        </w:rPr>
        <w:fldChar w:fldCharType="end"/>
      </w:r>
    </w:p>
    <w:p w:rsidR="003A74A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_Toc158943255 \h </w:instrText>
      </w:r>
      <w:r>
        <w:rPr>
          <w:noProof/>
        </w:rPr>
        <w:fldChar w:fldCharType="separate"/>
      </w:r>
      <w:r>
        <w:rPr>
          <w:noProof/>
        </w:rPr>
        <w:t>19</w:t>
      </w:r>
      <w:r>
        <w:rPr>
          <w:noProof/>
        </w:rPr>
        <w:fldChar w:fldCharType="end"/>
      </w:r>
    </w:p>
    <w:p w:rsidR="003A74A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_Toc158943256 \h </w:instrText>
      </w:r>
      <w:r>
        <w:rPr>
          <w:noProof/>
        </w:rPr>
        <w:fldChar w:fldCharType="separate"/>
      </w:r>
      <w:r>
        <w:rPr>
          <w:noProof/>
        </w:rPr>
        <w:t>22</w:t>
      </w:r>
      <w:r>
        <w:rPr>
          <w:noProof/>
        </w:rPr>
        <w:fldChar w:fldCharType="end"/>
      </w:r>
    </w:p>
    <w:p w:rsidR="003A74A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_Toc158943257 \h </w:instrText>
      </w:r>
      <w:r>
        <w:rPr>
          <w:noProof/>
        </w:rPr>
        <w:fldChar w:fldCharType="separate"/>
      </w:r>
      <w:r>
        <w:rPr>
          <w:noProof/>
        </w:rPr>
        <w:t>24</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_Toc158943258 \h </w:instrText>
      </w:r>
      <w:r>
        <w:rPr>
          <w:noProof/>
        </w:rPr>
        <w:fldChar w:fldCharType="separate"/>
      </w:r>
      <w:r>
        <w:rPr>
          <w:noProof/>
        </w:rPr>
        <w:t>24</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_Toc158943259 \h </w:instrText>
      </w:r>
      <w:r>
        <w:rPr>
          <w:noProof/>
        </w:rPr>
        <w:fldChar w:fldCharType="separate"/>
      </w:r>
      <w:r>
        <w:rPr>
          <w:noProof/>
        </w:rPr>
        <w:t>27</w:t>
      </w:r>
      <w:r>
        <w:rPr>
          <w:noProof/>
        </w:rPr>
        <w:fldChar w:fldCharType="end"/>
      </w:r>
    </w:p>
    <w:p w:rsidR="003A74AB">
      <w:pPr>
        <w:pStyle w:val="TOC1"/>
        <w:tabs>
          <w:tab w:val="right" w:leader="dot" w:pos="8296"/>
        </w:tabs>
        <w:rPr>
          <w:noProof/>
        </w:rPr>
      </w:pPr>
      <w:r>
        <w:rPr>
          <w:rFonts w:hint="eastAsia"/>
          <w:noProof/>
        </w:rPr>
        <w:t>四、鼠抗肿瘤相关抗原单克隆抗体项目财务管理方案</w:t>
      </w:r>
      <w:r>
        <w:rPr>
          <w:noProof/>
        </w:rPr>
        <w:tab/>
      </w:r>
      <w:r>
        <w:rPr>
          <w:noProof/>
        </w:rPr>
        <w:fldChar w:fldCharType="begin"/>
      </w:r>
      <w:r>
        <w:rPr>
          <w:noProof/>
        </w:rPr>
        <w:instrText xml:space="preserve"> PAGEREF _Toc158943260 \h </w:instrText>
      </w:r>
      <w:r>
        <w:rPr>
          <w:noProof/>
        </w:rPr>
        <w:fldChar w:fldCharType="separate"/>
      </w:r>
      <w:r>
        <w:rPr>
          <w:noProof/>
        </w:rPr>
        <w:t>29</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_Toc158943261 \h </w:instrText>
      </w:r>
      <w:r>
        <w:rPr>
          <w:noProof/>
        </w:rPr>
        <w:fldChar w:fldCharType="separate"/>
      </w:r>
      <w:r>
        <w:rPr>
          <w:noProof/>
        </w:rPr>
        <w:t>29</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_Toc158943262 \h </w:instrText>
      </w:r>
      <w:r>
        <w:rPr>
          <w:noProof/>
        </w:rPr>
        <w:fldChar w:fldCharType="separate"/>
      </w:r>
      <w:r>
        <w:rPr>
          <w:noProof/>
        </w:rPr>
        <w:t>31</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_Toc158943263 \h </w:instrText>
      </w:r>
      <w:r>
        <w:rPr>
          <w:noProof/>
        </w:rPr>
        <w:fldChar w:fldCharType="separate"/>
      </w:r>
      <w:r>
        <w:rPr>
          <w:noProof/>
        </w:rPr>
        <w:t>33</w:t>
      </w:r>
      <w:r>
        <w:rPr>
          <w:noProof/>
        </w:rPr>
        <w:fldChar w:fldCharType="end"/>
      </w:r>
    </w:p>
    <w:p w:rsidR="003A74AB">
      <w:pPr>
        <w:pStyle w:val="TOC2"/>
        <w:tabs>
          <w:tab w:val="right" w:leader="dot" w:pos="8296"/>
        </w:tabs>
        <w:rPr>
          <w:noProof/>
        </w:rPr>
      </w:pPr>
      <w:r>
        <w:rPr>
          <w:noProof/>
        </w:rPr>
        <w:t>(</w:t>
      </w:r>
      <w:r>
        <w:rPr>
          <w:rFonts w:hint="eastAsia"/>
          <w:noProof/>
        </w:rPr>
        <w:t>四</w:t>
      </w:r>
      <w:r>
        <w:rPr>
          <w:noProof/>
        </w:rPr>
        <w:t>)</w:t>
      </w:r>
      <w:r>
        <w:rPr>
          <w:rFonts w:hint="eastAsia"/>
          <w:noProof/>
        </w:rPr>
        <w:t>、收入管理在鼠抗肿瘤相关抗原单克隆抗体项目中的重要性与挑战</w:t>
      </w:r>
      <w:r>
        <w:rPr>
          <w:noProof/>
        </w:rPr>
        <w:tab/>
      </w:r>
      <w:r>
        <w:rPr>
          <w:noProof/>
        </w:rPr>
        <w:fldChar w:fldCharType="begin"/>
      </w:r>
      <w:r>
        <w:rPr>
          <w:noProof/>
        </w:rPr>
        <w:instrText xml:space="preserve"> PAGEREF _Toc158943264 \h </w:instrText>
      </w:r>
      <w:r>
        <w:rPr>
          <w:noProof/>
        </w:rPr>
        <w:fldChar w:fldCharType="separate"/>
      </w:r>
      <w:r>
        <w:rPr>
          <w:noProof/>
        </w:rPr>
        <w:t>37</w:t>
      </w:r>
      <w:r>
        <w:rPr>
          <w:noProof/>
        </w:rPr>
        <w:fldChar w:fldCharType="end"/>
      </w:r>
    </w:p>
    <w:p w:rsidR="003A74A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_Toc158943265 \h </w:instrText>
      </w:r>
      <w:r>
        <w:rPr>
          <w:noProof/>
        </w:rPr>
        <w:fldChar w:fldCharType="separate"/>
      </w:r>
      <w:r>
        <w:rPr>
          <w:noProof/>
        </w:rPr>
        <w:t>40</w:t>
      </w:r>
      <w:r>
        <w:rPr>
          <w:noProof/>
        </w:rPr>
        <w:fldChar w:fldCharType="end"/>
      </w:r>
    </w:p>
    <w:p w:rsidR="003A74A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_Toc158943266 \h </w:instrText>
      </w:r>
      <w:r>
        <w:rPr>
          <w:noProof/>
        </w:rPr>
        <w:fldChar w:fldCharType="separate"/>
      </w:r>
      <w:r>
        <w:rPr>
          <w:noProof/>
        </w:rPr>
        <w:t>42</w:t>
      </w:r>
      <w:r>
        <w:rPr>
          <w:noProof/>
        </w:rPr>
        <w:fldChar w:fldCharType="end"/>
      </w:r>
    </w:p>
    <w:p w:rsidR="003A74AB">
      <w:pPr>
        <w:pStyle w:val="TOC2"/>
        <w:tabs>
          <w:tab w:val="right" w:leader="dot" w:pos="8296"/>
        </w:tabs>
        <w:rPr>
          <w:noProof/>
        </w:rPr>
      </w:pPr>
      <w:r>
        <w:rPr>
          <w:noProof/>
        </w:rPr>
        <w:t>(</w:t>
      </w:r>
      <w:r>
        <w:rPr>
          <w:rFonts w:hint="eastAsia"/>
          <w:noProof/>
        </w:rPr>
        <w:t>七</w:t>
      </w:r>
      <w:r>
        <w:rPr>
          <w:noProof/>
        </w:rPr>
        <w:t>)</w:t>
      </w:r>
      <w:r>
        <w:rPr>
          <w:rFonts w:hint="eastAsia"/>
          <w:noProof/>
        </w:rPr>
        <w:t>、利润管理在鼠抗肿瘤相关抗原单克隆抗体项目中的重要性</w:t>
      </w:r>
      <w:r>
        <w:rPr>
          <w:noProof/>
        </w:rPr>
        <w:tab/>
      </w:r>
      <w:r>
        <w:rPr>
          <w:noProof/>
        </w:rPr>
        <w:fldChar w:fldCharType="begin"/>
      </w:r>
      <w:r>
        <w:rPr>
          <w:noProof/>
        </w:rPr>
        <w:instrText xml:space="preserve"> PAGEREF _Toc158943267 \h </w:instrText>
      </w:r>
      <w:r>
        <w:rPr>
          <w:noProof/>
        </w:rPr>
        <w:fldChar w:fldCharType="separate"/>
      </w:r>
      <w:r>
        <w:rPr>
          <w:noProof/>
        </w:rPr>
        <w:t>44</w:t>
      </w:r>
      <w:r>
        <w:rPr>
          <w:noProof/>
        </w:rPr>
        <w:fldChar w:fldCharType="end"/>
      </w:r>
    </w:p>
    <w:p w:rsidR="003A74A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_Toc158943268 \h </w:instrText>
      </w:r>
      <w:r>
        <w:rPr>
          <w:noProof/>
        </w:rPr>
        <w:fldChar w:fldCharType="separate"/>
      </w:r>
      <w:r>
        <w:rPr>
          <w:noProof/>
        </w:rPr>
        <w:t>47</w:t>
      </w:r>
      <w:r>
        <w:rPr>
          <w:noProof/>
        </w:rPr>
        <w:fldChar w:fldCharType="end"/>
      </w:r>
    </w:p>
    <w:p w:rsidR="003A74A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_Toc158943269 \h </w:instrText>
      </w:r>
      <w:r>
        <w:rPr>
          <w:noProof/>
        </w:rPr>
        <w:fldChar w:fldCharType="separate"/>
      </w:r>
      <w:r>
        <w:rPr>
          <w:noProof/>
        </w:rPr>
        <w:t>48</w:t>
      </w:r>
      <w:r>
        <w:rPr>
          <w:noProof/>
        </w:rPr>
        <w:fldChar w:fldCharType="end"/>
      </w:r>
    </w:p>
    <w:p w:rsidR="003A74A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_Toc158943270 \h </w:instrText>
      </w:r>
      <w:r>
        <w:rPr>
          <w:noProof/>
        </w:rPr>
        <w:fldChar w:fldCharType="separate"/>
      </w:r>
      <w:r>
        <w:rPr>
          <w:noProof/>
        </w:rPr>
        <w:t>50</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、鼠抗肿瘤相关抗原单克隆抗体项目选址原则</w:t>
      </w:r>
      <w:r>
        <w:rPr>
          <w:noProof/>
        </w:rPr>
        <w:tab/>
      </w:r>
      <w:r>
        <w:rPr>
          <w:noProof/>
        </w:rPr>
        <w:fldChar w:fldCharType="begin"/>
      </w:r>
      <w:r>
        <w:rPr>
          <w:noProof/>
        </w:rPr>
        <w:instrText xml:space="preserve"> PAGEREF _Toc158943271 \h </w:instrText>
      </w:r>
      <w:r>
        <w:rPr>
          <w:noProof/>
        </w:rPr>
        <w:fldChar w:fldCharType="separate"/>
      </w:r>
      <w:r>
        <w:rPr>
          <w:noProof/>
        </w:rPr>
        <w:t>50</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、鼠抗肿瘤相关抗原单克隆抗体项目选址</w:t>
      </w:r>
      <w:r>
        <w:rPr>
          <w:noProof/>
        </w:rPr>
        <w:tab/>
      </w:r>
      <w:r>
        <w:rPr>
          <w:noProof/>
        </w:rPr>
        <w:fldChar w:fldCharType="begin"/>
      </w:r>
      <w:r>
        <w:rPr>
          <w:noProof/>
        </w:rPr>
        <w:instrText xml:space="preserve"> PAGEREF _Toc158943272 \h </w:instrText>
      </w:r>
      <w:r>
        <w:rPr>
          <w:noProof/>
        </w:rPr>
        <w:fldChar w:fldCharType="separate"/>
      </w:r>
      <w:r>
        <w:rPr>
          <w:noProof/>
        </w:rPr>
        <w:t>52</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_Toc158943273 \h </w:instrText>
      </w:r>
      <w:r>
        <w:rPr>
          <w:noProof/>
        </w:rPr>
        <w:fldChar w:fldCharType="separate"/>
      </w:r>
      <w:r>
        <w:rPr>
          <w:noProof/>
        </w:rPr>
        <w:t>53</w:t>
      </w:r>
      <w:r>
        <w:rPr>
          <w:noProof/>
        </w:rPr>
        <w:fldChar w:fldCharType="end"/>
      </w:r>
    </w:p>
    <w:p w:rsidR="003A74A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_Toc158943274 \h </w:instrText>
      </w:r>
      <w:r>
        <w:rPr>
          <w:noProof/>
        </w:rPr>
        <w:fldChar w:fldCharType="separate"/>
      </w:r>
      <w:r>
        <w:rPr>
          <w:noProof/>
        </w:rPr>
        <w:t>55</w:t>
      </w:r>
      <w:r>
        <w:rPr>
          <w:noProof/>
        </w:rPr>
        <w:fldChar w:fldCharType="end"/>
      </w:r>
    </w:p>
    <w:p w:rsidR="003A74A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_Toc158943275 \h </w:instrText>
      </w:r>
      <w:r>
        <w:rPr>
          <w:noProof/>
        </w:rPr>
        <w:fldChar w:fldCharType="separate"/>
      </w:r>
      <w:r>
        <w:rPr>
          <w:noProof/>
        </w:rPr>
        <w:t>56</w:t>
      </w:r>
      <w:r>
        <w:rPr>
          <w:noProof/>
        </w:rPr>
        <w:fldChar w:fldCharType="end"/>
      </w:r>
    </w:p>
    <w:p w:rsidR="003A74A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_Toc158943276 \h </w:instrText>
      </w:r>
      <w:r>
        <w:rPr>
          <w:noProof/>
        </w:rPr>
        <w:fldChar w:fldCharType="separate"/>
      </w:r>
      <w:r>
        <w:rPr>
          <w:noProof/>
        </w:rPr>
        <w:t>57</w:t>
      </w:r>
      <w:r>
        <w:rPr>
          <w:noProof/>
        </w:rPr>
        <w:fldChar w:fldCharType="end"/>
      </w:r>
    </w:p>
    <w:p w:rsidR="003A74A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_Toc158943277 \h </w:instrText>
      </w:r>
      <w:r>
        <w:rPr>
          <w:noProof/>
        </w:rPr>
        <w:fldChar w:fldCharType="separate"/>
      </w:r>
      <w:r>
        <w:rPr>
          <w:noProof/>
        </w:rPr>
        <w:t>59</w:t>
      </w:r>
      <w:r>
        <w:rPr>
          <w:noProof/>
        </w:rPr>
        <w:fldChar w:fldCharType="end"/>
      </w:r>
    </w:p>
    <w:p w:rsidR="003A74AB">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_Toc158943278 \h </w:instrText>
      </w:r>
      <w:r>
        <w:rPr>
          <w:noProof/>
        </w:rPr>
        <w:fldChar w:fldCharType="separate"/>
      </w:r>
      <w:r>
        <w:rPr>
          <w:noProof/>
        </w:rPr>
        <w:t>61</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_Toc158943279 \h </w:instrText>
      </w:r>
      <w:r>
        <w:rPr>
          <w:noProof/>
        </w:rPr>
        <w:fldChar w:fldCharType="separate"/>
      </w:r>
      <w:r>
        <w:rPr>
          <w:noProof/>
        </w:rPr>
        <w:t>61</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_Toc158943280 \h </w:instrText>
      </w:r>
      <w:r>
        <w:rPr>
          <w:noProof/>
        </w:rPr>
        <w:fldChar w:fldCharType="separate"/>
      </w:r>
      <w:r>
        <w:rPr>
          <w:noProof/>
        </w:rPr>
        <w:t>62</w:t>
      </w:r>
      <w:r>
        <w:rPr>
          <w:noProof/>
        </w:rPr>
        <w:fldChar w:fldCharType="end"/>
      </w:r>
    </w:p>
    <w:p w:rsidR="003A74AB">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_Toc158943281 \h </w:instrText>
      </w:r>
      <w:r>
        <w:rPr>
          <w:noProof/>
        </w:rPr>
        <w:fldChar w:fldCharType="separate"/>
      </w:r>
      <w:r>
        <w:rPr>
          <w:noProof/>
        </w:rPr>
        <w:t>63</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_Toc158943282 \h </w:instrText>
      </w:r>
      <w:r>
        <w:rPr>
          <w:noProof/>
        </w:rPr>
        <w:fldChar w:fldCharType="separate"/>
      </w:r>
      <w:r>
        <w:rPr>
          <w:noProof/>
        </w:rPr>
        <w:t>63</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_Toc158943283 \h </w:instrText>
      </w:r>
      <w:r>
        <w:rPr>
          <w:noProof/>
        </w:rPr>
        <w:fldChar w:fldCharType="separate"/>
      </w:r>
      <w:r>
        <w:rPr>
          <w:noProof/>
        </w:rPr>
        <w:t>64</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、鼠抗肿瘤相关抗原单克隆抗体项目工艺技术设计方案</w:t>
      </w:r>
      <w:r>
        <w:rPr>
          <w:noProof/>
        </w:rPr>
        <w:tab/>
      </w:r>
      <w:r>
        <w:rPr>
          <w:noProof/>
        </w:rPr>
        <w:fldChar w:fldCharType="begin"/>
      </w:r>
      <w:r>
        <w:rPr>
          <w:noProof/>
        </w:rPr>
        <w:instrText xml:space="preserve"> PAGEREF _Toc158943284 \h </w:instrText>
      </w:r>
      <w:r>
        <w:rPr>
          <w:noProof/>
        </w:rPr>
        <w:fldChar w:fldCharType="separate"/>
      </w:r>
      <w:r>
        <w:rPr>
          <w:noProof/>
        </w:rPr>
        <w:t>66</w:t>
      </w:r>
      <w:r>
        <w:rPr>
          <w:noProof/>
        </w:rPr>
        <w:fldChar w:fldCharType="end"/>
      </w:r>
    </w:p>
    <w:p w:rsidR="003A74A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_Toc158943285 \h </w:instrText>
      </w:r>
      <w:r>
        <w:rPr>
          <w:noProof/>
        </w:rPr>
        <w:fldChar w:fldCharType="separate"/>
      </w:r>
      <w:r>
        <w:rPr>
          <w:noProof/>
        </w:rPr>
        <w:t>67</w:t>
      </w:r>
      <w:r>
        <w:rPr>
          <w:noProof/>
        </w:rPr>
        <w:fldChar w:fldCharType="end"/>
      </w:r>
    </w:p>
    <w:p w:rsidR="003A74A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八、鼠抗肿瘤相关抗原单克隆抗体项目经济评价分析</w:t>
      </w:r>
      <w:r>
        <w:rPr>
          <w:noProof/>
        </w:rPr>
        <w:tab/>
      </w:r>
      <w:r>
        <w:rPr>
          <w:noProof/>
        </w:rPr>
        <w:fldChar w:fldCharType="begin"/>
      </w:r>
      <w:r>
        <w:rPr>
          <w:noProof/>
        </w:rPr>
        <w:instrText xml:space="preserve"> PAGEREF _Toc158943286 \h </w:instrText>
      </w:r>
      <w:r>
        <w:rPr>
          <w:noProof/>
        </w:rPr>
        <w:fldChar w:fldCharType="separate"/>
      </w:r>
      <w:r>
        <w:rPr>
          <w:noProof/>
        </w:rPr>
        <w:t>68</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_Toc158943287 \h </w:instrText>
      </w:r>
      <w:r>
        <w:rPr>
          <w:noProof/>
        </w:rPr>
        <w:fldChar w:fldCharType="separate"/>
      </w:r>
      <w:r>
        <w:rPr>
          <w:noProof/>
        </w:rPr>
        <w:t>68</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、鼠抗肿瘤相关抗原单克隆抗体项目盈利能力分析</w:t>
      </w:r>
      <w:r>
        <w:rPr>
          <w:noProof/>
        </w:rPr>
        <w:tab/>
      </w:r>
      <w:r>
        <w:rPr>
          <w:noProof/>
        </w:rPr>
        <w:fldChar w:fldCharType="begin"/>
      </w:r>
      <w:r>
        <w:rPr>
          <w:noProof/>
        </w:rPr>
        <w:instrText xml:space="preserve"> PAGEREF _Toc158943288 \h </w:instrText>
      </w:r>
      <w:r>
        <w:rPr>
          <w:noProof/>
        </w:rPr>
        <w:fldChar w:fldCharType="separate"/>
      </w:r>
      <w:r>
        <w:rPr>
          <w:noProof/>
        </w:rPr>
        <w:t>69</w:t>
      </w:r>
      <w:r>
        <w:rPr>
          <w:noProof/>
        </w:rPr>
        <w:fldChar w:fldCharType="end"/>
      </w:r>
    </w:p>
    <w:p w:rsidR="003A74A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_Toc158943289 \h </w:instrText>
      </w:r>
      <w:r>
        <w:rPr>
          <w:noProof/>
        </w:rPr>
        <w:fldChar w:fldCharType="separate"/>
      </w:r>
      <w:r>
        <w:rPr>
          <w:noProof/>
        </w:rPr>
        <w:t>70</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_Toc158943290 \h </w:instrText>
      </w:r>
      <w:r>
        <w:rPr>
          <w:noProof/>
        </w:rPr>
        <w:fldChar w:fldCharType="separate"/>
      </w:r>
      <w:r>
        <w:rPr>
          <w:noProof/>
        </w:rPr>
        <w:t>70</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_Toc158943291 \h </w:instrText>
      </w:r>
      <w:r>
        <w:rPr>
          <w:noProof/>
        </w:rPr>
        <w:fldChar w:fldCharType="separate"/>
      </w:r>
      <w:r>
        <w:rPr>
          <w:noProof/>
        </w:rPr>
        <w:t>71</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_Toc158943292 \h </w:instrText>
      </w:r>
      <w:r>
        <w:rPr>
          <w:noProof/>
        </w:rPr>
        <w:fldChar w:fldCharType="separate"/>
      </w:r>
      <w:r>
        <w:rPr>
          <w:noProof/>
        </w:rPr>
        <w:t>72</w:t>
      </w:r>
      <w:r>
        <w:rPr>
          <w:noProof/>
        </w:rPr>
        <w:fldChar w:fldCharType="end"/>
      </w:r>
    </w:p>
    <w:p w:rsidR="003A74AB">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_Toc158943293 \h </w:instrText>
      </w:r>
      <w:r>
        <w:rPr>
          <w:noProof/>
        </w:rPr>
        <w:fldChar w:fldCharType="separate"/>
      </w:r>
      <w:r>
        <w:rPr>
          <w:noProof/>
        </w:rPr>
        <w:t>72</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_Toc158943294 \h </w:instrText>
      </w:r>
      <w:r>
        <w:rPr>
          <w:noProof/>
        </w:rPr>
        <w:fldChar w:fldCharType="separate"/>
      </w:r>
      <w:r>
        <w:rPr>
          <w:noProof/>
        </w:rPr>
        <w:t>72</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_Toc158943295 \h </w:instrText>
      </w:r>
      <w:r>
        <w:rPr>
          <w:noProof/>
        </w:rPr>
        <w:fldChar w:fldCharType="separate"/>
      </w:r>
      <w:r>
        <w:rPr>
          <w:noProof/>
        </w:rPr>
        <w:t>73</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_Toc158943296 \h </w:instrText>
      </w:r>
      <w:r>
        <w:rPr>
          <w:noProof/>
        </w:rPr>
        <w:fldChar w:fldCharType="separate"/>
      </w:r>
      <w:r>
        <w:rPr>
          <w:noProof/>
        </w:rPr>
        <w:t>75</w:t>
      </w:r>
      <w:r>
        <w:rPr>
          <w:noProof/>
        </w:rPr>
        <w:fldChar w:fldCharType="end"/>
      </w:r>
    </w:p>
    <w:p w:rsidR="003A74AB">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_Toc158943297 \h </w:instrText>
      </w:r>
      <w:r>
        <w:rPr>
          <w:noProof/>
        </w:rPr>
        <w:fldChar w:fldCharType="separate"/>
      </w:r>
      <w:r>
        <w:rPr>
          <w:noProof/>
        </w:rPr>
        <w:t>76</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_Toc158943298 \h </w:instrText>
      </w:r>
      <w:r>
        <w:rPr>
          <w:noProof/>
        </w:rPr>
        <w:fldChar w:fldCharType="separate"/>
      </w:r>
      <w:r>
        <w:rPr>
          <w:noProof/>
        </w:rPr>
        <w:t>76</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_Toc158943299 \h </w:instrText>
      </w:r>
      <w:r>
        <w:rPr>
          <w:noProof/>
        </w:rPr>
        <w:fldChar w:fldCharType="separate"/>
      </w:r>
      <w:r>
        <w:rPr>
          <w:noProof/>
        </w:rPr>
        <w:t>77</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_Toc158943300 \h </w:instrText>
      </w:r>
      <w:r>
        <w:rPr>
          <w:noProof/>
        </w:rPr>
        <w:fldChar w:fldCharType="separate"/>
      </w:r>
      <w:r>
        <w:rPr>
          <w:noProof/>
        </w:rPr>
        <w:t>79</w:t>
      </w:r>
      <w:r>
        <w:rPr>
          <w:noProof/>
        </w:rPr>
        <w:fldChar w:fldCharType="end"/>
      </w:r>
    </w:p>
    <w:p w:rsidR="003A74AB">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_Toc158943301 \h </w:instrText>
      </w:r>
      <w:r>
        <w:rPr>
          <w:noProof/>
        </w:rPr>
        <w:fldChar w:fldCharType="separate"/>
      </w:r>
      <w:r>
        <w:rPr>
          <w:noProof/>
        </w:rPr>
        <w:t>80</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_Toc158943302 \h </w:instrText>
      </w:r>
      <w:r>
        <w:rPr>
          <w:noProof/>
        </w:rPr>
        <w:fldChar w:fldCharType="separate"/>
      </w:r>
      <w:r>
        <w:rPr>
          <w:noProof/>
        </w:rPr>
        <w:t>80</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_Toc158943303 \h </w:instrText>
      </w:r>
      <w:r>
        <w:rPr>
          <w:noProof/>
        </w:rPr>
        <w:fldChar w:fldCharType="separate"/>
      </w:r>
      <w:r>
        <w:rPr>
          <w:noProof/>
        </w:rPr>
        <w:t>81</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_Toc158943304 \h </w:instrText>
      </w:r>
      <w:r>
        <w:rPr>
          <w:noProof/>
        </w:rPr>
        <w:fldChar w:fldCharType="separate"/>
      </w:r>
      <w:r>
        <w:rPr>
          <w:noProof/>
        </w:rPr>
        <w:t>83</w:t>
      </w:r>
      <w:r>
        <w:rPr>
          <w:noProof/>
        </w:rPr>
        <w:fldChar w:fldCharType="end"/>
      </w:r>
    </w:p>
    <w:p w:rsidR="003A74A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_Toc158943305 \h </w:instrText>
      </w:r>
      <w:r>
        <w:rPr>
          <w:noProof/>
        </w:rPr>
        <w:fldChar w:fldCharType="separate"/>
      </w:r>
      <w:r>
        <w:rPr>
          <w:noProof/>
        </w:rPr>
        <w:t>85</w:t>
      </w:r>
      <w:r>
        <w:rPr>
          <w:noProof/>
        </w:rPr>
        <w:fldChar w:fldCharType="end"/>
      </w:r>
    </w:p>
    <w:p w:rsidR="003A74A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_Toc158943306 \h </w:instrText>
      </w:r>
      <w:r>
        <w:rPr>
          <w:noProof/>
        </w:rPr>
        <w:fldChar w:fldCharType="separate"/>
      </w:r>
      <w:r>
        <w:rPr>
          <w:noProof/>
        </w:rPr>
        <w:t>85</w:t>
      </w:r>
      <w:r>
        <w:rPr>
          <w:noProof/>
        </w:rPr>
        <w:fldChar w:fldCharType="end"/>
      </w:r>
    </w:p>
    <w:p w:rsidR="003A74A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_Toc158943307 \h </w:instrText>
      </w:r>
      <w:r>
        <w:rPr>
          <w:noProof/>
        </w:rPr>
        <w:fldChar w:fldCharType="separate"/>
      </w:r>
      <w:r>
        <w:rPr>
          <w:noProof/>
        </w:rPr>
        <w:t>86</w:t>
      </w:r>
      <w:r>
        <w:rPr>
          <w:noProof/>
        </w:rPr>
        <w:fldChar w:fldCharType="end"/>
      </w:r>
    </w:p>
    <w:p w:rsidR="003A74A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_Toc158943308 \h </w:instrText>
      </w:r>
      <w:r>
        <w:rPr>
          <w:noProof/>
        </w:rPr>
        <w:fldChar w:fldCharType="separate"/>
      </w:r>
      <w:r>
        <w:rPr>
          <w:noProof/>
        </w:rPr>
        <w:t>88</w:t>
      </w:r>
      <w:r>
        <w:rPr>
          <w:noProof/>
        </w:rPr>
        <w:fldChar w:fldCharType="end"/>
      </w:r>
    </w:p>
    <w:p w:rsidR="003A74AB" w:rsidP="003A74A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74AB" w:rsidP="003A74AB">
      <w:pPr>
        <w:pStyle w:val="Heading1"/>
        <w:jc w:val="center"/>
        <w:rPr>
          <w:rFonts w:hint="eastAsia"/>
        </w:rPr>
      </w:pPr>
      <w:bookmarkStart w:id="1" w:name="_Toc158943245"/>
      <w:r w:rsidRPr="003A74AB">
        <w:rPr>
          <w:rFonts w:hint="eastAsia"/>
        </w:rPr>
        <w:t>序言</w:t>
      </w:r>
      <w:bookmarkEnd w:id="1"/>
    </w:p>
    <w:p w:rsidR="003A74AB" w:rsidP="003A74AB">
      <w:pPr>
        <w:ind w:firstLine="560" w:firstLineChars="200"/>
        <w:rPr>
          <w:rFonts w:ascii="仿宋" w:eastAsia="仿宋" w:hAnsi="仿宋" w:hint="eastAsia"/>
          <w:sz w:val="28"/>
        </w:rPr>
      </w:pPr>
      <w:r w:rsidRPr="003A74A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A74AB" w:rsidP="003A74AB">
      <w:pPr>
        <w:pStyle w:val="Heading1"/>
        <w:rPr>
          <w:rFonts w:hint="eastAsia"/>
        </w:rPr>
      </w:pPr>
      <w:bookmarkStart w:id="2" w:name="_Toc158943246"/>
      <w:r w:rsidRPr="003A74AB">
        <w:rPr>
          <w:rFonts w:hint="eastAsia"/>
        </w:rPr>
        <w:t>一、鼠抗肿瘤相关抗原单克隆抗体项目质量管理方案</w:t>
      </w:r>
      <w:bookmarkEnd w:id="2"/>
    </w:p>
    <w:p w:rsidR="003A74AB" w:rsidP="003A74AB">
      <w:pPr>
        <w:pStyle w:val="Heading2"/>
        <w:rPr>
          <w:rFonts w:hint="eastAsia"/>
        </w:rPr>
      </w:pPr>
      <w:bookmarkStart w:id="3" w:name="_Toc158943247"/>
      <w:r w:rsidRPr="003A74AB">
        <w:rPr>
          <w:rFonts w:hint="eastAsia"/>
        </w:rPr>
        <w:t>(</w:t>
      </w:r>
      <w:r w:rsidRPr="003A74AB">
        <w:rPr>
          <w:rFonts w:hint="eastAsia"/>
        </w:rPr>
        <w:t>一</w:t>
      </w:r>
      <w:r w:rsidRPr="003A74AB">
        <w:rPr>
          <w:rFonts w:hint="eastAsia"/>
        </w:rPr>
        <w:t>)</w:t>
      </w:r>
      <w:r w:rsidRPr="003A74AB">
        <w:rPr>
          <w:rFonts w:hint="eastAsia"/>
        </w:rPr>
        <w:t>、全面质量管理</w:t>
      </w:r>
      <w:bookmarkEnd w:id="3"/>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（一）全面质量管理的概念</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概念解析</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特点</w:t>
      </w:r>
    </w:p>
    <w:p w:rsidR="003A74AB" w:rsidRPr="003A74AB" w:rsidP="003A74A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74AB">
        <w:rPr>
          <w:rFonts w:ascii="仿宋" w:eastAsia="仿宋" w:hAnsi="仿宋" w:hint="eastAsia"/>
          <w:sz w:val="28"/>
        </w:rPr>
        <w:t>全面质量管理的特点包括全员参与、全面持续改进、以顾客为中</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（二）全面质量管理的原则</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顾客导向</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全员参与</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3. 过程管理</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4. 持续改进</w:t>
      </w:r>
    </w:p>
    <w:p w:rsidR="003A74AB" w:rsidRPr="003A74AB" w:rsidP="003A74A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74AB">
        <w:rPr>
          <w:rFonts w:ascii="仿宋" w:eastAsia="仿宋" w:hAnsi="仿宋" w:hint="eastAsia"/>
          <w:sz w:val="28"/>
        </w:rPr>
        <w:t>持续改进是全面质量管理的核心之一。企业应该不断寻求改进的机会，包括改进产品质量、生产过程、管理方法等，从而提高企业的绩效。</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5. 数据驱动</w:t>
      </w:r>
    </w:p>
    <w:p w:rsidR="003A74AB" w:rsidRPr="003A74AB" w:rsidP="003A74AB">
      <w:pPr>
        <w:ind w:firstLine="560" w:firstLineChars="200"/>
        <w:rPr>
          <w:rFonts w:ascii="仿宋" w:eastAsia="仿宋" w:hAnsi="仿宋"/>
          <w:sz w:val="28"/>
        </w:rPr>
      </w:pPr>
      <w:r w:rsidRPr="003A74A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（三）全面质量管理的实施步骤</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制定质量政策和目标</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企业应该明确质量政策和目标，将顾客满意度置于首位，确定质量改进的具体目标，为全面质量管理的实施提供清晰的指导方向。</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规划质量管理体系</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3. 质量成本分析</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4. 质量培训与教育</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全面质量管理需要员工具备相关的知识和技能，因此企业需要加强对员工的质量培训和教育，提升员工的质量意识和专业素养。</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5. 制定质量控制计划</w:t>
      </w:r>
    </w:p>
    <w:p w:rsidR="003A74AB" w:rsidRPr="003A74AB" w:rsidP="003A74A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74AB">
        <w:rPr>
          <w:rFonts w:ascii="仿宋" w:eastAsia="仿宋" w:hAnsi="仿宋" w:hint="eastAsia"/>
          <w:sz w:val="28"/>
        </w:rPr>
        <w:t>企业应该制定相应的质量控制计划，包括质量标准、检验方法、质量控制点等，确保产品在生产过程中能够达到预期的质量要求。</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6. 实施全面质量管理</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（四）全面质量管理在智能化设备鼠抗肿瘤相关抗原单克隆抗体项目中的应用</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在智能化设备鼠抗肿瘤相关抗原单克隆抗体项目中，全面质量管理发挥着至关重要的作用。通过下面几个方面的实际应用，可以更好地理解全面质量管理在鼠抗肿瘤相关抗原单克隆抗体项目中的意义：</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工艺优化和改进： 利用全面质量管理原则，鼠抗肿瘤相关抗原单克隆抗体项目团队能够深入了解生产工艺，通过全员参与的方式发现潜在的工艺问题，并不断进行持续改进，提高智能化设备的生产效率和质量水平。</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全员培训与技能提升： 全面质量管理注重全员参与，鼠抗肿瘤相关抗原单克隆抗体项目团队通过质量培训和技能提升计划，确保每位成员具备必要的知识和技能，以更好地适应智能化设备制造的高标准要求。</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3. 数据驱动的质量决策： 强调以数据为依据的全面质量管理原则，在智能化设备鼠抗肿瘤相关抗原单克隆抗体项目中可以通过数据分析实时监测生产过程，准确评估产品质量，迅速做出质量决策，确保产品达到预期标准。</w:t>
      </w:r>
    </w:p>
    <w:p w:rsidR="003A74AB" w:rsidRPr="003A74AB" w:rsidP="003A74A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74AB">
        <w:rPr>
          <w:rFonts w:ascii="仿宋" w:eastAsia="仿宋" w:hAnsi="仿宋" w:hint="eastAsia"/>
          <w:sz w:val="28"/>
        </w:rPr>
        <w:t>4. 顾客导向的产品设计： 通过深入了解顾客需求，智能化设备</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鼠抗肿瘤相关抗原单克隆抗体项目可以在产品设计阶段就充分考虑顾客的期望，以顾客满意度为导向，打造更符合市场需求的智能化产品。</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5. 持续改进和创新： 全面质量管理强调持续改进，对于智能化设备鼠抗肿瘤相关抗原单克隆抗体项目而言，这意味着不断追求技术创新，优化生产流程，引入先进技术，从而提升产品质量和市场竞争力。</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通过将全面质量管理的理念融入智能化设备鼠抗肿瘤相关抗原单克隆抗体项目的方方面面，鼠抗肿瘤相关抗原单克隆抗体项目团队可以更好地应对市场变化、提高生产效率、降低成本，并在竞争激烈的行业中取得持续的成功。</w:t>
      </w:r>
    </w:p>
    <w:p w:rsidR="003A74AB" w:rsidP="003A74AB">
      <w:pPr>
        <w:ind w:firstLine="560" w:firstLineChars="200"/>
        <w:rPr>
          <w:rFonts w:ascii="仿宋" w:eastAsia="仿宋" w:hAnsi="仿宋" w:hint="eastAsia"/>
          <w:sz w:val="28"/>
        </w:rPr>
      </w:pPr>
      <w:r w:rsidRPr="003A74A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鼠抗肿瘤相关抗原单克隆抗体项目能够更好地适应快速发展的科技环境，为企业的可持续发展打下坚实基础。</w:t>
      </w:r>
    </w:p>
    <w:p w:rsidR="003A74AB" w:rsidP="003A74AB">
      <w:pPr>
        <w:pStyle w:val="Heading2"/>
      </w:pPr>
      <w:bookmarkStart w:id="4" w:name="_Toc158943248"/>
      <w:r w:rsidRPr="003A74AB">
        <w:t>(</w:t>
      </w:r>
      <w:r w:rsidRPr="003A74AB">
        <w:t>二</w:t>
      </w:r>
      <w:r w:rsidRPr="003A74AB">
        <w:t>)</w:t>
      </w:r>
      <w:r w:rsidRPr="003A74AB">
        <w:t>、质量成本管理</w:t>
      </w:r>
      <w:bookmarkEnd w:id="4"/>
    </w:p>
    <w:p w:rsidR="003A74AB" w:rsidRPr="003A74AB" w:rsidP="003A74A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74AB">
        <w:rPr>
          <w:rFonts w:ascii="仿宋" w:eastAsia="仿宋" w:hAnsi="仿宋" w:hint="eastAsia"/>
          <w:sz w:val="28"/>
        </w:rPr>
        <w:t>在鼠抗肿瘤相关抗原单克隆抗体项目执行过程中，质量成本管理是一项关键的活动，旨在全面规划、控制和管理因质量问题而产生的各项成本。在鼠抗肿瘤相关抗原单克隆抗体项目中，质量成本管理对于提升产品质量、降低生产成本以及增强竞争力具有重要意义。</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1. 质量成本的定义</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2. 质量成本管理的概念</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3. 质量成本管理分类</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预防成本： 投入在预防产品不合格活动上的费用，包括质量培训、工艺设计等。</w:t>
      </w:r>
    </w:p>
    <w:p w:rsidR="003A74AB" w:rsidRPr="003A74AB" w:rsidP="003A74AB">
      <w:pPr>
        <w:ind w:firstLine="560" w:firstLineChars="200"/>
        <w:rPr>
          <w:rFonts w:ascii="仿宋" w:eastAsia="仿宋" w:hAnsi="仿宋"/>
          <w:sz w:val="28"/>
        </w:rPr>
      </w:pPr>
      <w:r w:rsidRPr="003A74AB">
        <w:rPr>
          <w:rFonts w:ascii="仿宋" w:eastAsia="仿宋" w:hAnsi="仿宋"/>
          <w:sz w:val="28"/>
        </w:rPr>
        <w:t xml:space="preserve">  </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评估成本： 用于检验和测试产品以确保符合质量标准的成本，包括检验设备、测试材料等。</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内部失误成本： 由于产品不合格而产生的内部成本，包括返工、报废、维修等费用。</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外部失误成本： 由不合格产品引起的外部损失，包括退货、赔偿、声誉受损等。</w:t>
      </w:r>
    </w:p>
    <w:p w:rsidR="003A74AB" w:rsidRPr="003A74AB" w:rsidP="003A74A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74AB">
        <w:rPr>
          <w:rFonts w:ascii="仿宋" w:eastAsia="仿宋" w:hAnsi="仿宋" w:hint="eastAsia"/>
          <w:sz w:val="28"/>
        </w:rPr>
        <w:t xml:space="preserve"> 4. 质量成本管理的应用</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持续改进： 不断改进产品设计、生产工艺、质量管理体系，降低质量成本，提高产品合格率，满足客户需求，提升市场竞争力。</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5. 质量成本管理的优势</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降低生产成本： 通过降低内外部失误成本，提高产品合格率，从而降低生产成本。</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提高产品质量： 促使企业从源头上预防产品质量问题的发生，全员参与质量管理，提高产品质量水平。</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增强市场竞争力： 通过优化质量成本管理，提高产品性价比，提升品牌形象，增强市场竞争力。</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加强管理决策： 提供全面的质量成本数据支持，帮助管理层进行科学决策，合理配置资源，提高企业经营效益。</w:t>
      </w:r>
    </w:p>
    <w:p w:rsidR="003A74AB" w:rsidP="003A74A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74AB">
        <w:rPr>
          <w:rFonts w:ascii="仿宋" w:eastAsia="仿宋" w:hAnsi="仿宋" w:hint="eastAsia"/>
          <w:sz w:val="28"/>
        </w:rPr>
        <w:t>综合而言，质量成本管理在鼠抗肿瘤相关抗原单克隆抗体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A74AB" w:rsidP="003A74AB">
      <w:pPr>
        <w:pStyle w:val="Heading2"/>
      </w:pPr>
      <w:bookmarkStart w:id="5" w:name="_Toc158943249"/>
      <w:r w:rsidRPr="003A74AB">
        <w:t>(</w:t>
      </w:r>
      <w:r w:rsidRPr="003A74AB">
        <w:t>三</w:t>
      </w:r>
      <w:r w:rsidRPr="003A74AB">
        <w:t>)</w:t>
      </w:r>
      <w:r w:rsidRPr="003A74AB">
        <w:t>、服务质量管理</w:t>
      </w:r>
      <w:bookmarkEnd w:id="5"/>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客户需求分析： 理解客户的期望和需求是确保服务质量的第一步。这可以通过市场调研、客户反馈和数据分析来实现。</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服务设计： 设计阶段需要考虑如何最好地满足客户需求，包括服务流程、技术基础设施和员工培训等方面。</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4. 流程管理： 通过有效的流程管理确保服务交付的一致性和高效性。这可能包括制定标准操作程序 (SOP)、使用技术解决方案来提高效率等。</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5. 客户反馈和持续改进： 定期收集客户反馈，借此识别任何可能的问题或改进的机会。持续改进是服务质量管理的核心原则。</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6. 性能指标和测量： 制定合适的性能指标以评估服务质量。这可以涉及客户满意度、服务交付时间、问题解决速度等方面的度量。</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7. 技术支持和创新： 利用新技术和创新来提升服务质量，例如自动化、人工智能、客户关系管理系统等。</w:t>
      </w:r>
    </w:p>
    <w:p w:rsidR="003A74AB" w:rsidRPr="003A74AB" w:rsidP="003A74A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74AB">
        <w:rPr>
          <w:rFonts w:ascii="仿宋" w:eastAsia="仿宋" w:hAnsi="仿宋" w:hint="eastAsia"/>
          <w:sz w:val="28"/>
        </w:rPr>
        <w:t>8. 风险管理： 识别和管理可能影响服务质量的风险。这可以包</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括对供应链、技术故障、人力资源等方面的风险进行有效的管理。</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9. 法规和合规性： 遵守适用的法规和行业标准，以确保服务质量管理的合规性。</w:t>
      </w:r>
    </w:p>
    <w:p w:rsidR="003A74AB" w:rsidP="003A74AB">
      <w:pPr>
        <w:ind w:firstLine="560" w:firstLineChars="200"/>
        <w:rPr>
          <w:rFonts w:ascii="仿宋" w:eastAsia="仿宋" w:hAnsi="仿宋" w:hint="eastAsia"/>
          <w:sz w:val="28"/>
        </w:rPr>
      </w:pPr>
      <w:r w:rsidRPr="003A74AB">
        <w:rPr>
          <w:rFonts w:ascii="仿宋" w:eastAsia="仿宋" w:hAnsi="仿宋" w:hint="eastAsia"/>
          <w:sz w:val="28"/>
        </w:rPr>
        <w:t>10. 团队协作： 通过建立有效的团队协作和沟通机制来促进服务质量的提升。</w:t>
      </w:r>
    </w:p>
    <w:p w:rsidR="003A74AB" w:rsidP="003A74AB">
      <w:pPr>
        <w:pStyle w:val="Heading1"/>
        <w:rPr>
          <w:rFonts w:hint="eastAsia"/>
        </w:rPr>
      </w:pPr>
      <w:bookmarkStart w:id="6" w:name="_Toc158943250"/>
      <w:r w:rsidRPr="003A74AB">
        <w:rPr>
          <w:rFonts w:hint="eastAsia"/>
        </w:rPr>
        <w:t>二、鼠抗肿瘤相关抗原单克隆抗体项目风险管理方案</w:t>
      </w:r>
      <w:bookmarkEnd w:id="6"/>
    </w:p>
    <w:p w:rsidR="003A74AB" w:rsidP="003A74AB">
      <w:pPr>
        <w:pStyle w:val="Heading2"/>
        <w:rPr>
          <w:rFonts w:hint="eastAsia"/>
        </w:rPr>
      </w:pPr>
      <w:bookmarkStart w:id="7" w:name="_Toc158943251"/>
      <w:r w:rsidRPr="003A74AB">
        <w:rPr>
          <w:rFonts w:hint="eastAsia"/>
        </w:rPr>
        <w:t>(</w:t>
      </w:r>
      <w:r w:rsidRPr="003A74AB">
        <w:rPr>
          <w:rFonts w:hint="eastAsia"/>
        </w:rPr>
        <w:t>一</w:t>
      </w:r>
      <w:r w:rsidRPr="003A74AB">
        <w:rPr>
          <w:rFonts w:hint="eastAsia"/>
        </w:rPr>
        <w:t>)</w:t>
      </w:r>
      <w:r w:rsidRPr="003A74AB">
        <w:rPr>
          <w:rFonts w:hint="eastAsia"/>
        </w:rPr>
        <w:t>、风险管理概述</w:t>
      </w:r>
      <w:bookmarkEnd w:id="7"/>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当前政策环境下，风险管理的关键性日益凸显，尤其在鼠抗肿瘤相关抗原单克隆抗体项目实施中扮演着不可或缺的角色。政策的不断调整和变化可能带来新的挑战，因此鼠抗肿瘤相关抗原单克隆抗体项目团队需要更加敏锐地识别、评估和应对各种潜在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鼠抗肿瘤相关抗原单克隆抗体项目可能产生的潜在影响。</w:t>
      </w:r>
    </w:p>
    <w:p w:rsidR="003A74AB" w:rsidRPr="003A74AB" w:rsidP="003A74A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74AB">
        <w:rPr>
          <w:rFonts w:ascii="仿宋" w:eastAsia="仿宋" w:hAnsi="仿宋" w:hint="eastAsia"/>
          <w:sz w:val="28"/>
        </w:rPr>
        <w:t>其次，风险评估的过程需要更具前瞻性，鼠抗肿瘤相关抗原单克隆抗体项目团队应当通过定性和定量分析，充分评估政策变化对鼠抗肿瘤相关抗原单克隆抗体项目目标的可能影响。这一过程的关键在于</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科学合理地量化潜在风险的概率和影响程度，从而有针对性地采取相应的风险应对措施。</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面对政策层面的风险时，风险应对措施需要更加灵活。除了常规的避免、减轻、转移和接受策略外，鼠抗肿瘤相关抗原单克隆抗体项目团队还应考虑制定专门的政策应对计划，包括密切关注政策变化、及时调整鼠抗肿瘤相关抗原单克隆抗体项目实施方案等。例如，加强与相关政府部门的沟通，获取政策解读，及时调整鼠抗肿瘤相关抗原单克隆抗体项目策略以确保鼠抗肿瘤相关抗原单克隆抗体项目不受不确定性的过大影响。</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最后，风险监控的过程也需要更具前瞻性。鼠抗肿瘤相关抗原单克隆抗体项目团队在监控风险的同时，应当随时关注政策环境的变化，确保鼠抗肿瘤相关抗原单克隆抗体项目能够灵活适应新的政策要求。这可能涉及到对鼠抗肿瘤相关抗原单克隆抗体项目计划的及时调整、政策培训和鼠抗肿瘤相关抗原单克隆抗体项目团队的更新等方面，以保持鼠抗肿瘤相关抗原单克隆抗体项目在复杂多变的政策环境中的稳定推进。</w:t>
      </w:r>
    </w:p>
    <w:p w:rsidR="003A74AB" w:rsidP="003A74A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74AB">
        <w:rPr>
          <w:rFonts w:ascii="仿宋" w:eastAsia="仿宋" w:hAnsi="仿宋" w:hint="eastAsia"/>
          <w:sz w:val="28"/>
        </w:rPr>
        <w:t>在当前政策背景下，风险管理需要更具前瞻性、灵活性和战略性，以确保鼠抗肿瘤相关抗原单克隆抗体项目能够在不断变化的政策环境中保持成功实施的稳定性。通过全面考虑政策层面的风险，并采取相应的战略性风险管理措施，鼠抗肿瘤相关抗原单克隆抗体项目团队将更有信心和能力应对潜在的挑战，确保鼠抗肿瘤相关抗原单克隆抗体项目的成功推进。</w:t>
      </w:r>
    </w:p>
    <w:p w:rsidR="003A74AB" w:rsidP="003A74AB">
      <w:pPr>
        <w:pStyle w:val="Heading2"/>
      </w:pPr>
      <w:bookmarkStart w:id="8" w:name="_Toc158943252"/>
      <w:r w:rsidRPr="003A74AB">
        <w:t>(</w:t>
      </w:r>
      <w:r w:rsidRPr="003A74AB">
        <w:t>二</w:t>
      </w:r>
      <w:r w:rsidRPr="003A74AB">
        <w:t>)</w:t>
      </w:r>
      <w:r w:rsidRPr="003A74AB">
        <w:t>、企业面临的风险</w:t>
      </w:r>
      <w:bookmarkEnd w:id="8"/>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鼠抗肿瘤相关抗原单克隆抗体项目领域，企业在运营过程中面临着多层次的风险，这些风险源于内部操作、外部环境变化以及激烈的市场竞争。为了确保企业的成功，有效的风险管理显得尤为关键。下面将详细探讨鼠抗肿瘤相关抗原单克隆抗体项目中可能出现的各类风险，并提出相应的应对措施，以保障企业的可持续发展。</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一、市场需求波动风险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市场变化带来的需求波动风险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竞争对手的市场份额侵蚀风险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二、供应链风险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原材料供应不稳定风险</w:t>
      </w:r>
    </w:p>
    <w:p w:rsidR="003A74AB" w:rsidRPr="003A74AB" w:rsidP="003A74A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74AB">
        <w:rPr>
          <w:rFonts w:ascii="仿宋" w:eastAsia="仿宋" w:hAnsi="仿宋" w:hint="eastAsia"/>
          <w:sz w:val="28"/>
        </w:rPr>
        <w:t>企业对原材料供应的依赖性较高，原材料供应的不稳定可能导致生产计划推迟、成本增加甚至生产中断。为应对这一风险，企业需要</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建立健全的供应链体系，与供应商建立长期稳定的合作关系，同时寻找备选的供应渠道，以降低原材料供应不稳定带来的风险。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供应链环节的质量风险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三、技术与生产风险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生产设备故障风险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生产工艺变革风险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四、法律与政策风险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环保政策风险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知识产权风险</w:t>
      </w:r>
    </w:p>
    <w:p w:rsidR="003A74AB" w:rsidRPr="003A74AB" w:rsidP="003A74A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74AB">
        <w:rPr>
          <w:rFonts w:ascii="仿宋" w:eastAsia="仿宋" w:hAnsi="仿宋" w:hint="eastAsia"/>
          <w:sz w:val="28"/>
        </w:rPr>
        <w:t>在鼠抗肿瘤相关抗原单克隆抗体项目中，知识产权的保护至关重</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要。企业需防范知识产权被侵犯的风险，加强专利申请、技术保密等工作，以避免知识产权纠纷导致的市场排斥和法律诉讼风险。</w:t>
      </w:r>
    </w:p>
    <w:p w:rsidR="003A74AB" w:rsidP="003A74AB">
      <w:pPr>
        <w:ind w:firstLine="560" w:firstLineChars="200"/>
        <w:rPr>
          <w:rFonts w:ascii="仿宋" w:eastAsia="仿宋" w:hAnsi="仿宋" w:hint="eastAsia"/>
          <w:sz w:val="28"/>
        </w:rPr>
      </w:pPr>
      <w:r w:rsidRPr="003A74AB">
        <w:rPr>
          <w:rFonts w:ascii="仿宋" w:eastAsia="仿宋" w:hAnsi="仿宋" w:hint="eastAsia"/>
          <w:sz w:val="28"/>
        </w:rPr>
        <w:t>通过采取上述措施，企业可以更全面、系统地管理各类风险，提高对不确定性的应对能力，从而确保鼠抗肿瘤相关抗原单克隆抗体项目的顺利进行和企业的可持续发展。</w:t>
      </w:r>
    </w:p>
    <w:p w:rsidR="003A74AB" w:rsidP="003A74AB">
      <w:pPr>
        <w:pStyle w:val="Heading2"/>
      </w:pPr>
      <w:bookmarkStart w:id="9" w:name="_Toc158943253"/>
      <w:r w:rsidRPr="003A74AB">
        <w:t>(</w:t>
      </w:r>
      <w:r w:rsidRPr="003A74AB">
        <w:t>三</w:t>
      </w:r>
      <w:r w:rsidRPr="003A74AB">
        <w:t>)</w:t>
      </w:r>
      <w:r w:rsidRPr="003A74AB">
        <w:t>、风险成本与风险管理的目标</w:t>
      </w:r>
      <w:bookmarkEnd w:id="9"/>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风险管理一直是任何鼠抗肿瘤相关抗原单克隆抗体项目成功实施的关键因素之一。在鼠抗肿瘤相关抗原单克隆抗体项目中，风险管理的目标是通过系统性的方法识别、评估和应对可能影响鼠抗肿瘤相关抗原单克隆抗体项目目标的潜在风险。为了降低鼠抗肿瘤相关抗原单克隆抗体项目失败的风险，提高鼠抗肿瘤相关抗原单克隆抗体项目的成功率，鼠抗肿瘤相关抗原单克隆抗体项目团队需要在整个鼠抗肿瘤相关抗原单克隆抗体项目生命周期中采取一系列有效的风险管理措施。</w:t>
      </w:r>
    </w:p>
    <w:p w:rsidR="003A74AB" w:rsidRPr="003A74AB" w:rsidP="003A74A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74AB">
        <w:rPr>
          <w:rFonts w:ascii="仿宋" w:eastAsia="仿宋" w:hAnsi="仿宋" w:hint="eastAsia"/>
          <w:sz w:val="28"/>
        </w:rPr>
        <w:t>风险成本作为风险管理的一个关键概念，在鼠抗肿瘤相关抗原单克隆抗体项目中显得尤为重要。这指的是由于风险事件的发生可能导致的经济损失和其他负面影响所带来的费用。这些成本涵盖了直接和间接的损失，以及为了应对风险而采取的各种措施所产生的费用。考虑到鼠抗肿瘤相关抗原单克隆抗体项目通常涉及大量资金投入，合理评估和控制风险成本对鼠抗肿瘤相关抗原单克隆抗体项目的成功至关重要，直接影响鼠抗肿瘤相关抗原单克隆抗体项目的资金流动和盈</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利能力。</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风险管理的目标之一是在鼠抗肿瘤相关抗原单克隆抗体项目启动阶段就能预测和识别潜在风险。通过建立完善的风险识别和分析体系，鼠抗肿瘤相关抗原单克隆抗体项目团队可以提前评估可能出现的风险，为鼠抗肿瘤相关抗原单克隆抗体项目决策提供科学依据。评估和量化风险同样重要，通过对风险事件的发生概率和影响程度进行评估，可以为鼠抗肿瘤相关抗原单克隆抗体项目制定合适的风险应对策略提供基础。将风险以数字形式量化有助于鼠抗肿瘤相关抗原单克隆抗体项目管理者更好地理解整体风险影响，并作出相应决策。</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控制和减少风险是风险管理的核心目标。通过建立完善的风险控制体系，鼠抗肿瘤相关抗原单克隆抗体项目团队能够制定详细的风险控制计划，并实施有效的措施，以降低鼠抗肿瘤相关抗原单克隆抗体项目的风险水平，提高鼠抗肿瘤相关抗原单克隆抗体项目的成功率。应对和处理风险同样重要，特别是在风险事件发生时，能够及时采取措施最大程度减少损失。</w:t>
      </w:r>
    </w:p>
    <w:p w:rsidR="003A74AB" w:rsidRPr="003A74AB" w:rsidP="003A74A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74AB">
        <w:rPr>
          <w:rFonts w:ascii="仿宋" w:eastAsia="仿宋" w:hAnsi="仿宋" w:hint="eastAsia"/>
          <w:sz w:val="28"/>
        </w:rPr>
        <w:t>监控和反馈风险是风险管理的最终目标。通过不断监控鼠抗肿瘤相关抗原单克隆抗体项目的风险状态，及时反馈风险信息，鼠抗肿瘤相关抗原单克隆抗体项目管理者能够做出及时决策，快速调整风险应对策略，确保鼠抗肿瘤相关抗原单克隆抗体项目按计划进行。这有效地建立了鼠抗肿瘤相关抗原单克隆抗体项目的风险监控和反馈机制，有助于鼠抗肿瘤相关抗原单克隆抗体项目在变化的环境中保持灵活性和应变能力。</w:t>
      </w:r>
    </w:p>
    <w:p w:rsidR="003A74AB" w:rsidP="003A74AB">
      <w:pPr>
        <w:ind w:firstLine="560" w:firstLineChars="200"/>
        <w:rPr>
          <w:rFonts w:ascii="仿宋" w:eastAsia="仿宋" w:hAnsi="仿宋" w:hint="eastAsia"/>
          <w:sz w:val="28"/>
        </w:rPr>
      </w:pPr>
      <w:r w:rsidRPr="003A74AB">
        <w:rPr>
          <w:rFonts w:ascii="仿宋" w:eastAsia="仿宋" w:hAnsi="仿宋" w:hint="eastAsia"/>
          <w:sz w:val="28"/>
        </w:rPr>
        <w:t>在鼠抗肿瘤相关抗原单克隆抗体项目中，综合考虑风险成本和风险管理的各鼠抗肿瘤相关抗原单克隆抗体项目标，鼠抗肿瘤相关抗原单克隆抗体项目团队能够更好地应对不确定性，提高鼠抗肿瘤相关抗原单克隆抗体项目的成功率。通过合理的风险管理，鼠抗肿瘤相关抗原单克隆抗体项目可以更顺利、更有效地达成预定的时间、成本和质量目标。</w:t>
      </w:r>
    </w:p>
    <w:p w:rsidR="003A74AB" w:rsidP="003A74AB">
      <w:pPr>
        <w:pStyle w:val="Heading2"/>
      </w:pPr>
      <w:bookmarkStart w:id="10" w:name="_Toc158943254"/>
      <w:r w:rsidRPr="003A74AB">
        <w:t>(</w:t>
      </w:r>
      <w:r w:rsidRPr="003A74AB">
        <w:t>四</w:t>
      </w:r>
      <w:r w:rsidRPr="003A74AB">
        <w:t>)</w:t>
      </w:r>
      <w:r w:rsidRPr="003A74AB">
        <w:t>、人力资本风险分析</w:t>
      </w:r>
      <w:bookmarkEnd w:id="10"/>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一、人力资本风险的界定与总览</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鼠抗肿瘤相关抗原单克隆抗体项目中，人力资本风险指的是由于不当的人力资源管理、员工素质欠缺或者员工频繁流动等因素引发的可能性风险。这些潜在的风险直接关系到企业的关键指标，如生产效率、产品质量以及鼠抗肿瘤相关抗原单克隆抗体项目进展。人力资本风险分析的主要目的在于识别和评估这些风险，以帮助企业采取相应措施来降低或避免对鼠抗肿瘤相关抗原单克隆抗体项目的不利影响。</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二、内部人力资本风险的深度分析</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员工素质风险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A74AB" w:rsidRPr="003A74AB" w:rsidP="003A74A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74AB">
        <w:rPr>
          <w:rFonts w:ascii="仿宋" w:eastAsia="仿宋" w:hAnsi="仿宋" w:hint="eastAsia"/>
          <w:sz w:val="28"/>
        </w:rPr>
        <w:t>2. 员工流动风险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高离职率和频繁流动可能带来鼠抗肿瘤相关抗原单克隆抗体项目延误、生产线断档以及知识流失等问题。为了缓解这种风险，企业可通过建立健全的员工关系、提供发展空间和培训机会，增强员工的归属感和忠诚度。</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3. 管理能力风险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管理层在鼠抗肿瘤相关抗原单克隆抗体项目过程中的决策、协调和沟通能力不足可能导致鼠抗肿瘤相关抗原单克隆抗体项目进展缓慢、资源浪费以及团队合作不畅。为规避这一风险，企业需强化管理层的培训和能力提升，提高他们的领导力和组织能力。</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三、外部人力资本风险的综合分析</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市场竞争风险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法律法规风险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3. 技术变革风险</w:t>
      </w:r>
    </w:p>
    <w:p w:rsidR="003A74AB" w:rsidRPr="003A74AB" w:rsidP="003A74A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74A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A74AB" w:rsidP="003A74AB">
      <w:pPr>
        <w:ind w:firstLine="560" w:firstLineChars="200"/>
        <w:rPr>
          <w:rFonts w:ascii="仿宋" w:eastAsia="仿宋" w:hAnsi="仿宋" w:hint="eastAsia"/>
          <w:sz w:val="28"/>
        </w:rPr>
      </w:pPr>
      <w:r w:rsidRPr="003A74AB">
        <w:rPr>
          <w:rFonts w:ascii="仿宋" w:eastAsia="仿宋" w:hAnsi="仿宋" w:hint="eastAsia"/>
          <w:sz w:val="28"/>
        </w:rPr>
        <w:t>通过全面分析内外部人力资本风险，企业能够识别潜在的问题因素，并采取相应措施来降低或避免这些风险对鼠抗肿瘤相关抗原单克隆抗体项目的负面影响。科学合理的人力资本管理有助于提高生产效率、确保产品质量，并确保鼠抗肿瘤相关抗原单克隆抗体项目的顺利推进。</w:t>
      </w:r>
    </w:p>
    <w:p w:rsidR="003A74AB" w:rsidP="003A74AB">
      <w:pPr>
        <w:pStyle w:val="Heading2"/>
      </w:pPr>
      <w:bookmarkStart w:id="11" w:name="_Toc158943255"/>
      <w:r w:rsidRPr="003A74AB">
        <w:t>(</w:t>
      </w:r>
      <w:r w:rsidRPr="003A74AB">
        <w:t>五</w:t>
      </w:r>
      <w:r w:rsidRPr="003A74AB">
        <w:t>)</w:t>
      </w:r>
      <w:r w:rsidRPr="003A74AB">
        <w:t>、风险识别</w:t>
      </w:r>
      <w:bookmarkEnd w:id="11"/>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1. 人才招聘与储备风险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鼠抗肿瘤相关抗原单克隆抗体项目进行中，人才招聘与储备是关键的环节。如果企业无法及时找到合适的人才填补空缺，可能导致鼠抗肿瘤相关抗原单克隆抗体项目推进受阻，增加其他员工工作负担。建议企业建立健全的招聘渠道，同时进行人才储备，以确保在关键时刻能够迅速找到合适的替补人员。</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2. 培训与继续教育风险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鼠抗肿瘤相关抗原单克隆抗体项目质量。</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3. 沟通与团队协作风险</w:t>
      </w:r>
    </w:p>
    <w:p w:rsidR="003A74AB" w:rsidRPr="003A74AB" w:rsidP="003A74A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74AB">
        <w:rPr>
          <w:rFonts w:ascii="仿宋" w:eastAsia="仿宋" w:hAnsi="仿宋" w:hint="eastAsia"/>
          <w:sz w:val="28"/>
        </w:rPr>
        <w:t>鼠抗肿瘤相关抗原单克隆抗体项目的成功关键在于团队的良好协作和有效沟通。如果存在沟通障碍或团队成员之间的合作出现问题，可能导致信息传递不及时、任务分配混乱等。企业应该注重团队建设，</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定期进行沟通培训，提高团队协作效能，降低沟通与团队协作风险。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4. 福利与激励风险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5. 外部劳动力市场风险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风险识别的建议与对策</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1. 建立健全的招聘渠道与人才储备计划</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2. 实施持续的培训与教育计划</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3. 加强沟通培训与团队建设</w:t>
      </w:r>
    </w:p>
    <w:p w:rsidR="003A74AB" w:rsidRPr="003A74AB" w:rsidP="003A74A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74AB">
        <w:rPr>
          <w:rFonts w:ascii="仿宋" w:eastAsia="仿宋" w:hAnsi="仿宋" w:hint="eastAsia"/>
          <w:sz w:val="28"/>
        </w:rPr>
        <w:t>通过沟通培训和团队建设活动，加强员工之间的沟通和协作。建</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立良好的沟通机制，鼓励团队分享信息，降低信息传递延误的风险，并提高团队整体协作效率。</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 xml:space="preserve"> 4. 调整灵活的福利政策和激励机制</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5. 持续关注外部劳动力市场动态</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6. 制定危机管理计划</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建立完善的危机管理计划，明确各类风险发生时的应急预案和决策流程。包括人才流失、技能短缺、管理层变动等情况的具体处理方案，以应对突发情况，保障鼠抗肿瘤相关抗原单克隆抗体项目的平稳进行。</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7. 强化绩效评估和激励机制</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8. 持续改进企业文化</w:t>
      </w:r>
    </w:p>
    <w:p w:rsidR="003A74AB" w:rsidRPr="003A74AB" w:rsidP="003A74A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74AB">
        <w:rPr>
          <w:rFonts w:ascii="仿宋" w:eastAsia="仿宋" w:hAnsi="仿宋" w:hint="eastAsia"/>
          <w:sz w:val="28"/>
        </w:rPr>
        <w:t>营造积极向上的企业文化，加强员工归属感和凝聚力。通过团队</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活动、文化建设等方式，培养员工对企业的认同感，减少员工流失风险。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9. 制定法律合规标准</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风险识别的综合管理</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风险识别是一个动态过程，需要不断地跟踪和调整。企业在鼠抗肿瘤相关抗原单克隆抗体项目中应当持续关注内外部环境的变化，及时调整风险识别策略，以确保鼠抗肿瘤相关抗原单克隆抗体项目的持续稳定推进。通过科学的风险识别和有效的应对措施，企业可以更好地规避潜在风险，保障鼠抗肿瘤相关抗原单克隆抗体项目的成功实施。</w:t>
      </w:r>
    </w:p>
    <w:p w:rsidR="003A74AB" w:rsidP="003A74AB">
      <w:pPr>
        <w:ind w:firstLine="560" w:firstLineChars="200"/>
        <w:rPr>
          <w:rFonts w:ascii="仿宋" w:eastAsia="仿宋" w:hAnsi="仿宋"/>
          <w:sz w:val="28"/>
        </w:rPr>
      </w:pPr>
    </w:p>
    <w:p w:rsidR="003A74AB" w:rsidP="003A74AB">
      <w:pPr>
        <w:pStyle w:val="Heading2"/>
      </w:pPr>
      <w:bookmarkStart w:id="12" w:name="_Toc158943256"/>
      <w:r w:rsidRPr="003A74AB">
        <w:t>(</w:t>
      </w:r>
      <w:r w:rsidRPr="003A74AB">
        <w:t>六</w:t>
      </w:r>
      <w:r w:rsidRPr="003A74AB">
        <w:t>)</w:t>
      </w:r>
      <w:r w:rsidRPr="003A74AB">
        <w:t>、风险管理的措施</w:t>
      </w:r>
      <w:bookmarkEnd w:id="12"/>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1. 制定全面的风险管理计划</w:t>
      </w:r>
    </w:p>
    <w:p w:rsidR="003A74AB" w:rsidRPr="003A74AB" w:rsidP="003A74A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74AB">
        <w:rPr>
          <w:rFonts w:ascii="仿宋" w:eastAsia="仿宋" w:hAnsi="仿宋" w:hint="eastAsia"/>
          <w:sz w:val="28"/>
        </w:rPr>
        <w:t>在鼠抗肿瘤相关抗原单克隆抗体项目启动阶段，制定一份全面的风险管理计划，明确风险的识别、评估、监测和应对流程。确保团队</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对计划的理解，并定期审查和更新以适应鼠抗肿瘤相关抗原单克隆抗体项目的变化。</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2. 建立专业的风险管理团队</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3. 定期进行风险评估</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4. 强化沟通与团队合作</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建立畅通的沟通渠道，鼓励团队成员分享风险信息。强化团队的协作能力，确保鼠抗肿瘤相关抗原单克隆抗体项目各阶段的协同工作，以减缓因沟通不畅导致的风险。</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5. 制定风险应对策略</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6. 建立紧急响应机制</w:t>
      </w:r>
    </w:p>
    <w:p w:rsidR="003A74AB" w:rsidRPr="003A74AB" w:rsidP="003A74A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74AB">
        <w:rPr>
          <w:rFonts w:ascii="仿宋" w:eastAsia="仿宋" w:hAnsi="仿宋" w:hint="eastAsia"/>
          <w:sz w:val="28"/>
        </w:rPr>
        <w:t>制定紧急响应计划，确保在风险发生时能够快速、有序地做出反应。明确责任人，提前准备好必要的资源和工具，以降低风险事件对鼠抗肿瘤相关抗原单克隆抗体项目的不利影响。</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7. 风险监测和追踪</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8. 制度化的经验总结</w:t>
      </w:r>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在鼠抗肿瘤相关抗原单克隆抗体项目结束后，进行全面的风险经验总结。总结成功的风险管理实践和教训，形成制度化的经验库，为未来鼠抗肿瘤相关抗原单克隆抗体项目提供有力的参考和借鉴。</w:t>
      </w:r>
    </w:p>
    <w:p w:rsidR="003A74AB" w:rsidP="003A74AB">
      <w:pPr>
        <w:ind w:firstLine="560" w:firstLineChars="200"/>
        <w:rPr>
          <w:rFonts w:ascii="仿宋" w:eastAsia="仿宋" w:hAnsi="仿宋" w:hint="eastAsia"/>
          <w:sz w:val="28"/>
        </w:rPr>
      </w:pPr>
      <w:r w:rsidRPr="003A74AB">
        <w:rPr>
          <w:rFonts w:ascii="仿宋" w:eastAsia="仿宋" w:hAnsi="仿宋" w:hint="eastAsia"/>
          <w:sz w:val="28"/>
        </w:rPr>
        <w:t>通过采取以上风险管理的措施，企业可以更好地识别、评估和应对潜在的风险，确保鼠抗肿瘤相关抗原单克隆抗体项目能够在不确定的环境中取得成功。风险管理不仅仅是问题的解决，更是对未知因素的有序应对，为鼠抗肿瘤相关抗原单克隆抗体项目的可持续发展提供有力支持。</w:t>
      </w:r>
    </w:p>
    <w:p w:rsidR="003A74AB" w:rsidP="003A74AB">
      <w:pPr>
        <w:pStyle w:val="Heading1"/>
        <w:rPr>
          <w:rFonts w:hint="eastAsia"/>
        </w:rPr>
      </w:pPr>
      <w:bookmarkStart w:id="13" w:name="_Toc158943257"/>
      <w:r w:rsidRPr="003A74AB">
        <w:rPr>
          <w:rFonts w:hint="eastAsia"/>
        </w:rPr>
        <w:t>三、企业管理方案</w:t>
      </w:r>
      <w:bookmarkEnd w:id="13"/>
    </w:p>
    <w:p w:rsidR="003A74AB" w:rsidP="003A74AB">
      <w:pPr>
        <w:pStyle w:val="Heading2"/>
        <w:rPr>
          <w:rFonts w:hint="eastAsia"/>
        </w:rPr>
      </w:pPr>
      <w:bookmarkStart w:id="14" w:name="_Toc158943258"/>
      <w:r w:rsidRPr="003A74AB">
        <w:rPr>
          <w:rFonts w:hint="eastAsia"/>
        </w:rPr>
        <w:t>(</w:t>
      </w:r>
      <w:r w:rsidRPr="003A74AB">
        <w:rPr>
          <w:rFonts w:hint="eastAsia"/>
        </w:rPr>
        <w:t>一</w:t>
      </w:r>
      <w:r w:rsidRPr="003A74AB">
        <w:rPr>
          <w:rFonts w:hint="eastAsia"/>
        </w:rPr>
        <w:t>)</w:t>
      </w:r>
      <w:r w:rsidRPr="003A74AB">
        <w:rPr>
          <w:rFonts w:hint="eastAsia"/>
        </w:rPr>
        <w:t>、企业管理体系</w:t>
      </w:r>
      <w:bookmarkEnd w:id="14"/>
    </w:p>
    <w:p w:rsidR="003A74AB" w:rsidRPr="003A74AB" w:rsidP="003A74AB">
      <w:pPr>
        <w:ind w:firstLine="560" w:firstLineChars="200"/>
        <w:rPr>
          <w:rFonts w:ascii="仿宋" w:eastAsia="仿宋" w:hAnsi="仿宋" w:hint="eastAsia"/>
          <w:sz w:val="28"/>
        </w:rPr>
      </w:pPr>
      <w:r w:rsidRPr="003A74A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r w:rsidRPr="003A74AB">
        <w:rPr>
          <w:rFonts w:ascii="仿宋" w:eastAsia="仿宋" w:hAnsi="仿宋" w:hint="eastAsia"/>
          <w:sz w:val="28"/>
        </w:rPr>
        <w:br/>
      </w:r>
      <w:r w:rsidRPr="003A74A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https://d.book118.com/805123011334011121</w:t>
        </w:r>
      </w:hyperlink>
    </w:p>
    <w:p w:rsidR="003A74AB" w:rsidRPr="003A74AB" w:rsidP="003A74A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74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74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74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A74A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74A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74A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74A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74A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74A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74A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74A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74A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74A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74A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74A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74A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74A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74A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74A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74A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74A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74A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74A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74A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4A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P="00457C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74A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rsidRPr="003A74AB" w:rsidP="003A74AB">
    <w:pPr>
      <w:pStyle w:val="Header"/>
      <w:rPr>
        <w:rFonts w:ascii="仿宋" w:eastAsia="仿宋" w:hAnsi="仿宋"/>
      </w:rPr>
    </w:pPr>
    <w:r w:rsidRPr="003A74AB">
      <w:rPr>
        <w:rFonts w:ascii="仿宋" w:eastAsia="仿宋" w:hAnsi="仿宋" w:hint="eastAsia"/>
      </w:rPr>
      <w:t>鼠抗肿瘤相关抗原单克隆抗体风险评估与管理报告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4AB"/>
    <w:rsid w:val="003A74AB"/>
    <w:rsid w:val="00457C5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74A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74A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74AB"/>
    <w:rPr>
      <w:b/>
      <w:bCs/>
      <w:kern w:val="44"/>
      <w:sz w:val="44"/>
      <w:szCs w:val="44"/>
    </w:rPr>
  </w:style>
  <w:style w:type="character" w:customStyle="1" w:styleId="2Char">
    <w:name w:val="标题 2 Char"/>
    <w:basedOn w:val="DefaultParagraphFont"/>
    <w:link w:val="Heading2"/>
    <w:uiPriority w:val="9"/>
    <w:rsid w:val="003A74A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74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74AB"/>
    <w:rPr>
      <w:sz w:val="18"/>
      <w:szCs w:val="18"/>
    </w:rPr>
  </w:style>
  <w:style w:type="paragraph" w:styleId="Footer">
    <w:name w:val="footer"/>
    <w:basedOn w:val="Normal"/>
    <w:link w:val="Char0"/>
    <w:uiPriority w:val="99"/>
    <w:unhideWhenUsed/>
    <w:rsid w:val="003A74A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74AB"/>
    <w:rPr>
      <w:sz w:val="18"/>
      <w:szCs w:val="18"/>
    </w:rPr>
  </w:style>
  <w:style w:type="character" w:styleId="PageNumber">
    <w:name w:val="page number"/>
    <w:basedOn w:val="DefaultParagraphFont"/>
    <w:uiPriority w:val="99"/>
    <w:semiHidden/>
    <w:unhideWhenUsed/>
    <w:rsid w:val="003A74AB"/>
  </w:style>
  <w:style w:type="paragraph" w:styleId="TOC1">
    <w:name w:val="toc 1"/>
    <w:basedOn w:val="Normal"/>
    <w:next w:val="Normal"/>
    <w:autoRedefine/>
    <w:uiPriority w:val="39"/>
    <w:unhideWhenUsed/>
    <w:rsid w:val="003A74AB"/>
  </w:style>
  <w:style w:type="paragraph" w:styleId="TOC2">
    <w:name w:val="toc 2"/>
    <w:basedOn w:val="Normal"/>
    <w:next w:val="Normal"/>
    <w:autoRedefine/>
    <w:uiPriority w:val="39"/>
    <w:unhideWhenUsed/>
    <w:rsid w:val="003A74A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0512301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6830</Words>
  <Characters>38933</Characters>
  <Application>Microsoft Office Word</Application>
  <DocSecurity>0</DocSecurity>
  <Lines>324</Lines>
  <Paragraphs>91</Paragraphs>
  <ScaleCrop>false</ScaleCrop>
  <Company>Microsoft</Company>
  <LinksUpToDate>false</LinksUpToDate>
  <CharactersWithSpaces>45672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2024-02-15T18:33:00Z</dcterms:created>
  <dcterms:modified xsi:type="dcterms:W3CDTF">2024-02-15T18:33:00Z</dcterms:modified>
</cp:coreProperties>
</file>