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4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食品用类似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原料项目创业计划</w:t>
      </w:r>
    </w:p>
    <w:p>
      <w:pPr>
        <w:spacing w:before="221" w:line="219" w:lineRule="auto"/>
        <w:ind w:left="390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96115776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二)、食品用类似原料项目技术工艺分析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)、食品用类似原料项目技术流程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)、食品用类似原料项目建设期原辅材料供应情况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二)、食品用类似原料项目运营期原辅材料供应及质量管理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)、食品用类似原料项目总平面设计要求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七、风险评估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2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(一)、食品用类似原料项目风险分析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二)、食品用类似原料项目风险对策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71477288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944734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十、公司治理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、制度建设与员工手册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三、食品用类似原料项目管理与团队协作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)、食品用类似原料项目管理方法论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)、食品用类似原料项目计划与进度管理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59</w:t>
            </w:r>
          </w:hyperlink>
        </w:p>
        <w:p>
          <w:pPr>
            <w:tabs>
              <w:tab w:val="right" w:leader="dot" w:pos="8320"/>
            </w:tabs>
            <w:spacing w:before="62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)、食品用类似原料项目风险管理与应对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60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十四、招聘与人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才发展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、人才需求分析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、绩效考核与激励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64</w:t>
            </w:r>
          </w:hyperlink>
        </w:p>
        <w:p>
          <w:pPr>
            <w:tabs>
              <w:tab w:val="right" w:leader="dot" w:pos="8320"/>
            </w:tabs>
            <w:spacing w:before="59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5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项目商业计划书是为了规范食品用类似原料项目的实施步骤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和计划而编写的。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过详细描述食品用类似原料项目的背景和目标，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分</w:t>
      </w:r>
      <w:r>
        <w:rPr>
          <w:rFonts w:ascii="FangSong" w:eastAsia="FangSong" w:hAnsi="FangSong" w:cs="FangSong"/>
          <w:spacing w:val="-12"/>
          <w:sz w:val="28"/>
          <w:szCs w:val="28"/>
        </w:rPr>
        <w:t>析项目的可行性和可行方案，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旨</w:t>
      </w:r>
      <w:r>
        <w:rPr>
          <w:rFonts w:ascii="FangSong" w:eastAsia="FangSong" w:hAnsi="FangSong" w:cs="FangSong"/>
          <w:spacing w:val="-8"/>
          <w:sz w:val="28"/>
          <w:szCs w:val="28"/>
        </w:rPr>
        <w:t>在为项目相关人员提供一个清晰的指导和参考。请注意，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6" w:line="416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68" w:right="49" w:hanging="2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9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中</w:t>
      </w:r>
      <w:r>
        <w:rPr>
          <w:rFonts w:ascii="FangSong" w:eastAsia="FangSong" w:hAnsi="FangSong" w:cs="FangSong"/>
          <w:spacing w:val="-12"/>
          <w:sz w:val="28"/>
          <w:szCs w:val="28"/>
        </w:rPr>
        <w:t>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49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1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二)、食品用类似原料项目技术工艺分析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49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</w:t>
      </w:r>
      <w:r>
        <w:rPr>
          <w:rFonts w:ascii="FangSong" w:eastAsia="FangSong" w:hAnsi="FangSong" w:cs="FangSong"/>
          <w:spacing w:val="-7"/>
          <w:sz w:val="28"/>
          <w:szCs w:val="28"/>
        </w:rPr>
        <w:t>择</w:t>
      </w:r>
    </w:p>
    <w:p>
      <w:pPr>
        <w:sectPr>
          <w:pgSz w:w="11906" w:h="16839"/>
          <w:pgMar w:top="1431" w:right="1750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9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提供优质产品和服务。保障工艺流程能够满足食品用类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似</w:t>
      </w:r>
      <w:r>
        <w:rPr>
          <w:rFonts w:ascii="FangSong" w:eastAsia="FangSong" w:hAnsi="FangSong" w:cs="FangSong"/>
          <w:spacing w:val="-12"/>
          <w:sz w:val="28"/>
          <w:szCs w:val="28"/>
        </w:rPr>
        <w:t>原料项目产品要求，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求进行</w:t>
      </w:r>
      <w:r>
        <w:rPr>
          <w:rFonts w:ascii="FangSong" w:eastAsia="FangSong" w:hAnsi="FangSong" w:cs="FangSong"/>
          <w:spacing w:val="-4"/>
          <w:sz w:val="28"/>
          <w:szCs w:val="28"/>
        </w:rPr>
        <w:t>操</w:t>
      </w:r>
      <w:r>
        <w:rPr>
          <w:rFonts w:ascii="FangSong" w:eastAsia="FangSong" w:hAnsi="FangSong" w:cs="FangSong"/>
          <w:spacing w:val="-3"/>
          <w:sz w:val="28"/>
          <w:szCs w:val="28"/>
        </w:rPr>
        <w:t>作，提高产品合格率。</w:t>
      </w:r>
    </w:p>
    <w:p>
      <w:pPr>
        <w:spacing w:before="1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食品用类似原料项目建设贯彻“三同时”的原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则，注重环境保护、职业安全卫生、消防及节能等各项措施的落实。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类似原料项目拟采用国内成熟的生产工艺，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产技术人员和研发技术人员共同制定。所采用的技术具有能耗低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质量、高环保性的特点，所生产的产品已经在国内外市场获得认可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7" w:line="414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4"/>
          <w:sz w:val="28"/>
          <w:szCs w:val="28"/>
        </w:rPr>
        <w:t>品用类似原料项目的技术保障措施从设计、施工、试运行到投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、销售等各个环节，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以确保食品用类似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原料项目在技术开发和生产技术应用上达到现代化生产水平。这</w:t>
      </w:r>
      <w:r>
        <w:rPr>
          <w:rFonts w:ascii="FangSong" w:eastAsia="FangSong" w:hAnsi="FangSong" w:cs="FangSong"/>
          <w:spacing w:val="-3"/>
          <w:sz w:val="28"/>
          <w:szCs w:val="28"/>
        </w:rPr>
        <w:t>种</w:t>
      </w:r>
      <w:r>
        <w:rPr>
          <w:rFonts w:ascii="FangSong" w:eastAsia="FangSong" w:hAnsi="FangSong" w:cs="FangSong"/>
          <w:sz w:val="28"/>
          <w:szCs w:val="28"/>
        </w:rPr>
        <w:t>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合的技术支持将确保食品用类似原料项目的可持续发展和高效运营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食品用类似原料项目技术流程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ectPr>
          <w:pgSz w:w="11906" w:h="16839"/>
          <w:pgMar w:top="1431" w:right="1743" w:bottom="0" w:left="1785" w:header="0" w:footer="0" w:gutter="0"/>
          <w:pgNumType w:start="7"/>
          <w:cols w:space="708"/>
        </w:sectPr>
      </w:pPr>
    </w:p>
    <w:p>
      <w:pPr>
        <w:spacing w:before="183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6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1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sz w:val="28"/>
          <w:szCs w:val="28"/>
        </w:rPr>
        <w:t>决客户使用过程中的问题。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980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在食品用类似</w:t>
      </w:r>
      <w:r>
        <w:rPr>
          <w:rFonts w:ascii="FangSong" w:eastAsia="FangSong" w:hAnsi="FangSong" w:cs="FangSong"/>
          <w:spacing w:val="-2"/>
          <w:sz w:val="28"/>
          <w:szCs w:val="28"/>
        </w:rPr>
        <w:t>原料项目运营中，进行技术持续改进。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88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据分析工具监测和分析食品用类似原料项目各环节</w:t>
      </w:r>
    </w:p>
    <w:p>
      <w:pPr>
        <w:spacing w:before="290" w:line="223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数</w:t>
      </w:r>
      <w:r>
        <w:rPr>
          <w:rFonts w:ascii="FangSong" w:eastAsia="FangSong" w:hAnsi="FangSong" w:cs="FangSong"/>
          <w:spacing w:val="-12"/>
          <w:sz w:val="28"/>
          <w:szCs w:val="28"/>
        </w:rPr>
        <w:t>据。</w:t>
      </w:r>
    </w:p>
    <w:p>
      <w:pPr>
        <w:spacing w:before="286"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1" w:right="196" w:firstLine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共同构建了高效、稳定的食品用类似原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料</w:t>
      </w:r>
      <w:r>
        <w:rPr>
          <w:rFonts w:ascii="FangSong" w:eastAsia="FangSong" w:hAnsi="FangSong" w:cs="FangSong"/>
          <w:spacing w:val="-2"/>
          <w:sz w:val="28"/>
          <w:szCs w:val="28"/>
        </w:rPr>
        <w:t>项目技术实施框架，确保食品用类似原料项目顺利推进。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right="94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确</w:t>
      </w:r>
      <w:r>
        <w:rPr>
          <w:rFonts w:ascii="FangSong" w:eastAsia="FangSong" w:hAnsi="FangSong" w:cs="FangSong"/>
          <w:spacing w:val="-10"/>
          <w:sz w:val="28"/>
          <w:szCs w:val="28"/>
        </w:rPr>
        <w:t>保选用的设备能够满足食品用类似原料项目的技术要求，例如：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2" w:line="411" w:lineRule="auto"/>
        <w:ind w:left="42" w:right="197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保所选设备与食品用类似原料项目工艺流程相匹配，例如：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认设备的生产能力是否符合食品用类似原料项目的产能需求。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ectPr>
          <w:pgSz w:w="11906" w:h="16839"/>
          <w:pgMar w:top="1431" w:right="1603" w:bottom="0" w:left="1785" w:header="0" w:footer="0" w:gutter="0"/>
          <w:pgNumType w:start="9"/>
          <w:cols w:space="708"/>
        </w:sectPr>
      </w:pPr>
    </w:p>
    <w:p>
      <w:pPr>
        <w:spacing w:before="183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bookmarkStart w:id="7" w:name="_bookmark8"/>
      <w:bookmarkEnd w:id="7"/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89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90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8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ectPr>
          <w:pgSz w:w="11906" w:h="16839"/>
          <w:pgMar w:top="1431" w:right="160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(一)、食品用类似原料项目建设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用类似原料项目的建设和运营过程中，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确保工程顺利进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和产品质量稳定的重要环节。本章将详细探讨食品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类似原料项目建设期和运营期的原辅材料供应情况，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量</w:t>
      </w:r>
      <w:r>
        <w:rPr>
          <w:rFonts w:ascii="FangSong" w:eastAsia="FangSong" w:hAnsi="FangSong" w:cs="FangSong"/>
          <w:spacing w:val="-7"/>
          <w:sz w:val="28"/>
          <w:szCs w:val="28"/>
        </w:rPr>
        <w:t>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食品用类似原料项目建设期</w:t>
      </w:r>
      <w:r>
        <w:rPr>
          <w:rFonts w:ascii="FangSong" w:eastAsia="FangSong" w:hAnsi="FangSong" w:cs="FangSong"/>
          <w:sz w:val="28"/>
          <w:szCs w:val="28"/>
        </w:rPr>
        <w:t>原辅材料供应情况</w:t>
      </w:r>
    </w:p>
    <w:p>
      <w:pPr>
        <w:spacing w:before="292" w:line="414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用类似原料项目建设期间，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度和质量有着直</w:t>
      </w:r>
      <w:r>
        <w:rPr>
          <w:rFonts w:ascii="FangSong" w:eastAsia="FangSong" w:hAnsi="FangSong" w:cs="FangSong"/>
          <w:spacing w:val="-4"/>
          <w:sz w:val="28"/>
          <w:szCs w:val="28"/>
        </w:rPr>
        <w:t>接</w:t>
      </w:r>
      <w:r>
        <w:rPr>
          <w:rFonts w:ascii="FangSong" w:eastAsia="FangSong" w:hAnsi="FangSong" w:cs="FangSong"/>
          <w:spacing w:val="-3"/>
          <w:sz w:val="28"/>
          <w:szCs w:val="28"/>
        </w:rPr>
        <w:t>的影响。下面是食品用类似原料项目建设期原辅材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6"/>
          <w:sz w:val="28"/>
          <w:szCs w:val="28"/>
        </w:rPr>
        <w:t>应情况的主要内容：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bookmarkStart w:id="10" w:name="_bookmark11"/>
      <w:bookmarkEnd w:id="10"/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、食品用类似原料项目运营期原辅材料供应及质量管理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47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类似原料项目进入运营期后，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管理</w:t>
      </w:r>
      <w:r>
        <w:rPr>
          <w:rFonts w:ascii="FangSong" w:eastAsia="FangSong" w:hAnsi="FangSong" w:cs="FangSong"/>
          <w:spacing w:val="-4"/>
          <w:sz w:val="28"/>
          <w:szCs w:val="28"/>
        </w:rPr>
        <w:t>同样至关重要。下面是食品用类似原料项目运营期原辅材料供应</w:t>
      </w:r>
    </w:p>
    <w:p>
      <w:pPr>
        <w:spacing w:before="1" w:line="223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及质量管理的关键方面：</w:t>
      </w:r>
    </w:p>
    <w:p>
      <w:pPr>
        <w:spacing w:before="284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6" w:line="220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</w:p>
    <w:p>
      <w:pPr>
        <w:sectPr>
          <w:pgSz w:w="11906" w:h="16839"/>
          <w:pgMar w:top="1431" w:right="1785" w:bottom="0" w:left="1785" w:header="0" w:footer="0" w:gutter="0"/>
          <w:pgNumType w:start="12"/>
          <w:cols w:space="708"/>
        </w:sectPr>
      </w:pPr>
    </w:p>
    <w:p>
      <w:pPr>
        <w:spacing w:before="183" w:line="219" w:lineRule="auto"/>
        <w:ind w:left="38"/>
        <w:rPr>
          <w:rFonts w:ascii="FangSong" w:eastAsia="FangSong" w:hAnsi="FangSong" w:cs="FangSong"/>
          <w:sz w:val="28"/>
          <w:szCs w:val="28"/>
        </w:rPr>
      </w:pPr>
      <w:bookmarkStart w:id="11" w:name="_bookmark12"/>
      <w:bookmarkEnd w:id="11"/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before="291"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2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8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9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类似原料行业作为一个充满活力的领域，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涵盖了广泛的产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7" w:line="417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footerReference w:type="default" r:id="rId6"/>
          <w:pgSz w:w="11906" w:h="16839"/>
          <w:pgMar w:top="1431" w:right="1785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41" w:right="56" w:hanging="8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bookmarkStart w:id="19" w:name="_bookmark20"/>
      <w:bookmarkEnd w:id="19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4" w:line="414" w:lineRule="auto"/>
        <w:ind w:left="33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食品用类似原料行业在技术上取得了显著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8"/>
          <w:sz w:val="28"/>
          <w:szCs w:val="28"/>
        </w:rPr>
        <w:t>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化</w:t>
      </w:r>
      <w:r>
        <w:rPr>
          <w:rFonts w:ascii="FangSong" w:eastAsia="FangSong" w:hAnsi="FangSong" w:cs="FangSong"/>
          <w:spacing w:val="-6"/>
          <w:sz w:val="28"/>
          <w:szCs w:val="28"/>
        </w:rPr>
        <w:t>方向迅速发展。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line="257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5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**食品用类似原料行业**是一片充满活力的领域，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长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但</w:t>
      </w:r>
      <w:r>
        <w:rPr>
          <w:rFonts w:ascii="FangSong" w:eastAsia="FangSong" w:hAnsi="FangSong" w:cs="FangSong"/>
          <w:spacing w:val="-10"/>
          <w:sz w:val="28"/>
          <w:szCs w:val="28"/>
        </w:rPr>
        <w:t>不限于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0" w:line="411" w:lineRule="auto"/>
        <w:ind w:left="33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7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食品用类似原料行业市场规模庞大，年复一年的增长势头不减。</w:t>
      </w:r>
    </w:p>
    <w:p>
      <w:pPr>
        <w:sectPr>
          <w:footerReference w:type="default" r:id="rId7"/>
          <w:pgSz w:w="11906" w:h="16839"/>
          <w:pgMar w:top="1431" w:right="1743" w:bottom="400" w:left="1785" w:header="0" w:footer="0" w:gutter="0"/>
          <w:pgNumType w:start="21"/>
          <w:cols w:space="708"/>
        </w:sectPr>
      </w:pPr>
    </w:p>
    <w:p>
      <w:pPr>
        <w:spacing w:before="184" w:line="411" w:lineRule="auto"/>
        <w:ind w:left="48" w:right="14" w:hanging="10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的扩大也为新进</w:t>
      </w:r>
      <w:r>
        <w:rPr>
          <w:rFonts w:ascii="FangSong" w:eastAsia="FangSong" w:hAnsi="FangSong" w:cs="FangSong"/>
          <w:spacing w:val="-2"/>
          <w:sz w:val="28"/>
          <w:szCs w:val="28"/>
        </w:rPr>
        <w:t>入者提供了更多的机遇，加剧了行业内的竞争。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4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食品用类似原料行业在技术上取得了显著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的突</w:t>
      </w:r>
      <w:r>
        <w:rPr>
          <w:rFonts w:ascii="FangSong" w:eastAsia="FangSong" w:hAnsi="FangSong" w:cs="FangSong"/>
          <w:spacing w:val="-14"/>
          <w:sz w:val="28"/>
          <w:szCs w:val="28"/>
        </w:rPr>
        <w:t>破</w:t>
      </w:r>
      <w:r>
        <w:rPr>
          <w:rFonts w:ascii="FangSong" w:eastAsia="FangSong" w:hAnsi="FangSong" w:cs="FangSong"/>
          <w:spacing w:val="-12"/>
          <w:sz w:val="28"/>
          <w:szCs w:val="28"/>
        </w:rPr>
        <w:t>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生产</w:t>
      </w:r>
      <w:r>
        <w:rPr>
          <w:rFonts w:ascii="FangSong" w:eastAsia="FangSong" w:hAnsi="FangSong" w:cs="FangSong"/>
          <w:spacing w:val="-14"/>
          <w:sz w:val="28"/>
          <w:szCs w:val="28"/>
        </w:rPr>
        <w:t>效</w:t>
      </w:r>
      <w:r>
        <w:rPr>
          <w:rFonts w:ascii="FangSong" w:eastAsia="FangSong" w:hAnsi="FangSong" w:cs="FangSong"/>
          <w:spacing w:val="-12"/>
          <w:sz w:val="28"/>
          <w:szCs w:val="28"/>
        </w:rPr>
        <w:t>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能</w:t>
      </w:r>
      <w:r>
        <w:rPr>
          <w:rFonts w:ascii="FangSong" w:eastAsia="FangSong" w:hAnsi="FangSong" w:cs="FangSong"/>
          <w:spacing w:val="-16"/>
          <w:sz w:val="28"/>
          <w:szCs w:val="28"/>
        </w:rPr>
        <w:t>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在食</w:t>
      </w:r>
      <w:r>
        <w:rPr>
          <w:rFonts w:ascii="FangSong" w:eastAsia="FangSong" w:hAnsi="FangSong" w:cs="FangSong"/>
          <w:spacing w:val="-15"/>
          <w:sz w:val="28"/>
          <w:szCs w:val="28"/>
        </w:rPr>
        <w:t>品</w:t>
      </w:r>
      <w:r>
        <w:rPr>
          <w:rFonts w:ascii="FangSong" w:eastAsia="FangSong" w:hAnsi="FangSong" w:cs="FangSong"/>
          <w:spacing w:val="-8"/>
          <w:sz w:val="28"/>
          <w:szCs w:val="28"/>
        </w:rPr>
        <w:t>用类似原料项目的建筑工程设计过程中，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本设计原则，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以确保食品用类似原料项目的可持续发展和建筑结构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的安全性：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1" w:line="414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ectPr>
          <w:footerReference w:type="default" r:id="rId8"/>
          <w:pgSz w:w="11906" w:h="16839"/>
          <w:pgMar w:top="1431" w:right="1785" w:bottom="400" w:left="1785" w:header="0" w:footer="0" w:gutter="0"/>
          <w:pgNumType w:start="22"/>
          <w:cols w:space="708"/>
        </w:sectPr>
      </w:pPr>
    </w:p>
    <w:p>
      <w:pPr>
        <w:spacing w:before="182" w:line="222" w:lineRule="auto"/>
        <w:ind w:left="607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(二)、食品用类似原料项目总平面设计要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食品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类似原料项目总平面设计将充分考虑以下要求，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6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计满足工程的需要并符合相关规范：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</w:p>
    <w:p>
      <w:pPr>
        <w:sectPr>
          <w:footerReference w:type="default" r:id="rId9"/>
          <w:pgSz w:w="11906" w:h="16839"/>
          <w:pgMar w:top="1431" w:right="1785" w:bottom="400" w:left="1785" w:header="0" w:footer="0" w:gutter="0"/>
          <w:pgNumType w:start="23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290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9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定，适应食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pacing w:val="-2"/>
          <w:sz w:val="28"/>
          <w:szCs w:val="28"/>
        </w:rPr>
        <w:t>用类似原料项目的实际使用需要。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5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</w:p>
    <w:p>
      <w:pPr>
        <w:sectPr>
          <w:footerReference w:type="default" r:id="rId10"/>
          <w:pgSz w:w="11906" w:h="16839"/>
          <w:pgMar w:top="1431" w:right="1718" w:bottom="40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9" w:right="14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5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食</w:t>
      </w:r>
      <w:r>
        <w:rPr>
          <w:rFonts w:ascii="FangSong" w:eastAsia="FangSong" w:hAnsi="FangSong" w:cs="FangSong"/>
          <w:spacing w:val="-8"/>
          <w:sz w:val="28"/>
          <w:szCs w:val="28"/>
        </w:rPr>
        <w:t>品用类似原料项目所处地区的地质条件和地震风险，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适当的抗震设防</w:t>
      </w:r>
      <w:r>
        <w:rPr>
          <w:rFonts w:ascii="FangSong" w:eastAsia="FangSong" w:hAnsi="FangSong" w:cs="FangSong"/>
          <w:spacing w:val="-4"/>
          <w:sz w:val="28"/>
          <w:szCs w:val="28"/>
        </w:rPr>
        <w:t>烈</w:t>
      </w:r>
      <w:r>
        <w:rPr>
          <w:rFonts w:ascii="FangSong" w:eastAsia="FangSong" w:hAnsi="FangSong" w:cs="FangSong"/>
          <w:spacing w:val="-3"/>
          <w:sz w:val="28"/>
          <w:szCs w:val="28"/>
        </w:rPr>
        <w:t>度。结构将被设计以保证在地震发生时能够安全稳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定</w:t>
      </w:r>
      <w:r>
        <w:rPr>
          <w:rFonts w:ascii="FangSong" w:eastAsia="FangSong" w:hAnsi="FangSong" w:cs="FangSong"/>
          <w:spacing w:val="-5"/>
          <w:sz w:val="28"/>
          <w:szCs w:val="28"/>
        </w:rPr>
        <w:t>地承受地震作用。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结合食品用类似原料项目的实际需求和环境条件，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</w:t>
      </w:r>
      <w:r>
        <w:rPr>
          <w:rFonts w:ascii="FangSong" w:eastAsia="FangSong" w:hAnsi="FangSong" w:cs="FangSong"/>
          <w:spacing w:val="-7"/>
          <w:sz w:val="28"/>
          <w:szCs w:val="28"/>
        </w:rPr>
        <w:t>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的耐</w:t>
      </w:r>
      <w:r>
        <w:rPr>
          <w:rFonts w:ascii="FangSong" w:eastAsia="FangSong" w:hAnsi="FangSong" w:cs="FangSong"/>
          <w:spacing w:val="-14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内能够保持</w:t>
      </w:r>
      <w:r>
        <w:rPr>
          <w:rFonts w:ascii="FangSong" w:eastAsia="FangSong" w:hAnsi="FangSong" w:cs="FangSong"/>
          <w:spacing w:val="-3"/>
          <w:sz w:val="28"/>
          <w:szCs w:val="28"/>
        </w:rPr>
        <w:t>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筑工程的设计总体要求是确保食品用类似原料项目实现预期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功</w:t>
      </w:r>
      <w:r>
        <w:rPr>
          <w:rFonts w:ascii="FangSong" w:eastAsia="FangSong" w:hAnsi="FangSong" w:cs="FangSong"/>
          <w:spacing w:val="-8"/>
          <w:sz w:val="28"/>
          <w:szCs w:val="28"/>
        </w:rPr>
        <w:t>能、安全稳定、符合法规标准，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取得平</w:t>
      </w:r>
      <w:r>
        <w:rPr>
          <w:rFonts w:ascii="FangSong" w:eastAsia="FangSong" w:hAnsi="FangSong" w:cs="FangSong"/>
          <w:spacing w:val="-4"/>
          <w:sz w:val="28"/>
          <w:szCs w:val="28"/>
        </w:rPr>
        <w:t>衡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。下面是我们对建筑工程设计的总体要求：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ectPr>
          <w:footerReference w:type="default" r:id="rId11"/>
          <w:pgSz w:w="11906" w:h="16839"/>
          <w:pgMar w:top="1431" w:right="1785" w:bottom="400" w:left="1785" w:header="0" w:footer="0" w:gutter="0"/>
          <w:pgNumType w:start="25"/>
          <w:cols w:space="708"/>
        </w:sectPr>
      </w:pPr>
    </w:p>
    <w:p>
      <w:pPr>
        <w:spacing w:before="184" w:line="411" w:lineRule="auto"/>
        <w:ind w:left="56" w:right="95" w:firstLine="109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建筑的功能布局满足食品用类似原料项目需求，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区域</w:t>
      </w:r>
      <w:r>
        <w:rPr>
          <w:rFonts w:ascii="FangSong" w:eastAsia="FangSong" w:hAnsi="FangSong" w:cs="FangSong"/>
          <w:spacing w:val="-4"/>
          <w:sz w:val="28"/>
          <w:szCs w:val="28"/>
        </w:rPr>
        <w:t>合理分布，形成高效的空间利用。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2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before="1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411" w:lineRule="auto"/>
        <w:ind w:left="34" w:right="9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在保证质量的前提下，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</w:t>
      </w:r>
      <w:r>
        <w:rPr>
          <w:rFonts w:ascii="FangSong" w:eastAsia="FangSong" w:hAnsi="FangSong" w:cs="FangSong"/>
          <w:spacing w:val="-13"/>
          <w:sz w:val="28"/>
          <w:szCs w:val="28"/>
        </w:rPr>
        <w:t>回</w:t>
      </w:r>
    </w:p>
    <w:p>
      <w:pPr>
        <w:spacing w:before="292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286" w:line="222" w:lineRule="auto"/>
        <w:ind w:right="8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</w:p>
    <w:p>
      <w:pPr>
        <w:sectPr>
          <w:footerReference w:type="default" r:id="rId12"/>
          <w:pgSz w:w="11906" w:h="16839"/>
          <w:pgMar w:top="1431" w:right="1704" w:bottom="40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286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89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2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3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</w:t>
      </w:r>
      <w:r>
        <w:rPr>
          <w:rFonts w:ascii="FangSong" w:eastAsia="FangSong" w:hAnsi="FangSong" w:cs="FangSong"/>
          <w:spacing w:val="-2"/>
          <w:sz w:val="28"/>
          <w:szCs w:val="28"/>
        </w:rPr>
        <w:t>满足食品用类似原料项目的长期发展需求。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4" w:right="7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食品用类似原</w:t>
      </w:r>
      <w:r>
        <w:rPr>
          <w:rFonts w:ascii="FangSong" w:eastAsia="FangSong" w:hAnsi="FangSong" w:cs="FangSong"/>
          <w:spacing w:val="-5"/>
          <w:sz w:val="28"/>
          <w:szCs w:val="28"/>
        </w:rPr>
        <w:t>料</w:t>
      </w:r>
      <w:r>
        <w:rPr>
          <w:rFonts w:ascii="FangSong" w:eastAsia="FangSong" w:hAnsi="FangSong" w:cs="FangSong"/>
          <w:spacing w:val="-3"/>
          <w:sz w:val="28"/>
          <w:szCs w:val="28"/>
        </w:rPr>
        <w:t>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虑</w:t>
      </w:r>
      <w:r>
        <w:rPr>
          <w:rFonts w:ascii="FangSong" w:eastAsia="FangSong" w:hAnsi="FangSong" w:cs="FangSong"/>
          <w:spacing w:val="-8"/>
          <w:sz w:val="28"/>
          <w:szCs w:val="28"/>
        </w:rPr>
        <w:t>到食品用类似原料项目的功能布局和需求，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9"/>
          <w:sz w:val="28"/>
          <w:szCs w:val="28"/>
        </w:rPr>
        <w:t>的利用。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7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ectPr>
          <w:footerReference w:type="default" r:id="rId13"/>
          <w:pgSz w:w="11906" w:h="16839"/>
          <w:pgMar w:top="1431" w:right="1724" w:bottom="400" w:left="1785" w:header="0" w:footer="0" w:gutter="0"/>
          <w:pgNumType w:start="27"/>
          <w:cols w:space="708"/>
        </w:sectPr>
      </w:pPr>
    </w:p>
    <w:p>
      <w:pPr>
        <w:spacing w:before="184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占</w:t>
      </w:r>
      <w:r>
        <w:rPr>
          <w:rFonts w:ascii="FangSong" w:eastAsia="FangSong" w:hAnsi="FangSong" w:cs="FangSong"/>
          <w:spacing w:val="-10"/>
          <w:sz w:val="28"/>
          <w:szCs w:val="28"/>
        </w:rPr>
        <w:t>食</w:t>
      </w:r>
      <w:r>
        <w:rPr>
          <w:rFonts w:ascii="FangSong" w:eastAsia="FangSong" w:hAnsi="FangSong" w:cs="FangSong"/>
          <w:spacing w:val="-7"/>
          <w:sz w:val="28"/>
          <w:szCs w:val="28"/>
        </w:rPr>
        <w:t>品用类似原料项目总投资比例：</w:t>
      </w:r>
    </w:p>
    <w:p>
      <w:pPr>
        <w:spacing w:before="291" w:line="411" w:lineRule="auto"/>
        <w:ind w:left="33" w:right="17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食</w:t>
      </w:r>
      <w:r>
        <w:rPr>
          <w:rFonts w:ascii="FangSong" w:eastAsia="FangSong" w:hAnsi="FangSong" w:cs="FangSong"/>
          <w:spacing w:val="-3"/>
          <w:sz w:val="28"/>
          <w:szCs w:val="28"/>
        </w:rPr>
        <w:t>品用类似原料项目总投资的比例为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体投资</w:t>
      </w:r>
      <w:r>
        <w:rPr>
          <w:rFonts w:ascii="FangSong" w:eastAsia="FangSong" w:hAnsi="FangSong" w:cs="FangSong"/>
          <w:spacing w:val="-3"/>
          <w:sz w:val="28"/>
          <w:szCs w:val="28"/>
        </w:rPr>
        <w:t>结</w:t>
      </w:r>
      <w:r>
        <w:rPr>
          <w:rFonts w:ascii="FangSong" w:eastAsia="FangSong" w:hAnsi="FangSong" w:cs="FangSong"/>
          <w:spacing w:val="-2"/>
          <w:sz w:val="28"/>
          <w:szCs w:val="28"/>
        </w:rPr>
        <w:t>构中占有合理比例，确保资金分配的均衡性。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满足未来食品用类似原料项目运营的需求，同时避免了过度浪</w:t>
      </w:r>
      <w:r>
        <w:rPr>
          <w:rFonts w:ascii="FangSong" w:eastAsia="FangSong" w:hAnsi="FangSong" w:cs="FangSong"/>
          <w:spacing w:val="-1"/>
          <w:sz w:val="28"/>
          <w:szCs w:val="28"/>
        </w:rPr>
        <w:t>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食</w:t>
      </w:r>
      <w:r>
        <w:rPr>
          <w:rFonts w:ascii="FangSong" w:eastAsia="FangSong" w:hAnsi="FangSong" w:cs="FangSong"/>
          <w:spacing w:val="-6"/>
          <w:sz w:val="28"/>
          <w:szCs w:val="28"/>
        </w:rPr>
        <w:t>品</w:t>
      </w:r>
      <w:r>
        <w:rPr>
          <w:rFonts w:ascii="FangSong" w:eastAsia="FangSong" w:hAnsi="FangSong" w:cs="FangSong"/>
          <w:spacing w:val="-5"/>
          <w:sz w:val="28"/>
          <w:szCs w:val="28"/>
        </w:rPr>
        <w:t>用类似原料项目整体布局：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使食品用类似原料项目更好地适应当地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footerReference w:type="default" r:id="rId14"/>
          <w:pgSz w:w="11906" w:h="16839"/>
          <w:pgMar w:top="1431" w:right="1623" w:bottom="400" w:left="1785" w:header="0" w:footer="0" w:gutter="0"/>
          <w:pgNumType w:start="28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六、市场营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销策略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)、目标市场分析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8"/>
          <w:sz w:val="28"/>
          <w:szCs w:val="28"/>
        </w:rPr>
        <w:t>在</w:t>
      </w:r>
      <w:r>
        <w:rPr>
          <w:rFonts w:ascii="FangSong" w:eastAsia="FangSong" w:hAnsi="FangSong" w:cs="FangSong"/>
          <w:spacing w:val="-20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行目标市场分析时，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我们综合考虑了市场规模、消费者需求、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竞</w:t>
      </w:r>
      <w:r>
        <w:rPr>
          <w:rFonts w:ascii="FangSong" w:eastAsia="FangSong" w:hAnsi="FangSong" w:cs="FangSong"/>
          <w:spacing w:val="-13"/>
          <w:sz w:val="28"/>
          <w:szCs w:val="28"/>
        </w:rPr>
        <w:t>争</w:t>
      </w:r>
      <w:r>
        <w:rPr>
          <w:rFonts w:ascii="FangSong" w:eastAsia="FangSong" w:hAnsi="FangSong" w:cs="FangSong"/>
          <w:spacing w:val="-8"/>
          <w:sz w:val="28"/>
          <w:szCs w:val="28"/>
        </w:rPr>
        <w:t>格局等因素。通过深入了解目标市场，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我们可以更精准地定位产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品和制定相关营销策略，以取得市场竞争优势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市场规</w:t>
      </w:r>
      <w:r>
        <w:rPr>
          <w:rFonts w:ascii="FangSong" w:eastAsia="FangSong" w:hAnsi="FangSong" w:cs="FangSong"/>
          <w:spacing w:val="-2"/>
          <w:sz w:val="28"/>
          <w:szCs w:val="28"/>
        </w:rPr>
        <w:t>模与增长趋势</w:t>
      </w:r>
    </w:p>
    <w:p>
      <w:pPr>
        <w:spacing w:before="289" w:line="411" w:lineRule="auto"/>
        <w:ind w:left="32" w:right="38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分析</w:t>
      </w:r>
      <w:r>
        <w:rPr>
          <w:rFonts w:ascii="FangSong" w:eastAsia="FangSong" w:hAnsi="FangSong" w:cs="FangSong"/>
          <w:spacing w:val="-2"/>
          <w:sz w:val="28"/>
          <w:szCs w:val="28"/>
        </w:rPr>
        <w:t>显示，目标市场的规模庞大，未来预计呈现稳健增长趋势。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这一市场</w:t>
      </w:r>
      <w:r>
        <w:rPr>
          <w:rFonts w:ascii="FangSong" w:eastAsia="FangSong" w:hAnsi="FangSong" w:cs="FangSong"/>
          <w:spacing w:val="7"/>
          <w:sz w:val="28"/>
          <w:szCs w:val="28"/>
        </w:rPr>
        <w:t>的</w:t>
      </w:r>
      <w:r>
        <w:rPr>
          <w:rFonts w:ascii="FangSong" w:eastAsia="FangSong" w:hAnsi="FangSong" w:cs="FangSong"/>
          <w:spacing w:val="5"/>
          <w:sz w:val="28"/>
          <w:szCs w:val="28"/>
        </w:rPr>
        <w:t>增长主要受益于消费者对创新产品和高品质服务的日益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</w:t>
      </w:r>
      <w:r>
        <w:rPr>
          <w:rFonts w:ascii="FangSong" w:eastAsia="FangSong" w:hAnsi="FangSong" w:cs="FangSong"/>
          <w:spacing w:val="-7"/>
          <w:sz w:val="28"/>
          <w:szCs w:val="28"/>
        </w:rPr>
        <w:t>长的需求。</w:t>
      </w:r>
    </w:p>
    <w:p>
      <w:pPr>
        <w:spacing w:line="219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潜</w:t>
      </w:r>
      <w:r>
        <w:rPr>
          <w:rFonts w:ascii="FangSong" w:eastAsia="FangSong" w:hAnsi="FangSong" w:cs="FangSong"/>
          <w:spacing w:val="-3"/>
          <w:sz w:val="28"/>
          <w:szCs w:val="28"/>
        </w:rPr>
        <w:t>在客户细分</w:t>
      </w:r>
    </w:p>
    <w:p>
      <w:pPr>
        <w:spacing w:before="293" w:line="411" w:lineRule="auto"/>
        <w:ind w:left="40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们将潜在客户细分为不同的群体，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以更好地满足各类客户的需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求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5"/>
          <w:sz w:val="28"/>
          <w:szCs w:val="28"/>
        </w:rPr>
        <w:t>这些细分群体包括但不限于：</w:t>
      </w:r>
    </w:p>
    <w:p>
      <w:pPr>
        <w:spacing w:before="1" w:line="411" w:lineRule="auto"/>
        <w:ind w:left="38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专业用户：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针对需要高度专业化产品和服务的行业，提供专门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定</w:t>
      </w:r>
      <w:r>
        <w:rPr>
          <w:rFonts w:ascii="FangSong" w:eastAsia="FangSong" w:hAnsi="FangSong" w:cs="FangSong"/>
          <w:spacing w:val="-6"/>
          <w:sz w:val="28"/>
          <w:szCs w:val="28"/>
        </w:rPr>
        <w:t>制的解决方案。</w:t>
      </w:r>
    </w:p>
    <w:p>
      <w:pPr>
        <w:spacing w:before="1" w:line="411" w:lineRule="auto"/>
        <w:ind w:left="33" w:right="153" w:firstLine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中</w:t>
      </w:r>
      <w:r>
        <w:rPr>
          <w:rFonts w:ascii="FangSong" w:eastAsia="FangSong" w:hAnsi="FangSong" w:cs="FangSong"/>
          <w:spacing w:val="-7"/>
          <w:sz w:val="28"/>
          <w:szCs w:val="28"/>
        </w:rPr>
        <w:t>小型企业：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为中小型企业提供经济实惠、易于使用的产品，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满</w:t>
      </w:r>
      <w:r>
        <w:rPr>
          <w:rFonts w:ascii="FangSong" w:eastAsia="FangSong" w:hAnsi="FangSong" w:cs="FangSong"/>
          <w:spacing w:val="-6"/>
          <w:sz w:val="28"/>
          <w:szCs w:val="28"/>
        </w:rPr>
        <w:t>足其业务需求。</w:t>
      </w:r>
    </w:p>
    <w:p>
      <w:pPr>
        <w:spacing w:before="3" w:line="415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个人用户：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面向普通个人用户，提供易购、易用的产品，强</w:t>
      </w:r>
      <w:r>
        <w:rPr>
          <w:rFonts w:ascii="FangSong" w:eastAsia="FangSong" w:hAnsi="FangSong" w:cs="FangSong"/>
          <w:spacing w:val="-2"/>
          <w:sz w:val="28"/>
          <w:szCs w:val="28"/>
        </w:rPr>
        <w:t>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</w:t>
      </w:r>
      <w:r>
        <w:rPr>
          <w:rFonts w:ascii="FangSong" w:eastAsia="FangSong" w:hAnsi="FangSong" w:cs="FangSong"/>
          <w:spacing w:val="-7"/>
          <w:sz w:val="28"/>
          <w:szCs w:val="28"/>
        </w:rPr>
        <w:t>户</w:t>
      </w:r>
      <w:r>
        <w:rPr>
          <w:rFonts w:ascii="FangSong" w:eastAsia="FangSong" w:hAnsi="FangSong" w:cs="FangSong"/>
          <w:spacing w:val="-4"/>
          <w:sz w:val="28"/>
          <w:szCs w:val="28"/>
        </w:rPr>
        <w:t>体验和个性化服务。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二)、市场定位</w:t>
      </w:r>
    </w:p>
    <w:p>
      <w:pPr>
        <w:spacing w:line="454" w:lineRule="auto"/>
        <w:rPr>
          <w:rFonts w:ascii="Arial"/>
          <w:sz w:val="21"/>
        </w:rPr>
        <w:sectPr>
          <w:footerReference w:type="default" r:id="rId15"/>
          <w:pgSz w:w="11906" w:h="16839"/>
          <w:pgMar w:top="1431" w:right="1704" w:bottom="400" w:left="1785" w:header="0" w:footer="0" w:gutter="0"/>
          <w:pgNumType w:start="29"/>
          <w:cols w:space="708"/>
        </w:sectPr>
      </w:pPr>
    </w:p>
    <w:p>
      <w:pPr>
        <w:spacing w:before="91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将</w:t>
      </w:r>
      <w:r>
        <w:rPr>
          <w:rFonts w:ascii="FangSong" w:eastAsia="FangSong" w:hAnsi="FangSong" w:cs="FangSong"/>
          <w:spacing w:val="-4"/>
          <w:sz w:val="28"/>
          <w:szCs w:val="28"/>
        </w:rPr>
        <w:t>产品定位为高性能、创新、可靠的解决方案提供商。通过</w:t>
      </w:r>
    </w:p>
    <w:p>
      <w:pPr>
        <w:sectPr>
          <w:footerReference w:type="default" r:id="rId16"/>
          <w:type w:val="nextPage"/>
          <w:pgSz w:w="11906" w:h="16839"/>
          <w:pgMar w:top="1431" w:right="1704" w:bottom="400" w:left="1785" w:header="0" w:footer="0" w:gutter="0"/>
          <w:pgNumType w:start="30"/>
          <w:cols w:space="708"/>
          <w:titlePg w:val="0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r>
        <w:rPr>
          <w:rFonts w:ascii="FangSong" w:eastAsia="FangSong" w:hAnsi="FangSong" w:cs="FangSong"/>
          <w:spacing w:val="-4"/>
          <w:sz w:val="28"/>
          <w:szCs w:val="28"/>
        </w:rPr>
        <w:t>专业</w:t>
      </w:r>
      <w:r>
        <w:rPr>
          <w:rFonts w:ascii="FangSong" w:eastAsia="FangSong" w:hAnsi="FangSong" w:cs="FangSong"/>
          <w:spacing w:val="-3"/>
          <w:sz w:val="28"/>
          <w:szCs w:val="28"/>
        </w:rPr>
        <w:t>化</w:t>
      </w:r>
      <w:r>
        <w:rPr>
          <w:rFonts w:ascii="FangSong" w:eastAsia="FangSong" w:hAnsi="FangSong" w:cs="FangSong"/>
          <w:spacing w:val="-2"/>
          <w:sz w:val="28"/>
          <w:szCs w:val="28"/>
        </w:rPr>
        <w:t>和差异化的服务，致力于满足不同细分市场的需求。</w:t>
      </w:r>
    </w:p>
    <w:p>
      <w:pPr>
        <w:spacing w:before="287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竞争优势</w:t>
      </w:r>
    </w:p>
    <w:p>
      <w:pPr>
        <w:spacing w:before="288" w:line="411" w:lineRule="auto"/>
        <w:ind w:left="38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技术领先：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我们拥有领先的技术团队，持续创新产品，确保</w:t>
      </w:r>
      <w:r>
        <w:rPr>
          <w:rFonts w:ascii="FangSong" w:eastAsia="FangSong" w:hAnsi="FangSong" w:cs="FangSong"/>
          <w:spacing w:val="-2"/>
          <w:sz w:val="28"/>
          <w:szCs w:val="28"/>
        </w:rPr>
        <w:t>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6"/>
          <w:sz w:val="28"/>
          <w:szCs w:val="28"/>
        </w:rPr>
        <w:t>行业的前沿位置。</w:t>
      </w:r>
    </w:p>
    <w:p>
      <w:pPr>
        <w:spacing w:before="1" w:line="411" w:lineRule="auto"/>
        <w:ind w:left="32" w:right="25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客</w:t>
      </w:r>
      <w:r>
        <w:rPr>
          <w:rFonts w:ascii="FangSong" w:eastAsia="FangSong" w:hAnsi="FangSong" w:cs="FangSong"/>
          <w:spacing w:val="-6"/>
          <w:sz w:val="28"/>
          <w:szCs w:val="28"/>
        </w:rPr>
        <w:t>户体验：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提供卓越的客户服务和售后支持，强调用户体验，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立良好的品牌声誉。</w:t>
      </w:r>
    </w:p>
    <w:p>
      <w:pPr>
        <w:spacing w:line="416" w:lineRule="auto"/>
        <w:ind w:left="39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灵</w:t>
      </w:r>
      <w:r>
        <w:rPr>
          <w:rFonts w:ascii="FangSong" w:eastAsia="FangSong" w:hAnsi="FangSong" w:cs="FangSong"/>
          <w:spacing w:val="-4"/>
          <w:sz w:val="28"/>
          <w:szCs w:val="28"/>
        </w:rPr>
        <w:t>活定制：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能够根据客户需求提供灵活的定制解决方案，满足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不</w:t>
      </w:r>
      <w:r>
        <w:rPr>
          <w:rFonts w:ascii="FangSong" w:eastAsia="FangSong" w:hAnsi="FangSong" w:cs="FangSong"/>
          <w:spacing w:val="-5"/>
          <w:sz w:val="28"/>
          <w:szCs w:val="28"/>
        </w:rPr>
        <w:t>同行业和规模的需求。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(三)、产品定价策略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61" w:firstLine="5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定价策略将综合考虑成本、市场需求、竞争格局等多方面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因</w:t>
      </w:r>
      <w:r>
        <w:rPr>
          <w:rFonts w:ascii="FangSong" w:eastAsia="FangSong" w:hAnsi="FangSong" w:cs="FangSong"/>
          <w:spacing w:val="-8"/>
          <w:sz w:val="28"/>
          <w:szCs w:val="28"/>
        </w:rPr>
        <w:t>素</w:t>
      </w:r>
      <w:r>
        <w:rPr>
          <w:rFonts w:ascii="FangSong" w:eastAsia="FangSong" w:hAnsi="FangSong" w:cs="FangSong"/>
          <w:spacing w:val="-7"/>
          <w:sz w:val="28"/>
          <w:szCs w:val="28"/>
        </w:rPr>
        <w:t>。灵活的定价策略将使我们能够在满足客户需求的同时确保盈利。</w:t>
      </w:r>
    </w:p>
    <w:p>
      <w:pPr>
        <w:spacing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差</w:t>
      </w:r>
      <w:r>
        <w:rPr>
          <w:rFonts w:ascii="FangSong" w:eastAsia="FangSong" w:hAnsi="FangSong" w:cs="FangSong"/>
          <w:spacing w:val="-3"/>
          <w:sz w:val="28"/>
          <w:szCs w:val="28"/>
        </w:rPr>
        <w:t>异化定价</w:t>
      </w:r>
    </w:p>
    <w:p>
      <w:pPr>
        <w:spacing w:before="288" w:line="411" w:lineRule="auto"/>
        <w:ind w:left="34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针</w:t>
      </w:r>
      <w:r>
        <w:rPr>
          <w:rFonts w:ascii="FangSong" w:eastAsia="FangSong" w:hAnsi="FangSong" w:cs="FangSong"/>
          <w:spacing w:val="-13"/>
          <w:sz w:val="28"/>
          <w:szCs w:val="28"/>
        </w:rPr>
        <w:t>对高端用户和专业领域，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我们将采用差异化定价策略，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以更合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理地</w:t>
      </w:r>
      <w:r>
        <w:rPr>
          <w:rFonts w:ascii="FangSong" w:eastAsia="FangSong" w:hAnsi="FangSong" w:cs="FangSong"/>
          <w:spacing w:val="-4"/>
          <w:sz w:val="28"/>
          <w:szCs w:val="28"/>
        </w:rPr>
        <w:t>反</w:t>
      </w:r>
      <w:r>
        <w:rPr>
          <w:rFonts w:ascii="FangSong" w:eastAsia="FangSong" w:hAnsi="FangSong" w:cs="FangSong"/>
          <w:spacing w:val="-3"/>
          <w:sz w:val="28"/>
          <w:szCs w:val="28"/>
        </w:rPr>
        <w:t>映产品的高附加值和专业性。</w:t>
      </w:r>
    </w:p>
    <w:p>
      <w:pPr>
        <w:spacing w:before="1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套餐与促销</w:t>
      </w:r>
    </w:p>
    <w:p>
      <w:pPr>
        <w:spacing w:before="287" w:line="416" w:lineRule="auto"/>
        <w:ind w:left="35" w:right="16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定期推出产品套餐和促销活动，吸引更多客户选择我们的产品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并提高品牌在市场中的认知度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四)、渠道与分销策略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60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多</w:t>
      </w:r>
      <w:r>
        <w:rPr>
          <w:rFonts w:ascii="FangSong" w:eastAsia="FangSong" w:hAnsi="FangSong" w:cs="FangSong"/>
          <w:spacing w:val="-5"/>
          <w:sz w:val="28"/>
          <w:szCs w:val="28"/>
        </w:rPr>
        <w:t>渠道销售</w:t>
      </w:r>
    </w:p>
    <w:p>
      <w:pPr>
        <w:spacing w:before="289" w:line="219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通过在线渠道、经销商网络以及合作伙伴关系，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实现多渠道销售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</w:p>
    <w:p>
      <w:pPr>
        <w:sectPr>
          <w:footerReference w:type="default" r:id="rId17"/>
          <w:pgSz w:w="11906" w:h="16839"/>
          <w:pgMar w:top="1431" w:right="1603" w:bottom="400" w:left="1785" w:header="0" w:footer="0" w:gutter="0"/>
          <w:pgNumType w:start="31"/>
          <w:cols w:space="708"/>
        </w:sectPr>
      </w:pPr>
    </w:p>
    <w:p>
      <w:pPr>
        <w:spacing w:before="182" w:line="221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确保产</w:t>
      </w:r>
      <w:r>
        <w:rPr>
          <w:rFonts w:ascii="FangSong" w:eastAsia="FangSong" w:hAnsi="FangSong" w:cs="FangSong"/>
          <w:spacing w:val="-3"/>
          <w:sz w:val="28"/>
          <w:szCs w:val="28"/>
        </w:rPr>
        <w:t>品能够覆盖更广泛的市场。</w:t>
      </w:r>
    </w:p>
    <w:p>
      <w:pPr>
        <w:spacing w:before="289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经销商培训</w:t>
      </w:r>
    </w:p>
    <w:p>
      <w:pPr>
        <w:spacing w:before="287" w:line="416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立完善的经销商培训体系，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确保经销商了解产品特性，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业的售前售后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持，提高整体销售服务水平。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1" w:name="_bookmark32"/>
      <w:bookmarkEnd w:id="31"/>
      <w:bookmarkStart w:id="32" w:name="_bookmark33"/>
      <w:bookmarkEnd w:id="32"/>
      <w:bookmarkStart w:id="33" w:name="_bookmark34"/>
      <w:bookmarkEnd w:id="33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五)、促销与广告策略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数</w:t>
      </w:r>
      <w:r>
        <w:rPr>
          <w:rFonts w:ascii="FangSong" w:eastAsia="FangSong" w:hAnsi="FangSong" w:cs="FangSong"/>
          <w:spacing w:val="-2"/>
          <w:sz w:val="28"/>
          <w:szCs w:val="28"/>
        </w:rPr>
        <w:t>字化市场推广</w:t>
      </w:r>
    </w:p>
    <w:p>
      <w:pPr>
        <w:spacing w:before="288" w:line="411" w:lineRule="auto"/>
        <w:ind w:left="63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通过社交媒体、搜索引擎营销等数字化手段进行市场推广，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品牌知名</w:t>
      </w:r>
      <w:r>
        <w:rPr>
          <w:rFonts w:ascii="FangSong" w:eastAsia="FangSong" w:hAnsi="FangSong" w:cs="FangSong"/>
          <w:spacing w:val="-5"/>
          <w:sz w:val="28"/>
          <w:szCs w:val="28"/>
        </w:rPr>
        <w:t>度</w:t>
      </w:r>
      <w:r>
        <w:rPr>
          <w:rFonts w:ascii="FangSong" w:eastAsia="FangSong" w:hAnsi="FangSong" w:cs="FangSong"/>
          <w:spacing w:val="-3"/>
          <w:sz w:val="28"/>
          <w:szCs w:val="28"/>
        </w:rPr>
        <w:t>，引导目标客户了解和购买我们的产品。</w:t>
      </w:r>
    </w:p>
    <w:p>
      <w:pPr>
        <w:spacing w:line="220" w:lineRule="auto"/>
        <w:ind w:left="6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与</w:t>
      </w:r>
      <w:r>
        <w:rPr>
          <w:rFonts w:ascii="FangSong" w:eastAsia="FangSong" w:hAnsi="FangSong" w:cs="FangSong"/>
          <w:spacing w:val="-5"/>
          <w:sz w:val="28"/>
          <w:szCs w:val="28"/>
        </w:rPr>
        <w:t>行</w:t>
      </w:r>
      <w:r>
        <w:rPr>
          <w:rFonts w:ascii="FangSong" w:eastAsia="FangSong" w:hAnsi="FangSong" w:cs="FangSong"/>
          <w:spacing w:val="-3"/>
          <w:sz w:val="28"/>
          <w:szCs w:val="28"/>
        </w:rPr>
        <w:t>业峰会合作</w:t>
      </w:r>
    </w:p>
    <w:p>
      <w:pPr>
        <w:spacing w:before="290" w:line="416" w:lineRule="auto"/>
        <w:ind w:left="31" w:right="14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参与行业峰会和展览，展示我们的产品并与潜在客户建立联系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加强与</w:t>
      </w:r>
      <w:r>
        <w:rPr>
          <w:rFonts w:ascii="FangSong" w:eastAsia="FangSong" w:hAnsi="FangSong" w:cs="FangSong"/>
          <w:spacing w:val="-3"/>
          <w:sz w:val="28"/>
          <w:szCs w:val="28"/>
        </w:rPr>
        <w:t>行业内的合作伙伴关系。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(六)、售后服务策略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建立完善的售</w:t>
      </w:r>
      <w:r>
        <w:rPr>
          <w:rFonts w:ascii="FangSong" w:eastAsia="FangSong" w:hAnsi="FangSong" w:cs="FangSong"/>
          <w:spacing w:val="-5"/>
          <w:sz w:val="28"/>
          <w:szCs w:val="28"/>
        </w:rPr>
        <w:t>后</w:t>
      </w:r>
      <w:r>
        <w:rPr>
          <w:rFonts w:ascii="FangSong" w:eastAsia="FangSong" w:hAnsi="FangSong" w:cs="FangSong"/>
          <w:spacing w:val="-3"/>
          <w:sz w:val="28"/>
          <w:szCs w:val="28"/>
        </w:rPr>
        <w:t>服务体系，提供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24/7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在线支持、定期维护和更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新服务，</w:t>
      </w: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保客户在使用过程中获得持续的价值。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户培训</w:t>
      </w:r>
    </w:p>
    <w:p>
      <w:pPr>
        <w:spacing w:before="284" w:line="417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为客户提供专业的培训课程，使其更好地了解和使用我们的产品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高客户满意度，促使客户形成忠诚度。</w:t>
      </w:r>
    </w:p>
    <w:p>
      <w:pPr>
        <w:sectPr>
          <w:footerReference w:type="default" r:id="rId18"/>
          <w:pgSz w:w="11906" w:h="16839"/>
          <w:pgMar w:top="1431" w:right="1623" w:bottom="400" w:left="1785" w:header="0" w:footer="0" w:gutter="0"/>
          <w:pgNumType w:start="32"/>
          <w:cols w:space="708"/>
        </w:sectPr>
      </w:pPr>
    </w:p>
    <w:p>
      <w:pPr>
        <w:spacing w:before="245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bookmarkStart w:id="34" w:name="_bookmark35"/>
      <w:bookmarkEnd w:id="34"/>
      <w:bookmarkStart w:id="35" w:name="_bookmark36"/>
      <w:bookmarkEnd w:id="3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(一)、食品用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类似原料项目风险分析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41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受市场变化和竞争压力的影响，食品用类似原料项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目</w:t>
      </w:r>
      <w:r>
        <w:rPr>
          <w:rFonts w:ascii="FangSong" w:eastAsia="FangSong" w:hAnsi="FangSong" w:cs="FangSong"/>
          <w:spacing w:val="-14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响食品用</w:t>
      </w:r>
      <w:r>
        <w:rPr>
          <w:rFonts w:ascii="FangSong" w:eastAsia="FangSong" w:hAnsi="FangSong" w:cs="FangSong"/>
          <w:spacing w:val="-4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似原料项目的盈利能力。</w:t>
      </w:r>
    </w:p>
    <w:p>
      <w:pPr>
        <w:spacing w:before="1" w:line="411" w:lineRule="auto"/>
        <w:ind w:left="34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技术方面的不确定性可能导致食品用类似原料项</w:t>
      </w:r>
      <w:r>
        <w:rPr>
          <w:rFonts w:ascii="FangSong" w:eastAsia="FangSong" w:hAnsi="FangSong" w:cs="FangSong"/>
          <w:spacing w:val="-2"/>
          <w:sz w:val="28"/>
          <w:szCs w:val="28"/>
        </w:rPr>
        <w:t>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进度延误或成本增加。新技术的引入或技术问题的发生可能对食</w:t>
      </w:r>
      <w:r>
        <w:rPr>
          <w:rFonts w:ascii="FangSong" w:eastAsia="FangSong" w:hAnsi="FangSong" w:cs="FangSong"/>
          <w:spacing w:val="-3"/>
          <w:sz w:val="28"/>
          <w:szCs w:val="28"/>
        </w:rPr>
        <w:t>品</w:t>
      </w:r>
      <w:r>
        <w:rPr>
          <w:rFonts w:ascii="FangSong" w:eastAsia="FangSong" w:hAnsi="FangSong" w:cs="FangSong"/>
          <w:sz w:val="28"/>
          <w:szCs w:val="28"/>
        </w:rPr>
        <w:t>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类</w:t>
      </w:r>
      <w:r>
        <w:rPr>
          <w:rFonts w:ascii="FangSong" w:eastAsia="FangSong" w:hAnsi="FangSong" w:cs="FangSong"/>
          <w:spacing w:val="-3"/>
          <w:sz w:val="28"/>
          <w:szCs w:val="28"/>
        </w:rPr>
        <w:t>似原料项目的顺利进行产生负面影响。</w:t>
      </w:r>
    </w:p>
    <w:p>
      <w:pPr>
        <w:spacing w:before="2" w:line="411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政府政策和法规的变化可能对食品用类似原</w:t>
      </w:r>
      <w:r>
        <w:rPr>
          <w:rFonts w:ascii="FangSong" w:eastAsia="FangSong" w:hAnsi="FangSong" w:cs="FangSong"/>
          <w:spacing w:val="-2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项目产生重大影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。不符合环保、安全等法规要求可能导致食品用类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似原料项目的停</w:t>
      </w:r>
      <w:r>
        <w:rPr>
          <w:rFonts w:ascii="FangSong" w:eastAsia="FangSong" w:hAnsi="FangSong" w:cs="FangSong"/>
          <w:spacing w:val="-3"/>
          <w:sz w:val="28"/>
          <w:szCs w:val="28"/>
        </w:rPr>
        <w:t>工</w:t>
      </w:r>
      <w:r>
        <w:rPr>
          <w:rFonts w:ascii="FangSong" w:eastAsia="FangSong" w:hAnsi="FangSong" w:cs="FangSong"/>
          <w:spacing w:val="-2"/>
          <w:sz w:val="28"/>
          <w:szCs w:val="28"/>
        </w:rPr>
        <w:t>或罚款，增加经济成本。</w:t>
      </w:r>
    </w:p>
    <w:p>
      <w:pPr>
        <w:spacing w:before="2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资金紧张或融资渠道受限可能导致食品用类似原料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项目无法按计划进</w:t>
      </w:r>
      <w:r>
        <w:rPr>
          <w:rFonts w:ascii="FangSong" w:eastAsia="FangSong" w:hAnsi="FangSong" w:cs="FangSong"/>
          <w:spacing w:val="-3"/>
          <w:sz w:val="28"/>
          <w:szCs w:val="28"/>
        </w:rPr>
        <w:t>行。汇率波动和利率上升也可能对食品用类似原料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目的资金需求和成本造成不利影响。</w:t>
      </w:r>
    </w:p>
    <w:p>
      <w:pPr>
        <w:spacing w:before="1" w:line="415" w:lineRule="auto"/>
        <w:ind w:left="33" w:right="14" w:firstLine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地震、洪水等自然灾害可能对食品用类似原料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目区域产生负面影响，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增加恢复和修复的成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4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食品用类似原料项目风险对策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我们旨在最大程度地降低食品用类似原</w:t>
      </w:r>
      <w:r>
        <w:rPr>
          <w:rFonts w:ascii="FangSong" w:eastAsia="FangSong" w:hAnsi="FangSong" w:cs="FangSong"/>
          <w:spacing w:val="-7"/>
          <w:sz w:val="28"/>
          <w:szCs w:val="28"/>
        </w:rPr>
        <w:t>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确保食品用类似原料项目能够在复杂多变的环</w:t>
      </w:r>
    </w:p>
    <w:p>
      <w:pPr>
        <w:sectPr>
          <w:footerReference w:type="default" r:id="rId19"/>
          <w:pgSz w:w="11906" w:h="16839"/>
          <w:pgMar w:top="1431" w:right="1785" w:bottom="400" w:left="1785" w:header="0" w:footer="0" w:gutter="0"/>
          <w:pgNumType w:start="33"/>
          <w:cols w:space="708"/>
        </w:sectPr>
      </w:pPr>
    </w:p>
    <w:p>
      <w:pPr>
        <w:spacing w:before="183" w:line="219" w:lineRule="auto"/>
        <w:ind w:left="35"/>
        <w:rPr>
          <w:rFonts w:ascii="FangSong" w:eastAsia="FangSong" w:hAnsi="FangSong" w:cs="FangSong"/>
          <w:sz w:val="28"/>
          <w:szCs w:val="28"/>
        </w:rPr>
      </w:pPr>
      <w:bookmarkStart w:id="36" w:name="_bookmark37"/>
      <w:bookmarkEnd w:id="36"/>
      <w:r>
        <w:rPr>
          <w:rFonts w:ascii="FangSong" w:eastAsia="FangSong" w:hAnsi="FangSong" w:cs="FangSong"/>
          <w:spacing w:val="-9"/>
          <w:sz w:val="28"/>
          <w:szCs w:val="28"/>
        </w:rPr>
        <w:t>境</w:t>
      </w:r>
      <w:r>
        <w:rPr>
          <w:rFonts w:ascii="FangSong" w:eastAsia="FangSong" w:hAnsi="FangSong" w:cs="FangSong"/>
          <w:spacing w:val="-7"/>
          <w:sz w:val="28"/>
          <w:szCs w:val="28"/>
        </w:rPr>
        <w:t>中稳健前行。</w:t>
      </w:r>
    </w:p>
    <w:p>
      <w:pPr>
        <w:spacing w:before="292" w:line="411" w:lineRule="auto"/>
        <w:ind w:left="65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在食品用类似原料项目开始前进行充分的技</w:t>
      </w:r>
      <w:r>
        <w:rPr>
          <w:rFonts w:ascii="FangSong" w:eastAsia="FangSong" w:hAnsi="FangSong" w:cs="FangSong"/>
          <w:spacing w:val="-2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可行性研究，引入可</w:t>
      </w:r>
      <w:r>
        <w:rPr>
          <w:rFonts w:ascii="FangSong" w:eastAsia="FangSong" w:hAnsi="FangSong" w:cs="FangSong"/>
          <w:spacing w:val="-2"/>
          <w:sz w:val="28"/>
          <w:szCs w:val="28"/>
        </w:rPr>
        <w:t>靠的技术团队，建立技术风险监测和解决机制，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保食品用类似原料项目按计划进行。</w:t>
      </w:r>
    </w:p>
    <w:p>
      <w:pPr>
        <w:spacing w:before="2" w:line="411" w:lineRule="auto"/>
        <w:ind w:left="33" w:right="8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降低法规变更对食品用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类</w:t>
      </w:r>
      <w:r>
        <w:rPr>
          <w:rFonts w:ascii="FangSong" w:eastAsia="FangSong" w:hAnsi="FangSong" w:cs="FangSong"/>
          <w:spacing w:val="-5"/>
          <w:sz w:val="28"/>
          <w:szCs w:val="28"/>
        </w:rPr>
        <w:t>似</w:t>
      </w:r>
      <w:r>
        <w:rPr>
          <w:rFonts w:ascii="FangSong" w:eastAsia="FangSong" w:hAnsi="FangSong" w:cs="FangSong"/>
          <w:spacing w:val="-4"/>
          <w:sz w:val="28"/>
          <w:szCs w:val="28"/>
        </w:rPr>
        <w:t>原料项目的不利影响。</w:t>
      </w:r>
    </w:p>
    <w:p>
      <w:pPr>
        <w:spacing w:before="1" w:line="411" w:lineRule="auto"/>
        <w:ind w:left="31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before="2" w:line="414" w:lineRule="auto"/>
        <w:ind w:left="31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食品用类似原料项目因不可抗力而受到的损失，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确保食品用类似原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料项目的可持续运营。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八、财务管理与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19" w:lineRule="auto"/>
        <w:rPr>
          <w:rFonts w:ascii="Arial"/>
          <w:sz w:val="21"/>
        </w:rPr>
      </w:pPr>
    </w:p>
    <w:p>
      <w:pPr>
        <w:spacing w:before="91" w:line="414" w:lineRule="auto"/>
        <w:ind w:left="33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</w:p>
    <w:p>
      <w:pPr>
        <w:sectPr>
          <w:footerReference w:type="default" r:id="rId20"/>
          <w:pgSz w:w="11906" w:h="16839"/>
          <w:pgMar w:top="1431" w:right="1718" w:bottom="400" w:left="1785" w:header="0" w:footer="0" w:gutter="0"/>
          <w:pgNumType w:start="34"/>
          <w:cols w:space="708"/>
        </w:sectPr>
      </w:pPr>
    </w:p>
    <w:p>
      <w:pPr>
        <w:spacing w:before="183" w:line="223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37" w:name="_bookmark38"/>
      <w:bookmarkEnd w:id="37"/>
      <w:r>
        <w:rPr>
          <w:rFonts w:ascii="FangSong" w:eastAsia="FangSong" w:hAnsi="FangSong" w:cs="FangSong"/>
          <w:spacing w:val="-13"/>
          <w:sz w:val="28"/>
          <w:szCs w:val="28"/>
        </w:rPr>
        <w:t>争力。</w:t>
      </w:r>
    </w:p>
    <w:p>
      <w:pPr>
        <w:spacing w:before="288" w:line="411" w:lineRule="auto"/>
        <w:ind w:left="33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另</w:t>
      </w:r>
      <w:r>
        <w:rPr>
          <w:rFonts w:ascii="FangSong" w:eastAsia="FangSong" w:hAnsi="FangSong" w:cs="FangSong"/>
          <w:spacing w:val="-13"/>
          <w:sz w:val="28"/>
          <w:szCs w:val="28"/>
        </w:rPr>
        <w:t>一方面，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公司注重风险管理，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通过多元化投资组合和全面的风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险</w:t>
      </w:r>
      <w:r>
        <w:rPr>
          <w:rFonts w:ascii="FangSong" w:eastAsia="FangSong" w:hAnsi="FangSong" w:cs="FangSong"/>
          <w:spacing w:val="-8"/>
          <w:sz w:val="28"/>
          <w:szCs w:val="28"/>
        </w:rPr>
        <w:t>分析，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制定合理的风险管理战略。这项策略旨在确保公司在不同市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场</w:t>
      </w:r>
      <w:r>
        <w:rPr>
          <w:rFonts w:ascii="FangSong" w:eastAsia="FangSong" w:hAnsi="FangSong" w:cs="FangSong"/>
          <w:spacing w:val="-8"/>
          <w:sz w:val="28"/>
          <w:szCs w:val="28"/>
        </w:rPr>
        <w:t>和经济条件下都能够保持相对的财务稳定性，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降低可能的经济波动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对企</w:t>
      </w:r>
      <w:r>
        <w:rPr>
          <w:rFonts w:ascii="FangSong" w:eastAsia="FangSong" w:hAnsi="FangSong" w:cs="FangSong"/>
          <w:spacing w:val="-4"/>
          <w:sz w:val="28"/>
          <w:szCs w:val="28"/>
        </w:rPr>
        <w:t>业造成的不利影响。</w:t>
      </w:r>
    </w:p>
    <w:p>
      <w:pPr>
        <w:spacing w:line="413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此外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公司致力于科学合理的资产配置。通过确立合理的资产配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置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公司平衡短期和长期投资，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不断优化资产结构。这一策略旨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提高投资回报率，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实现财务战略的最大化，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确保公司的财务健康和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可</w:t>
      </w:r>
      <w:r>
        <w:rPr>
          <w:rFonts w:ascii="FangSong" w:eastAsia="FangSong" w:hAnsi="FangSong" w:cs="FangSong"/>
          <w:spacing w:val="-8"/>
          <w:sz w:val="28"/>
          <w:szCs w:val="28"/>
        </w:rPr>
        <w:t>持续发展。通过这些核心战略，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公司将在财务战略规划中取得长期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稳</w:t>
      </w:r>
      <w:r>
        <w:rPr>
          <w:rFonts w:ascii="FangSong" w:eastAsia="FangSong" w:hAnsi="FangSong" w:cs="FangSong"/>
          <w:spacing w:val="-7"/>
          <w:sz w:val="28"/>
          <w:szCs w:val="28"/>
        </w:rPr>
        <w:t>健的业绩。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二)、资金需求与筹措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资</w:t>
      </w:r>
      <w:r>
        <w:rPr>
          <w:rFonts w:ascii="FangSong" w:eastAsia="FangSong" w:hAnsi="FangSong" w:cs="FangSong"/>
          <w:spacing w:val="-9"/>
          <w:sz w:val="28"/>
          <w:szCs w:val="28"/>
        </w:rPr>
        <w:t>金需求与筹措是公司财务管理中至关重要的一环，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公司通过精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确的资金规划和灵</w:t>
      </w:r>
      <w:r>
        <w:rPr>
          <w:rFonts w:ascii="FangSong" w:eastAsia="FangSong" w:hAnsi="FangSong" w:cs="FangSong"/>
          <w:spacing w:val="-3"/>
          <w:sz w:val="28"/>
          <w:szCs w:val="28"/>
        </w:rPr>
        <w:t>活的筹措方式确保经营活动的顺利开展。下面是公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司在</w:t>
      </w:r>
      <w:r>
        <w:rPr>
          <w:rFonts w:ascii="FangSong" w:eastAsia="FangSong" w:hAnsi="FangSong" w:cs="FangSong"/>
          <w:spacing w:val="-6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金需求与筹措方面的核心措施：</w:t>
      </w:r>
    </w:p>
    <w:p>
      <w:pPr>
        <w:spacing w:before="2" w:line="411" w:lineRule="auto"/>
        <w:ind w:left="35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需</w:t>
      </w:r>
      <w:r>
        <w:rPr>
          <w:rFonts w:ascii="FangSong" w:eastAsia="FangSong" w:hAnsi="FangSong" w:cs="FangSong"/>
          <w:spacing w:val="-4"/>
          <w:sz w:val="28"/>
          <w:szCs w:val="28"/>
        </w:rPr>
        <w:t>求规划：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公司首先进行全面的资金需求规划，考虑到不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同阶段的经营活动、投资计划以及可能出现的突发情况。通过详细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财务分</w:t>
      </w:r>
      <w:r>
        <w:rPr>
          <w:rFonts w:ascii="FangSong" w:eastAsia="FangSong" w:hAnsi="FangSong" w:cs="FangSong"/>
          <w:spacing w:val="-3"/>
          <w:sz w:val="28"/>
          <w:szCs w:val="28"/>
        </w:rPr>
        <w:t>析</w:t>
      </w:r>
      <w:r>
        <w:rPr>
          <w:rFonts w:ascii="FangSong" w:eastAsia="FangSong" w:hAnsi="FangSong" w:cs="FangSong"/>
          <w:spacing w:val="-2"/>
          <w:sz w:val="28"/>
          <w:szCs w:val="28"/>
        </w:rPr>
        <w:t>，确定公司在未来一定时期内所需的资金总额。</w:t>
      </w:r>
    </w:p>
    <w:p>
      <w:pPr>
        <w:spacing w:before="4" w:line="414" w:lineRule="auto"/>
        <w:ind w:left="38" w:right="14" w:firstLine="5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部资金筹措：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公司优先考虑通过内部资金筹措来满足资金需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求</w:t>
      </w:r>
      <w:r>
        <w:rPr>
          <w:rFonts w:ascii="FangSong" w:eastAsia="FangSong" w:hAnsi="FangSong" w:cs="FangSong"/>
          <w:spacing w:val="-11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>这包括自有资金、盈利留存等方式。通过精细的财务管理，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公司内部资金的</w:t>
      </w:r>
      <w:r>
        <w:rPr>
          <w:rFonts w:ascii="FangSong" w:eastAsia="FangSong" w:hAnsi="FangSong" w:cs="FangSong"/>
          <w:spacing w:val="-3"/>
          <w:sz w:val="28"/>
          <w:szCs w:val="28"/>
        </w:rPr>
        <w:t>充</w:t>
      </w:r>
      <w:r>
        <w:rPr>
          <w:rFonts w:ascii="FangSong" w:eastAsia="FangSong" w:hAnsi="FangSong" w:cs="FangSong"/>
          <w:spacing w:val="-2"/>
          <w:sz w:val="28"/>
          <w:szCs w:val="28"/>
        </w:rPr>
        <w:t>分利用，提高自给自足的能力。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1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https://d.book118.com/805140042323011122</w:t>
        </w:r>
      </w:hyperlink>
    </w:p>
    <w:p/>
    <w:sectPr>
      <w:footerReference w:type="default" r:id="rId22"/>
      <w:pgSz w:w="11906" w:h="16839"/>
      <w:pgMar w:top="1431" w:right="1785" w:bottom="400" w:left="1785" w:header="0" w:footer="0" w:gutter="0"/>
      <w:pgNumType w:start="35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hyperlink" Target="https://d.book118.com/805140042323011122" TargetMode="External" /><Relationship Id="rId22" Type="http://schemas.openxmlformats.org/officeDocument/2006/relationships/footer" Target="footer18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2024-03-14T08:40:45Z</vt:filetime>
  </property>
  <property fmtid="{D5CDD505-2E9C-101B-9397-08002B2CF9AE}" pid="3" name="CRO">
    <vt:lpwstr>wqlLaW5nc29mdCBQREYgdG8gV1BTIDgw</vt:lpwstr>
  </property>
</Properties>
</file>