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高性能铁氧体一次料项目规划设计方案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4337" w:history="1">
        <w:r>
          <w:rPr>
            <w:rFonts w:ascii="仿宋" w:eastAsia="仿宋" w:hAnsi="仿宋" w:cs="仿宋" w:hint="eastAsia"/>
            <w:lang w:eastAsia="zh-CN"/>
          </w:rPr>
          <w:t>前言</w:t>
        </w:r>
        <w:r>
          <w:tab/>
        </w:r>
        <w:r>
          <w:fldChar w:fldCharType="begin"/>
        </w:r>
        <w:r>
          <w:instrText xml:space="preserve"> PAGEREF _Toc24337 \h </w:instrText>
        </w:r>
        <w:r>
          <w:fldChar w:fldCharType="separate"/>
        </w:r>
        <w:r>
          <w:t>3</w:t>
        </w:r>
        <w:r>
          <w:fldChar w:fldCharType="end"/>
        </w:r>
      </w:hyperlink>
    </w:p>
    <w:p>
      <w:pPr>
        <w:pStyle w:val="TOC1"/>
        <w:tabs>
          <w:tab w:val="right" w:leader="dot" w:pos="8306"/>
        </w:tabs>
      </w:pPr>
      <w:hyperlink w:anchor="_Toc18715" w:history="1">
        <w:r>
          <w:rPr>
            <w:rFonts w:ascii="仿宋" w:eastAsia="仿宋" w:hAnsi="仿宋" w:cs="仿宋" w:hint="eastAsia"/>
            <w:lang w:eastAsia="zh-CN"/>
          </w:rPr>
          <w:t>一、高性能铁氧体一次料项目危机管理</w:t>
        </w:r>
        <w:r>
          <w:tab/>
        </w:r>
        <w:r>
          <w:fldChar w:fldCharType="begin"/>
        </w:r>
        <w:r>
          <w:instrText xml:space="preserve"> PAGEREF _Toc18715 \h </w:instrText>
        </w:r>
        <w:r>
          <w:fldChar w:fldCharType="separate"/>
        </w:r>
        <w:r>
          <w:t>3</w:t>
        </w:r>
        <w:r>
          <w:fldChar w:fldCharType="end"/>
        </w:r>
      </w:hyperlink>
    </w:p>
    <w:p>
      <w:pPr>
        <w:pStyle w:val="TOC2"/>
        <w:tabs>
          <w:tab w:val="right" w:leader="dot" w:pos="8306"/>
        </w:tabs>
      </w:pPr>
      <w:hyperlink w:anchor="_Toc3809" w:history="1">
        <w:r>
          <w:rPr>
            <w:rFonts w:ascii="仿宋" w:eastAsia="仿宋" w:hAnsi="仿宋" w:cs="仿宋" w:hint="eastAsia"/>
            <w:lang w:eastAsia="zh-CN"/>
          </w:rPr>
          <w:t>(一)、危机预警与识别</w:t>
        </w:r>
        <w:r>
          <w:tab/>
        </w:r>
        <w:r>
          <w:fldChar w:fldCharType="begin"/>
        </w:r>
        <w:r>
          <w:instrText xml:space="preserve"> PAGEREF _Toc3809 \h </w:instrText>
        </w:r>
        <w:r>
          <w:fldChar w:fldCharType="separate"/>
        </w:r>
        <w:r>
          <w:t>3</w:t>
        </w:r>
        <w:r>
          <w:fldChar w:fldCharType="end"/>
        </w:r>
      </w:hyperlink>
    </w:p>
    <w:p>
      <w:pPr>
        <w:pStyle w:val="TOC2"/>
        <w:tabs>
          <w:tab w:val="right" w:leader="dot" w:pos="8306"/>
        </w:tabs>
      </w:pPr>
      <w:hyperlink w:anchor="_Toc25555" w:history="1">
        <w:r>
          <w:rPr>
            <w:rFonts w:ascii="仿宋" w:eastAsia="仿宋" w:hAnsi="仿宋" w:cs="仿宋" w:hint="eastAsia"/>
            <w:lang w:eastAsia="zh-CN"/>
          </w:rPr>
          <w:t>(二)、危机应对与恢复</w:t>
        </w:r>
        <w:r>
          <w:tab/>
        </w:r>
        <w:r>
          <w:fldChar w:fldCharType="begin"/>
        </w:r>
        <w:r>
          <w:instrText xml:space="preserve"> PAGEREF _Toc25555 \h </w:instrText>
        </w:r>
        <w:r>
          <w:fldChar w:fldCharType="separate"/>
        </w:r>
        <w:r>
          <w:t>4</w:t>
        </w:r>
        <w:r>
          <w:fldChar w:fldCharType="end"/>
        </w:r>
      </w:hyperlink>
    </w:p>
    <w:p>
      <w:pPr>
        <w:pStyle w:val="TOC1"/>
        <w:tabs>
          <w:tab w:val="right" w:leader="dot" w:pos="8306"/>
        </w:tabs>
      </w:pPr>
      <w:hyperlink w:anchor="_Toc7263" w:history="1">
        <w:r>
          <w:rPr>
            <w:rFonts w:ascii="仿宋" w:eastAsia="仿宋" w:hAnsi="仿宋" w:cs="仿宋" w:hint="eastAsia"/>
            <w:lang w:eastAsia="zh-CN"/>
          </w:rPr>
          <w:t>二、市场分析、调研</w:t>
        </w:r>
        <w:r>
          <w:tab/>
        </w:r>
        <w:r>
          <w:fldChar w:fldCharType="begin"/>
        </w:r>
        <w:r>
          <w:instrText xml:space="preserve"> PAGEREF _Toc7263 \h </w:instrText>
        </w:r>
        <w:r>
          <w:fldChar w:fldCharType="separate"/>
        </w:r>
        <w:r>
          <w:t>6</w:t>
        </w:r>
        <w:r>
          <w:fldChar w:fldCharType="end"/>
        </w:r>
      </w:hyperlink>
    </w:p>
    <w:p>
      <w:pPr>
        <w:pStyle w:val="TOC2"/>
        <w:tabs>
          <w:tab w:val="right" w:leader="dot" w:pos="8306"/>
        </w:tabs>
      </w:pPr>
      <w:hyperlink w:anchor="_Toc3590" w:history="1">
        <w:r>
          <w:rPr>
            <w:rFonts w:ascii="仿宋" w:eastAsia="仿宋" w:hAnsi="仿宋" w:cs="仿宋" w:hint="eastAsia"/>
            <w:lang w:eastAsia="zh-CN"/>
          </w:rPr>
          <w:t>(一)、高性能铁氧体一次料行业分析</w:t>
        </w:r>
        <w:r>
          <w:tab/>
        </w:r>
        <w:r>
          <w:fldChar w:fldCharType="begin"/>
        </w:r>
        <w:r>
          <w:instrText xml:space="preserve"> PAGEREF _Toc3590 \h </w:instrText>
        </w:r>
        <w:r>
          <w:fldChar w:fldCharType="separate"/>
        </w:r>
        <w:r>
          <w:t>6</w:t>
        </w:r>
        <w:r>
          <w:fldChar w:fldCharType="end"/>
        </w:r>
      </w:hyperlink>
    </w:p>
    <w:p>
      <w:pPr>
        <w:pStyle w:val="TOC2"/>
        <w:tabs>
          <w:tab w:val="right" w:leader="dot" w:pos="8306"/>
        </w:tabs>
      </w:pPr>
      <w:hyperlink w:anchor="_Toc25312" w:history="1">
        <w:r>
          <w:rPr>
            <w:rFonts w:ascii="仿宋" w:eastAsia="仿宋" w:hAnsi="仿宋" w:cs="仿宋" w:hint="eastAsia"/>
            <w:lang w:eastAsia="zh-CN"/>
          </w:rPr>
          <w:t>(二)、高性能铁氧体一次料市场分析预测</w:t>
        </w:r>
        <w:r>
          <w:tab/>
        </w:r>
        <w:r>
          <w:fldChar w:fldCharType="begin"/>
        </w:r>
        <w:r>
          <w:instrText xml:space="preserve"> PAGEREF _Toc25312 \h </w:instrText>
        </w:r>
        <w:r>
          <w:fldChar w:fldCharType="separate"/>
        </w:r>
        <w:r>
          <w:t>6</w:t>
        </w:r>
        <w:r>
          <w:fldChar w:fldCharType="end"/>
        </w:r>
      </w:hyperlink>
    </w:p>
    <w:p>
      <w:pPr>
        <w:pStyle w:val="TOC1"/>
        <w:tabs>
          <w:tab w:val="right" w:leader="dot" w:pos="8306"/>
        </w:tabs>
      </w:pPr>
      <w:hyperlink w:anchor="_Toc13270" w:history="1">
        <w:r>
          <w:rPr>
            <w:rFonts w:ascii="仿宋" w:eastAsia="仿宋" w:hAnsi="仿宋" w:cs="仿宋" w:hint="eastAsia"/>
            <w:lang w:eastAsia="zh-CN"/>
          </w:rPr>
          <w:t>三、工艺说明</w:t>
        </w:r>
        <w:r>
          <w:tab/>
        </w:r>
        <w:r>
          <w:fldChar w:fldCharType="begin"/>
        </w:r>
        <w:r>
          <w:instrText xml:space="preserve"> PAGEREF _Toc13270 \h </w:instrText>
        </w:r>
        <w:r>
          <w:fldChar w:fldCharType="separate"/>
        </w:r>
        <w:r>
          <w:t>7</w:t>
        </w:r>
        <w:r>
          <w:fldChar w:fldCharType="end"/>
        </w:r>
      </w:hyperlink>
    </w:p>
    <w:p>
      <w:pPr>
        <w:pStyle w:val="TOC2"/>
        <w:tabs>
          <w:tab w:val="right" w:leader="dot" w:pos="8306"/>
        </w:tabs>
      </w:pPr>
      <w:hyperlink w:anchor="_Toc11158" w:history="1">
        <w:r>
          <w:rPr>
            <w:rFonts w:ascii="仿宋" w:eastAsia="仿宋" w:hAnsi="仿宋" w:cs="仿宋" w:hint="eastAsia"/>
            <w:lang w:eastAsia="zh-CN"/>
          </w:rPr>
          <w:t>(一)、技术管理特点</w:t>
        </w:r>
        <w:r>
          <w:tab/>
        </w:r>
        <w:r>
          <w:fldChar w:fldCharType="begin"/>
        </w:r>
        <w:r>
          <w:instrText xml:space="preserve"> PAGEREF _Toc11158 \h </w:instrText>
        </w:r>
        <w:r>
          <w:fldChar w:fldCharType="separate"/>
        </w:r>
        <w:r>
          <w:t>7</w:t>
        </w:r>
        <w:r>
          <w:fldChar w:fldCharType="end"/>
        </w:r>
      </w:hyperlink>
    </w:p>
    <w:p>
      <w:pPr>
        <w:pStyle w:val="TOC2"/>
        <w:tabs>
          <w:tab w:val="right" w:leader="dot" w:pos="8306"/>
        </w:tabs>
      </w:pPr>
      <w:hyperlink w:anchor="_Toc14559" w:history="1">
        <w:r>
          <w:rPr>
            <w:rFonts w:ascii="仿宋" w:eastAsia="仿宋" w:hAnsi="仿宋" w:cs="仿宋" w:hint="eastAsia"/>
            <w:lang w:eastAsia="zh-CN"/>
          </w:rPr>
          <w:t>(二)、高性能铁氧体一次料项目工艺技术设计方案</w:t>
        </w:r>
        <w:r>
          <w:tab/>
        </w:r>
        <w:r>
          <w:fldChar w:fldCharType="begin"/>
        </w:r>
        <w:r>
          <w:instrText xml:space="preserve"> PAGEREF _Toc14559 \h </w:instrText>
        </w:r>
        <w:r>
          <w:fldChar w:fldCharType="separate"/>
        </w:r>
        <w:r>
          <w:t>8</w:t>
        </w:r>
        <w:r>
          <w:fldChar w:fldCharType="end"/>
        </w:r>
      </w:hyperlink>
    </w:p>
    <w:p>
      <w:pPr>
        <w:pStyle w:val="TOC2"/>
        <w:tabs>
          <w:tab w:val="right" w:leader="dot" w:pos="8306"/>
        </w:tabs>
      </w:pPr>
      <w:hyperlink w:anchor="_Toc22040" w:history="1">
        <w:r>
          <w:rPr>
            <w:rFonts w:ascii="仿宋" w:eastAsia="仿宋" w:hAnsi="仿宋" w:cs="仿宋" w:hint="eastAsia"/>
            <w:lang w:eastAsia="zh-CN"/>
          </w:rPr>
          <w:t>(三)、设备选型方案</w:t>
        </w:r>
        <w:r>
          <w:tab/>
        </w:r>
        <w:r>
          <w:fldChar w:fldCharType="begin"/>
        </w:r>
        <w:r>
          <w:instrText xml:space="preserve"> PAGEREF _Toc22040 \h </w:instrText>
        </w:r>
        <w:r>
          <w:fldChar w:fldCharType="separate"/>
        </w:r>
        <w:r>
          <w:t>10</w:t>
        </w:r>
        <w:r>
          <w:fldChar w:fldCharType="end"/>
        </w:r>
      </w:hyperlink>
    </w:p>
    <w:p>
      <w:pPr>
        <w:pStyle w:val="TOC1"/>
        <w:tabs>
          <w:tab w:val="right" w:leader="dot" w:pos="8306"/>
        </w:tabs>
      </w:pPr>
      <w:hyperlink w:anchor="_Toc1822" w:history="1">
        <w:r>
          <w:rPr>
            <w:rFonts w:ascii="仿宋" w:eastAsia="仿宋" w:hAnsi="仿宋" w:cs="仿宋" w:hint="eastAsia"/>
            <w:lang w:eastAsia="zh-CN"/>
          </w:rPr>
          <w:t>四、高性能铁氧体一次料项目选址可行性分析</w:t>
        </w:r>
        <w:r>
          <w:tab/>
        </w:r>
        <w:r>
          <w:fldChar w:fldCharType="begin"/>
        </w:r>
        <w:r>
          <w:instrText xml:space="preserve"> PAGEREF _Toc1822 \h </w:instrText>
        </w:r>
        <w:r>
          <w:fldChar w:fldCharType="separate"/>
        </w:r>
        <w:r>
          <w:t>11</w:t>
        </w:r>
        <w:r>
          <w:fldChar w:fldCharType="end"/>
        </w:r>
      </w:hyperlink>
    </w:p>
    <w:p>
      <w:pPr>
        <w:pStyle w:val="TOC2"/>
        <w:tabs>
          <w:tab w:val="right" w:leader="dot" w:pos="8306"/>
        </w:tabs>
      </w:pPr>
      <w:hyperlink w:anchor="_Toc4652" w:history="1">
        <w:r>
          <w:rPr>
            <w:rFonts w:ascii="仿宋" w:eastAsia="仿宋" w:hAnsi="仿宋" w:cs="仿宋" w:hint="eastAsia"/>
            <w:lang w:eastAsia="zh-CN"/>
          </w:rPr>
          <w:t>(一)、高性能铁氧体一次料项目选址</w:t>
        </w:r>
        <w:r>
          <w:tab/>
        </w:r>
        <w:r>
          <w:fldChar w:fldCharType="begin"/>
        </w:r>
        <w:r>
          <w:instrText xml:space="preserve"> PAGEREF _Toc4652 \h </w:instrText>
        </w:r>
        <w:r>
          <w:fldChar w:fldCharType="separate"/>
        </w:r>
        <w:r>
          <w:t>11</w:t>
        </w:r>
        <w:r>
          <w:fldChar w:fldCharType="end"/>
        </w:r>
      </w:hyperlink>
    </w:p>
    <w:p>
      <w:pPr>
        <w:pStyle w:val="TOC2"/>
        <w:tabs>
          <w:tab w:val="right" w:leader="dot" w:pos="8306"/>
        </w:tabs>
      </w:pPr>
      <w:hyperlink w:anchor="_Toc11794" w:history="1">
        <w:r>
          <w:rPr>
            <w:rFonts w:ascii="仿宋" w:eastAsia="仿宋" w:hAnsi="仿宋" w:cs="仿宋" w:hint="eastAsia"/>
            <w:lang w:eastAsia="zh-CN"/>
          </w:rPr>
          <w:t>(二)、用地控制指标</w:t>
        </w:r>
        <w:r>
          <w:tab/>
        </w:r>
        <w:r>
          <w:fldChar w:fldCharType="begin"/>
        </w:r>
        <w:r>
          <w:instrText xml:space="preserve"> PAGEREF _Toc11794 \h </w:instrText>
        </w:r>
        <w:r>
          <w:fldChar w:fldCharType="separate"/>
        </w:r>
        <w:r>
          <w:t>11</w:t>
        </w:r>
        <w:r>
          <w:fldChar w:fldCharType="end"/>
        </w:r>
      </w:hyperlink>
    </w:p>
    <w:p>
      <w:pPr>
        <w:pStyle w:val="TOC2"/>
        <w:tabs>
          <w:tab w:val="right" w:leader="dot" w:pos="8306"/>
        </w:tabs>
      </w:pPr>
      <w:hyperlink w:anchor="_Toc7385" w:history="1">
        <w:r>
          <w:rPr>
            <w:rFonts w:ascii="仿宋" w:eastAsia="仿宋" w:hAnsi="仿宋" w:cs="仿宋" w:hint="eastAsia"/>
            <w:lang w:eastAsia="zh-CN"/>
          </w:rPr>
          <w:t>(三)、节约用地措施</w:t>
        </w:r>
        <w:r>
          <w:tab/>
        </w:r>
        <w:r>
          <w:fldChar w:fldCharType="begin"/>
        </w:r>
        <w:r>
          <w:instrText xml:space="preserve"> PAGEREF _Toc7385 \h </w:instrText>
        </w:r>
        <w:r>
          <w:fldChar w:fldCharType="separate"/>
        </w:r>
        <w:r>
          <w:t>13</w:t>
        </w:r>
        <w:r>
          <w:fldChar w:fldCharType="end"/>
        </w:r>
      </w:hyperlink>
    </w:p>
    <w:p>
      <w:pPr>
        <w:pStyle w:val="TOC2"/>
        <w:tabs>
          <w:tab w:val="right" w:leader="dot" w:pos="8306"/>
        </w:tabs>
      </w:pPr>
      <w:hyperlink w:anchor="_Toc23566" w:history="1">
        <w:r>
          <w:rPr>
            <w:rFonts w:ascii="仿宋" w:eastAsia="仿宋" w:hAnsi="仿宋" w:cs="仿宋" w:hint="eastAsia"/>
            <w:lang w:eastAsia="zh-CN"/>
          </w:rPr>
          <w:t>(四)、总图布置方案</w:t>
        </w:r>
        <w:r>
          <w:tab/>
        </w:r>
        <w:r>
          <w:fldChar w:fldCharType="begin"/>
        </w:r>
        <w:r>
          <w:instrText xml:space="preserve"> PAGEREF _Toc23566 \h </w:instrText>
        </w:r>
        <w:r>
          <w:fldChar w:fldCharType="separate"/>
        </w:r>
        <w:r>
          <w:t>15</w:t>
        </w:r>
        <w:r>
          <w:fldChar w:fldCharType="end"/>
        </w:r>
      </w:hyperlink>
    </w:p>
    <w:p>
      <w:pPr>
        <w:pStyle w:val="TOC2"/>
        <w:tabs>
          <w:tab w:val="right" w:leader="dot" w:pos="8306"/>
        </w:tabs>
      </w:pPr>
      <w:hyperlink w:anchor="_Toc17158" w:history="1">
        <w:r>
          <w:rPr>
            <w:rFonts w:ascii="仿宋" w:eastAsia="仿宋" w:hAnsi="仿宋" w:cs="仿宋" w:hint="eastAsia"/>
            <w:lang w:eastAsia="zh-CN"/>
          </w:rPr>
          <w:t>(五)、选址综合评价</w:t>
        </w:r>
        <w:r>
          <w:tab/>
        </w:r>
        <w:r>
          <w:fldChar w:fldCharType="begin"/>
        </w:r>
        <w:r>
          <w:instrText xml:space="preserve"> PAGEREF _Toc17158 \h </w:instrText>
        </w:r>
        <w:r>
          <w:fldChar w:fldCharType="separate"/>
        </w:r>
        <w:r>
          <w:t>16</w:t>
        </w:r>
        <w:r>
          <w:fldChar w:fldCharType="end"/>
        </w:r>
      </w:hyperlink>
    </w:p>
    <w:p>
      <w:pPr>
        <w:pStyle w:val="TOC1"/>
        <w:tabs>
          <w:tab w:val="right" w:leader="dot" w:pos="8306"/>
        </w:tabs>
      </w:pPr>
      <w:hyperlink w:anchor="_Toc2758" w:history="1">
        <w:r>
          <w:rPr>
            <w:rFonts w:ascii="仿宋" w:eastAsia="仿宋" w:hAnsi="仿宋" w:cs="仿宋" w:hint="eastAsia"/>
            <w:lang w:eastAsia="zh-CN"/>
          </w:rPr>
          <w:t>五、高性能铁氧体一次料项目绩效评估</w:t>
        </w:r>
        <w:r>
          <w:tab/>
        </w:r>
        <w:r>
          <w:fldChar w:fldCharType="begin"/>
        </w:r>
        <w:r>
          <w:instrText xml:space="preserve"> PAGEREF _Toc2758 \h </w:instrText>
        </w:r>
        <w:r>
          <w:fldChar w:fldCharType="separate"/>
        </w:r>
        <w:r>
          <w:t>17</w:t>
        </w:r>
        <w:r>
          <w:fldChar w:fldCharType="end"/>
        </w:r>
      </w:hyperlink>
    </w:p>
    <w:p>
      <w:pPr>
        <w:pStyle w:val="TOC2"/>
        <w:tabs>
          <w:tab w:val="right" w:leader="dot" w:pos="8306"/>
        </w:tabs>
      </w:pPr>
      <w:hyperlink w:anchor="_Toc15934" w:history="1">
        <w:r>
          <w:rPr>
            <w:rFonts w:ascii="仿宋" w:eastAsia="仿宋" w:hAnsi="仿宋" w:cs="仿宋" w:hint="eastAsia"/>
            <w:lang w:eastAsia="zh-CN"/>
          </w:rPr>
          <w:t>(一)、绩效评估指标</w:t>
        </w:r>
        <w:r>
          <w:tab/>
        </w:r>
        <w:r>
          <w:fldChar w:fldCharType="begin"/>
        </w:r>
        <w:r>
          <w:instrText xml:space="preserve"> PAGEREF _Toc15934 \h </w:instrText>
        </w:r>
        <w:r>
          <w:fldChar w:fldCharType="separate"/>
        </w:r>
        <w:r>
          <w:t>17</w:t>
        </w:r>
        <w:r>
          <w:fldChar w:fldCharType="end"/>
        </w:r>
      </w:hyperlink>
    </w:p>
    <w:p>
      <w:pPr>
        <w:pStyle w:val="TOC2"/>
        <w:tabs>
          <w:tab w:val="right" w:leader="dot" w:pos="8306"/>
        </w:tabs>
      </w:pPr>
      <w:hyperlink w:anchor="_Toc16800" w:history="1">
        <w:r>
          <w:rPr>
            <w:rFonts w:ascii="仿宋" w:eastAsia="仿宋" w:hAnsi="仿宋" w:cs="仿宋" w:hint="eastAsia"/>
            <w:lang w:eastAsia="zh-CN"/>
          </w:rPr>
          <w:t>(二)、绩效评估方法</w:t>
        </w:r>
        <w:r>
          <w:tab/>
        </w:r>
        <w:r>
          <w:fldChar w:fldCharType="begin"/>
        </w:r>
        <w:r>
          <w:instrText xml:space="preserve"> PAGEREF _Toc16800 \h </w:instrText>
        </w:r>
        <w:r>
          <w:fldChar w:fldCharType="separate"/>
        </w:r>
        <w:r>
          <w:t>18</w:t>
        </w:r>
        <w:r>
          <w:fldChar w:fldCharType="end"/>
        </w:r>
      </w:hyperlink>
    </w:p>
    <w:p>
      <w:pPr>
        <w:pStyle w:val="TOC2"/>
        <w:tabs>
          <w:tab w:val="right" w:leader="dot" w:pos="8306"/>
        </w:tabs>
      </w:pPr>
      <w:hyperlink w:anchor="_Toc25670" w:history="1">
        <w:r>
          <w:rPr>
            <w:rFonts w:ascii="仿宋" w:eastAsia="仿宋" w:hAnsi="仿宋" w:cs="仿宋" w:hint="eastAsia"/>
            <w:lang w:eastAsia="zh-CN"/>
          </w:rPr>
          <w:t>(三)、绩效评估周期</w:t>
        </w:r>
        <w:r>
          <w:tab/>
        </w:r>
        <w:r>
          <w:fldChar w:fldCharType="begin"/>
        </w:r>
        <w:r>
          <w:instrText xml:space="preserve"> PAGEREF _Toc25670 \h </w:instrText>
        </w:r>
        <w:r>
          <w:fldChar w:fldCharType="separate"/>
        </w:r>
        <w:r>
          <w:t>19</w:t>
        </w:r>
        <w:r>
          <w:fldChar w:fldCharType="end"/>
        </w:r>
      </w:hyperlink>
    </w:p>
    <w:p>
      <w:pPr>
        <w:pStyle w:val="TOC1"/>
        <w:tabs>
          <w:tab w:val="right" w:leader="dot" w:pos="8306"/>
        </w:tabs>
      </w:pPr>
      <w:hyperlink w:anchor="_Toc9054" w:history="1">
        <w:r>
          <w:rPr>
            <w:rFonts w:ascii="仿宋" w:eastAsia="仿宋" w:hAnsi="仿宋" w:cs="仿宋" w:hint="eastAsia"/>
            <w:lang w:eastAsia="zh-CN"/>
          </w:rPr>
          <w:t>六、产品规划分析</w:t>
        </w:r>
        <w:r>
          <w:tab/>
        </w:r>
        <w:r>
          <w:fldChar w:fldCharType="begin"/>
        </w:r>
        <w:r>
          <w:instrText xml:space="preserve"> PAGEREF _Toc9054 \h </w:instrText>
        </w:r>
        <w:r>
          <w:fldChar w:fldCharType="separate"/>
        </w:r>
        <w:r>
          <w:t>20</w:t>
        </w:r>
        <w:r>
          <w:fldChar w:fldCharType="end"/>
        </w:r>
      </w:hyperlink>
    </w:p>
    <w:p>
      <w:pPr>
        <w:pStyle w:val="TOC2"/>
        <w:tabs>
          <w:tab w:val="right" w:leader="dot" w:pos="8306"/>
        </w:tabs>
      </w:pPr>
      <w:hyperlink w:anchor="_Toc10408" w:history="1">
        <w:r>
          <w:rPr>
            <w:rFonts w:ascii="仿宋" w:eastAsia="仿宋" w:hAnsi="仿宋" w:cs="仿宋" w:hint="eastAsia"/>
            <w:lang w:eastAsia="zh-CN"/>
          </w:rPr>
          <w:t>(一)、产品规划</w:t>
        </w:r>
        <w:r>
          <w:tab/>
        </w:r>
        <w:r>
          <w:fldChar w:fldCharType="begin"/>
        </w:r>
        <w:r>
          <w:instrText xml:space="preserve"> PAGEREF _Toc10408 \h </w:instrText>
        </w:r>
        <w:r>
          <w:fldChar w:fldCharType="separate"/>
        </w:r>
        <w:r>
          <w:t>20</w:t>
        </w:r>
        <w:r>
          <w:fldChar w:fldCharType="end"/>
        </w:r>
      </w:hyperlink>
    </w:p>
    <w:p>
      <w:pPr>
        <w:pStyle w:val="TOC2"/>
        <w:tabs>
          <w:tab w:val="right" w:leader="dot" w:pos="8306"/>
        </w:tabs>
      </w:pPr>
      <w:hyperlink w:anchor="_Toc27144" w:history="1">
        <w:r>
          <w:rPr>
            <w:rFonts w:ascii="仿宋" w:eastAsia="仿宋" w:hAnsi="仿宋" w:cs="仿宋" w:hint="eastAsia"/>
            <w:lang w:eastAsia="zh-CN"/>
          </w:rPr>
          <w:t>(二)、建设规模</w:t>
        </w:r>
        <w:r>
          <w:tab/>
        </w:r>
        <w:r>
          <w:fldChar w:fldCharType="begin"/>
        </w:r>
        <w:r>
          <w:instrText xml:space="preserve"> PAGEREF _Toc27144 \h </w:instrText>
        </w:r>
        <w:r>
          <w:fldChar w:fldCharType="separate"/>
        </w:r>
        <w:r>
          <w:t>21</w:t>
        </w:r>
        <w:r>
          <w:fldChar w:fldCharType="end"/>
        </w:r>
      </w:hyperlink>
    </w:p>
    <w:p>
      <w:pPr>
        <w:pStyle w:val="TOC1"/>
        <w:tabs>
          <w:tab w:val="right" w:leader="dot" w:pos="8306"/>
        </w:tabs>
      </w:pPr>
      <w:hyperlink w:anchor="_Toc10085" w:history="1">
        <w:r>
          <w:rPr>
            <w:rFonts w:ascii="仿宋" w:eastAsia="仿宋" w:hAnsi="仿宋" w:cs="仿宋" w:hint="eastAsia"/>
            <w:lang w:eastAsia="zh-CN"/>
          </w:rPr>
          <w:t>七、高性能铁氧体一次料项目技术管理</w:t>
        </w:r>
        <w:r>
          <w:tab/>
        </w:r>
        <w:r>
          <w:fldChar w:fldCharType="begin"/>
        </w:r>
        <w:r>
          <w:instrText xml:space="preserve"> PAGEREF _Toc10085 \h </w:instrText>
        </w:r>
        <w:r>
          <w:fldChar w:fldCharType="separate"/>
        </w:r>
        <w:r>
          <w:t>22</w:t>
        </w:r>
        <w:r>
          <w:fldChar w:fldCharType="end"/>
        </w:r>
      </w:hyperlink>
    </w:p>
    <w:p>
      <w:pPr>
        <w:pStyle w:val="TOC2"/>
        <w:tabs>
          <w:tab w:val="right" w:leader="dot" w:pos="8306"/>
        </w:tabs>
      </w:pPr>
      <w:hyperlink w:anchor="_Toc19270" w:history="1">
        <w:r>
          <w:rPr>
            <w:rFonts w:ascii="仿宋" w:eastAsia="仿宋" w:hAnsi="仿宋" w:cs="仿宋" w:hint="eastAsia"/>
            <w:lang w:eastAsia="zh-CN"/>
          </w:rPr>
          <w:t>(一)、技术方案选用方向</w:t>
        </w:r>
        <w:r>
          <w:tab/>
        </w:r>
        <w:r>
          <w:fldChar w:fldCharType="begin"/>
        </w:r>
        <w:r>
          <w:instrText xml:space="preserve"> PAGEREF _Toc19270 \h </w:instrText>
        </w:r>
        <w:r>
          <w:fldChar w:fldCharType="separate"/>
        </w:r>
        <w:r>
          <w:t>22</w:t>
        </w:r>
        <w:r>
          <w:fldChar w:fldCharType="end"/>
        </w:r>
      </w:hyperlink>
    </w:p>
    <w:p>
      <w:pPr>
        <w:pStyle w:val="TOC2"/>
        <w:tabs>
          <w:tab w:val="right" w:leader="dot" w:pos="8306"/>
        </w:tabs>
      </w:pPr>
      <w:hyperlink w:anchor="_Toc27242" w:history="1">
        <w:r>
          <w:rPr>
            <w:rFonts w:ascii="仿宋" w:eastAsia="仿宋" w:hAnsi="仿宋" w:cs="仿宋" w:hint="eastAsia"/>
            <w:lang w:eastAsia="zh-CN"/>
          </w:rPr>
          <w:t>(二)、工艺技术方案选用原则</w:t>
        </w:r>
        <w:r>
          <w:tab/>
        </w:r>
        <w:r>
          <w:fldChar w:fldCharType="begin"/>
        </w:r>
        <w:r>
          <w:instrText xml:space="preserve"> PAGEREF _Toc27242 \h </w:instrText>
        </w:r>
        <w:r>
          <w:fldChar w:fldCharType="separate"/>
        </w:r>
        <w:r>
          <w:t>24</w:t>
        </w:r>
        <w:r>
          <w:fldChar w:fldCharType="end"/>
        </w:r>
      </w:hyperlink>
    </w:p>
    <w:p>
      <w:pPr>
        <w:pStyle w:val="TOC2"/>
        <w:tabs>
          <w:tab w:val="right" w:leader="dot" w:pos="8306"/>
        </w:tabs>
      </w:pPr>
      <w:hyperlink w:anchor="_Toc20628" w:history="1">
        <w:r>
          <w:rPr>
            <w:rFonts w:ascii="仿宋" w:eastAsia="仿宋" w:hAnsi="仿宋" w:cs="仿宋" w:hint="eastAsia"/>
            <w:lang w:eastAsia="zh-CN"/>
          </w:rPr>
          <w:t>(三)、工艺技术方案要求</w:t>
        </w:r>
        <w:r>
          <w:tab/>
        </w:r>
        <w:r>
          <w:fldChar w:fldCharType="begin"/>
        </w:r>
        <w:r>
          <w:instrText xml:space="preserve"> PAGEREF _Toc20628 \h </w:instrText>
        </w:r>
        <w:r>
          <w:fldChar w:fldCharType="separate"/>
        </w:r>
        <w:r>
          <w:t>26</w:t>
        </w:r>
        <w:r>
          <w:fldChar w:fldCharType="end"/>
        </w:r>
      </w:hyperlink>
    </w:p>
    <w:p>
      <w:pPr>
        <w:pStyle w:val="TOC1"/>
        <w:tabs>
          <w:tab w:val="right" w:leader="dot" w:pos="8306"/>
        </w:tabs>
      </w:pPr>
      <w:hyperlink w:anchor="_Toc26497" w:history="1">
        <w:r>
          <w:rPr>
            <w:rFonts w:ascii="仿宋" w:eastAsia="仿宋" w:hAnsi="仿宋" w:cs="仿宋" w:hint="eastAsia"/>
            <w:lang w:eastAsia="zh-CN"/>
          </w:rPr>
          <w:t>八、高性能铁氧体一次料项目环境影响分析</w:t>
        </w:r>
        <w:r>
          <w:tab/>
        </w:r>
        <w:r>
          <w:fldChar w:fldCharType="begin"/>
        </w:r>
        <w:r>
          <w:instrText xml:space="preserve"> PAGEREF _Toc26497 \h </w:instrText>
        </w:r>
        <w:r>
          <w:fldChar w:fldCharType="separate"/>
        </w:r>
        <w:r>
          <w:t>29</w:t>
        </w:r>
        <w:r>
          <w:fldChar w:fldCharType="end"/>
        </w:r>
      </w:hyperlink>
    </w:p>
    <w:p>
      <w:pPr>
        <w:pStyle w:val="TOC2"/>
        <w:tabs>
          <w:tab w:val="right" w:leader="dot" w:pos="8306"/>
        </w:tabs>
      </w:pPr>
      <w:hyperlink w:anchor="_Toc18924" w:history="1">
        <w:r>
          <w:rPr>
            <w:rFonts w:ascii="仿宋" w:eastAsia="仿宋" w:hAnsi="仿宋" w:cs="仿宋" w:hint="eastAsia"/>
            <w:lang w:eastAsia="zh-CN"/>
          </w:rPr>
          <w:t>(一)、建设区域环境质量现状</w:t>
        </w:r>
        <w:r>
          <w:tab/>
        </w:r>
        <w:r>
          <w:fldChar w:fldCharType="begin"/>
        </w:r>
        <w:r>
          <w:instrText xml:space="preserve"> PAGEREF _Toc18924 \h </w:instrText>
        </w:r>
        <w:r>
          <w:fldChar w:fldCharType="separate"/>
        </w:r>
        <w:r>
          <w:t>29</w:t>
        </w:r>
        <w:r>
          <w:fldChar w:fldCharType="end"/>
        </w:r>
      </w:hyperlink>
    </w:p>
    <w:p>
      <w:pPr>
        <w:pStyle w:val="TOC2"/>
        <w:tabs>
          <w:tab w:val="right" w:leader="dot" w:pos="8306"/>
        </w:tabs>
      </w:pPr>
      <w:hyperlink w:anchor="_Toc25286" w:history="1">
        <w:r>
          <w:rPr>
            <w:rFonts w:ascii="仿宋" w:eastAsia="仿宋" w:hAnsi="仿宋" w:cs="仿宋" w:hint="eastAsia"/>
            <w:lang w:eastAsia="zh-CN"/>
          </w:rPr>
          <w:t>(二)、建设期环境保护</w:t>
        </w:r>
        <w:r>
          <w:tab/>
        </w:r>
        <w:r>
          <w:fldChar w:fldCharType="begin"/>
        </w:r>
        <w:r>
          <w:instrText xml:space="preserve"> PAGEREF _Toc25286 \h </w:instrText>
        </w:r>
        <w:r>
          <w:fldChar w:fldCharType="separate"/>
        </w:r>
        <w:r>
          <w:t>30</w:t>
        </w:r>
        <w:r>
          <w:fldChar w:fldCharType="end"/>
        </w:r>
      </w:hyperlink>
    </w:p>
    <w:p>
      <w:pPr>
        <w:pStyle w:val="TOC2"/>
        <w:tabs>
          <w:tab w:val="right" w:leader="dot" w:pos="8306"/>
        </w:tabs>
      </w:pPr>
      <w:hyperlink w:anchor="_Toc30423" w:history="1">
        <w:r>
          <w:rPr>
            <w:rFonts w:ascii="仿宋" w:eastAsia="仿宋" w:hAnsi="仿宋" w:cs="仿宋" w:hint="eastAsia"/>
            <w:lang w:eastAsia="zh-CN"/>
          </w:rPr>
          <w:t>(三)、运营期环境保护</w:t>
        </w:r>
        <w:r>
          <w:tab/>
        </w:r>
        <w:r>
          <w:fldChar w:fldCharType="begin"/>
        </w:r>
        <w:r>
          <w:instrText xml:space="preserve"> PAGEREF _Toc30423 \h </w:instrText>
        </w:r>
        <w:r>
          <w:fldChar w:fldCharType="separate"/>
        </w:r>
        <w:r>
          <w:t>32</w:t>
        </w:r>
        <w:r>
          <w:fldChar w:fldCharType="end"/>
        </w:r>
      </w:hyperlink>
    </w:p>
    <w:p>
      <w:pPr>
        <w:pStyle w:val="TOC2"/>
        <w:tabs>
          <w:tab w:val="right" w:leader="dot" w:pos="8306"/>
        </w:tabs>
      </w:pPr>
      <w:hyperlink w:anchor="_Toc504" w:history="1">
        <w:r>
          <w:rPr>
            <w:rFonts w:ascii="仿宋" w:eastAsia="仿宋" w:hAnsi="仿宋" w:cs="仿宋" w:hint="eastAsia"/>
            <w:lang w:eastAsia="zh-CN"/>
          </w:rPr>
          <w:t>(四)、高性能铁氧体一次料项目建设对区域经济的影响</w:t>
        </w:r>
        <w:r>
          <w:tab/>
        </w:r>
        <w:r>
          <w:fldChar w:fldCharType="begin"/>
        </w:r>
        <w:r>
          <w:instrText xml:space="preserve"> PAGEREF _Toc504 \h </w:instrText>
        </w:r>
        <w:r>
          <w:fldChar w:fldCharType="separate"/>
        </w:r>
        <w:r>
          <w:t>33</w:t>
        </w:r>
        <w:r>
          <w:fldChar w:fldCharType="end"/>
        </w:r>
      </w:hyperlink>
    </w:p>
    <w:p>
      <w:pPr>
        <w:pStyle w:val="TOC2"/>
        <w:tabs>
          <w:tab w:val="right" w:leader="dot" w:pos="8306"/>
        </w:tabs>
      </w:pPr>
      <w:hyperlink w:anchor="_Toc8460" w:history="1">
        <w:r>
          <w:rPr>
            <w:rFonts w:ascii="仿宋" w:eastAsia="仿宋" w:hAnsi="仿宋" w:cs="仿宋" w:hint="eastAsia"/>
            <w:lang w:eastAsia="zh-CN"/>
          </w:rPr>
          <w:t>(五)、废弃物处理</w:t>
        </w:r>
        <w:r>
          <w:tab/>
        </w:r>
        <w:r>
          <w:fldChar w:fldCharType="begin"/>
        </w:r>
        <w:r>
          <w:instrText xml:space="preserve"> PAGEREF _Toc8460 \h </w:instrText>
        </w:r>
        <w:r>
          <w:fldChar w:fldCharType="separate"/>
        </w:r>
        <w:r>
          <w:t>35</w:t>
        </w:r>
        <w:r>
          <w:fldChar w:fldCharType="end"/>
        </w:r>
      </w:hyperlink>
    </w:p>
    <w:p>
      <w:pPr>
        <w:pStyle w:val="TOC2"/>
        <w:tabs>
          <w:tab w:val="right" w:leader="dot" w:pos="8306"/>
        </w:tabs>
      </w:pPr>
      <w:hyperlink w:anchor="_Toc32537" w:history="1">
        <w:r>
          <w:rPr>
            <w:rFonts w:ascii="仿宋" w:eastAsia="仿宋" w:hAnsi="仿宋" w:cs="仿宋" w:hint="eastAsia"/>
            <w:lang w:eastAsia="zh-CN"/>
          </w:rPr>
          <w:t>(六)、特殊环境影响分析</w:t>
        </w:r>
        <w:r>
          <w:tab/>
        </w:r>
        <w:r>
          <w:fldChar w:fldCharType="begin"/>
        </w:r>
        <w:r>
          <w:instrText xml:space="preserve"> PAGEREF _Toc32537 \h </w:instrText>
        </w:r>
        <w:r>
          <w:fldChar w:fldCharType="separate"/>
        </w:r>
        <w:r>
          <w:t>36</w:t>
        </w:r>
        <w:r>
          <w:fldChar w:fldCharType="end"/>
        </w:r>
      </w:hyperlink>
    </w:p>
    <w:p>
      <w:pPr>
        <w:pStyle w:val="TOC2"/>
        <w:tabs>
          <w:tab w:val="right" w:leader="dot" w:pos="8306"/>
        </w:tabs>
      </w:pPr>
      <w:hyperlink w:anchor="_Toc32006" w:history="1">
        <w:r>
          <w:rPr>
            <w:rFonts w:ascii="仿宋" w:eastAsia="仿宋" w:hAnsi="仿宋" w:cs="仿宋" w:hint="eastAsia"/>
            <w:lang w:eastAsia="zh-CN"/>
          </w:rPr>
          <w:t>(七)、清洁生产</w:t>
        </w:r>
        <w:r>
          <w:tab/>
        </w:r>
        <w:r>
          <w:fldChar w:fldCharType="begin"/>
        </w:r>
        <w:r>
          <w:instrText xml:space="preserve"> PAGEREF _Toc32006 \h </w:instrText>
        </w:r>
        <w:r>
          <w:fldChar w:fldCharType="separate"/>
        </w:r>
        <w:r>
          <w:t>37</w:t>
        </w:r>
        <w:r>
          <w:fldChar w:fldCharType="end"/>
        </w:r>
      </w:hyperlink>
    </w:p>
    <w:p>
      <w:pPr>
        <w:pStyle w:val="TOC2"/>
        <w:tabs>
          <w:tab w:val="right" w:leader="dot" w:pos="8306"/>
        </w:tabs>
      </w:pPr>
      <w:hyperlink w:anchor="_Toc7477" w:history="1">
        <w:r>
          <w:rPr>
            <w:rFonts w:ascii="仿宋" w:eastAsia="仿宋" w:hAnsi="仿宋" w:cs="仿宋" w:hint="eastAsia"/>
            <w:lang w:eastAsia="zh-CN"/>
          </w:rPr>
          <w:t>(八)、环境保护综合评价</w:t>
        </w:r>
        <w:r>
          <w:tab/>
        </w:r>
        <w:r>
          <w:fldChar w:fldCharType="begin"/>
        </w:r>
        <w:r>
          <w:instrText xml:space="preserve"> PAGEREF _Toc7477 \h </w:instrText>
        </w:r>
        <w:r>
          <w:fldChar w:fldCharType="separate"/>
        </w:r>
        <w:r>
          <w:t>39</w:t>
        </w:r>
        <w:r>
          <w:fldChar w:fldCharType="end"/>
        </w:r>
      </w:hyperlink>
    </w:p>
    <w:p>
      <w:pPr>
        <w:pStyle w:val="TOC1"/>
        <w:tabs>
          <w:tab w:val="right" w:leader="dot" w:pos="8306"/>
        </w:tabs>
      </w:pPr>
      <w:hyperlink w:anchor="_Toc2097" w:history="1">
        <w:r>
          <w:rPr>
            <w:rFonts w:ascii="仿宋" w:eastAsia="仿宋" w:hAnsi="仿宋" w:cs="仿宋" w:hint="eastAsia"/>
            <w:lang w:eastAsia="zh-CN"/>
          </w:rPr>
          <w:t>九、高性能铁氧体一次料项目财务管理</w:t>
        </w:r>
        <w:r>
          <w:tab/>
        </w:r>
        <w:r>
          <w:fldChar w:fldCharType="begin"/>
        </w:r>
        <w:r>
          <w:instrText xml:space="preserve"> PAGEREF _Toc2097 \h </w:instrText>
        </w:r>
        <w:r>
          <w:fldChar w:fldCharType="separate"/>
        </w:r>
        <w:r>
          <w:t>40</w:t>
        </w:r>
        <w:r>
          <w:fldChar w:fldCharType="end"/>
        </w:r>
      </w:hyperlink>
    </w:p>
    <w:p>
      <w:pPr>
        <w:pStyle w:val="TOC2"/>
        <w:tabs>
          <w:tab w:val="right" w:leader="dot" w:pos="8306"/>
        </w:tabs>
      </w:pPr>
      <w:hyperlink w:anchor="_Toc22610" w:history="1">
        <w:r>
          <w:rPr>
            <w:rFonts w:ascii="仿宋" w:eastAsia="仿宋" w:hAnsi="仿宋" w:cs="仿宋" w:hint="eastAsia"/>
            <w:lang w:eastAsia="zh-CN"/>
          </w:rPr>
          <w:t>(一)、资金需求大</w:t>
        </w:r>
        <w:r>
          <w:tab/>
        </w:r>
        <w:r>
          <w:fldChar w:fldCharType="begin"/>
        </w:r>
        <w:r>
          <w:instrText xml:space="preserve"> PAGEREF _Toc22610 \h </w:instrText>
        </w:r>
        <w:r>
          <w:fldChar w:fldCharType="separate"/>
        </w:r>
        <w:r>
          <w:t>40</w:t>
        </w:r>
        <w:r>
          <w:fldChar w:fldCharType="end"/>
        </w:r>
      </w:hyperlink>
    </w:p>
    <w:p>
      <w:pPr>
        <w:pStyle w:val="TOC2"/>
        <w:tabs>
          <w:tab w:val="right" w:leader="dot" w:pos="8306"/>
        </w:tabs>
      </w:pPr>
      <w:hyperlink w:anchor="_Toc6562" w:history="1">
        <w:r>
          <w:rPr>
            <w:rFonts w:ascii="仿宋" w:eastAsia="仿宋" w:hAnsi="仿宋" w:cs="仿宋" w:hint="eastAsia"/>
            <w:lang w:eastAsia="zh-CN"/>
          </w:rPr>
          <w:t>(二)、研发周期长</w:t>
        </w:r>
        <w:r>
          <w:tab/>
        </w:r>
        <w:r>
          <w:fldChar w:fldCharType="begin"/>
        </w:r>
        <w:r>
          <w:instrText xml:space="preserve"> PAGEREF _Toc6562 \h </w:instrText>
        </w:r>
        <w:r>
          <w:fldChar w:fldCharType="separate"/>
        </w:r>
        <w:r>
          <w:t>41</w:t>
        </w:r>
        <w:r>
          <w:fldChar w:fldCharType="end"/>
        </w:r>
      </w:hyperlink>
    </w:p>
    <w:p>
      <w:pPr>
        <w:pStyle w:val="TOC2"/>
        <w:tabs>
          <w:tab w:val="right" w:leader="dot" w:pos="8306"/>
        </w:tabs>
      </w:pPr>
      <w:hyperlink w:anchor="_Toc20938" w:history="1">
        <w:r>
          <w:rPr>
            <w:rFonts w:ascii="仿宋" w:eastAsia="仿宋" w:hAnsi="仿宋" w:cs="仿宋" w:hint="eastAsia"/>
            <w:lang w:eastAsia="zh-CN"/>
          </w:rPr>
          <w:t>(三)、市场风险大</w:t>
        </w:r>
        <w:r>
          <w:tab/>
        </w:r>
        <w:r>
          <w:fldChar w:fldCharType="begin"/>
        </w:r>
        <w:r>
          <w:instrText xml:space="preserve"> PAGEREF _Toc20938 \h </w:instrText>
        </w:r>
        <w:r>
          <w:fldChar w:fldCharType="separate"/>
        </w:r>
        <w:r>
          <w:t>43</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6761" w:history="1">
        <w:r>
          <w:rPr>
            <w:rFonts w:ascii="仿宋" w:eastAsia="仿宋" w:hAnsi="仿宋" w:cs="仿宋" w:hint="eastAsia"/>
            <w:lang w:eastAsia="zh-CN"/>
          </w:rPr>
          <w:t>(四)、利润率高</w:t>
        </w:r>
        <w:r>
          <w:tab/>
        </w:r>
        <w:r>
          <w:fldChar w:fldCharType="begin"/>
        </w:r>
        <w:r>
          <w:instrText xml:space="preserve"> PAGEREF _Toc16761 \h </w:instrText>
        </w:r>
        <w:r>
          <w:fldChar w:fldCharType="separate"/>
        </w:r>
        <w:r>
          <w:t>45</w:t>
        </w:r>
        <w:r>
          <w:fldChar w:fldCharType="end"/>
        </w:r>
      </w:hyperlink>
    </w:p>
    <w:p>
      <w:pPr>
        <w:pStyle w:val="TOC1"/>
        <w:tabs>
          <w:tab w:val="right" w:leader="dot" w:pos="8306"/>
        </w:tabs>
      </w:pPr>
      <w:hyperlink w:anchor="_Toc17576" w:history="1">
        <w:r>
          <w:rPr>
            <w:rFonts w:ascii="仿宋" w:eastAsia="仿宋" w:hAnsi="仿宋" w:cs="仿宋" w:hint="eastAsia"/>
            <w:lang w:eastAsia="zh-CN"/>
          </w:rPr>
          <w:t>十、高性能铁氧体一次料项目社会影响</w:t>
        </w:r>
        <w:r>
          <w:tab/>
        </w:r>
        <w:r>
          <w:fldChar w:fldCharType="begin"/>
        </w:r>
        <w:r>
          <w:instrText xml:space="preserve"> PAGEREF _Toc17576 \h </w:instrText>
        </w:r>
        <w:r>
          <w:fldChar w:fldCharType="separate"/>
        </w:r>
        <w:r>
          <w:t>47</w:t>
        </w:r>
        <w:r>
          <w:fldChar w:fldCharType="end"/>
        </w:r>
      </w:hyperlink>
    </w:p>
    <w:p>
      <w:pPr>
        <w:pStyle w:val="TOC2"/>
        <w:tabs>
          <w:tab w:val="right" w:leader="dot" w:pos="8306"/>
        </w:tabs>
      </w:pPr>
      <w:hyperlink w:anchor="_Toc13399" w:history="1">
        <w:r>
          <w:rPr>
            <w:rFonts w:ascii="仿宋" w:eastAsia="仿宋" w:hAnsi="仿宋" w:cs="仿宋" w:hint="eastAsia"/>
            <w:lang w:eastAsia="zh-CN"/>
          </w:rPr>
          <w:t>(一)、社会责任与义务</w:t>
        </w:r>
        <w:r>
          <w:tab/>
        </w:r>
        <w:r>
          <w:fldChar w:fldCharType="begin"/>
        </w:r>
        <w:r>
          <w:instrText xml:space="preserve"> PAGEREF _Toc13399 \h </w:instrText>
        </w:r>
        <w:r>
          <w:fldChar w:fldCharType="separate"/>
        </w:r>
        <w:r>
          <w:t>47</w:t>
        </w:r>
        <w:r>
          <w:fldChar w:fldCharType="end"/>
        </w:r>
      </w:hyperlink>
    </w:p>
    <w:p>
      <w:pPr>
        <w:pStyle w:val="TOC2"/>
        <w:tabs>
          <w:tab w:val="right" w:leader="dot" w:pos="8306"/>
        </w:tabs>
      </w:pPr>
      <w:hyperlink w:anchor="_Toc27071" w:history="1">
        <w:r>
          <w:rPr>
            <w:rFonts w:ascii="仿宋" w:eastAsia="仿宋" w:hAnsi="仿宋" w:cs="仿宋" w:hint="eastAsia"/>
            <w:lang w:eastAsia="zh-CN"/>
          </w:rPr>
          <w:t>(二)、社会参与与沟通</w:t>
        </w:r>
        <w:r>
          <w:tab/>
        </w:r>
        <w:r>
          <w:fldChar w:fldCharType="begin"/>
        </w:r>
        <w:r>
          <w:instrText xml:space="preserve"> PAGEREF _Toc27071 \h </w:instrText>
        </w:r>
        <w:r>
          <w:fldChar w:fldCharType="separate"/>
        </w:r>
        <w:r>
          <w:t>48</w:t>
        </w:r>
        <w:r>
          <w:fldChar w:fldCharType="end"/>
        </w:r>
      </w:hyperlink>
    </w:p>
    <w:p>
      <w:pPr>
        <w:pStyle w:val="TOC1"/>
        <w:tabs>
          <w:tab w:val="right" w:leader="dot" w:pos="8306"/>
        </w:tabs>
      </w:pPr>
      <w:hyperlink w:anchor="_Toc11160" w:history="1">
        <w:r>
          <w:rPr>
            <w:rFonts w:ascii="仿宋" w:eastAsia="仿宋" w:hAnsi="仿宋" w:cs="仿宋" w:hint="eastAsia"/>
            <w:lang w:eastAsia="zh-CN"/>
          </w:rPr>
          <w:t>十一、高性能铁氧体一次料项目人力资源培养与发展</w:t>
        </w:r>
        <w:r>
          <w:tab/>
        </w:r>
        <w:r>
          <w:fldChar w:fldCharType="begin"/>
        </w:r>
        <w:r>
          <w:instrText xml:space="preserve"> PAGEREF _Toc11160 \h </w:instrText>
        </w:r>
        <w:r>
          <w:fldChar w:fldCharType="separate"/>
        </w:r>
        <w:r>
          <w:t>49</w:t>
        </w:r>
        <w:r>
          <w:fldChar w:fldCharType="end"/>
        </w:r>
      </w:hyperlink>
    </w:p>
    <w:p>
      <w:pPr>
        <w:pStyle w:val="TOC2"/>
        <w:tabs>
          <w:tab w:val="right" w:leader="dot" w:pos="8306"/>
        </w:tabs>
      </w:pPr>
      <w:hyperlink w:anchor="_Toc12685" w:history="1">
        <w:r>
          <w:rPr>
            <w:rFonts w:ascii="仿宋" w:eastAsia="仿宋" w:hAnsi="仿宋" w:cs="仿宋" w:hint="eastAsia"/>
            <w:lang w:eastAsia="zh-CN"/>
          </w:rPr>
          <w:t>(一)、人才需求与规划</w:t>
        </w:r>
        <w:r>
          <w:tab/>
        </w:r>
        <w:r>
          <w:fldChar w:fldCharType="begin"/>
        </w:r>
        <w:r>
          <w:instrText xml:space="preserve"> PAGEREF _Toc12685 \h </w:instrText>
        </w:r>
        <w:r>
          <w:fldChar w:fldCharType="separate"/>
        </w:r>
        <w:r>
          <w:t>49</w:t>
        </w:r>
        <w:r>
          <w:fldChar w:fldCharType="end"/>
        </w:r>
      </w:hyperlink>
    </w:p>
    <w:p>
      <w:pPr>
        <w:pStyle w:val="TOC2"/>
        <w:tabs>
          <w:tab w:val="right" w:leader="dot" w:pos="8306"/>
        </w:tabs>
      </w:pPr>
      <w:hyperlink w:anchor="_Toc10277" w:history="1">
        <w:r>
          <w:rPr>
            <w:rFonts w:ascii="仿宋" w:eastAsia="仿宋" w:hAnsi="仿宋" w:cs="仿宋" w:hint="eastAsia"/>
            <w:lang w:eastAsia="zh-CN"/>
          </w:rPr>
          <w:t>(二)、培训与发展计划</w:t>
        </w:r>
        <w:r>
          <w:tab/>
        </w:r>
        <w:r>
          <w:fldChar w:fldCharType="begin"/>
        </w:r>
        <w:r>
          <w:instrText xml:space="preserve"> PAGEREF _Toc10277 \h </w:instrText>
        </w:r>
        <w:r>
          <w:fldChar w:fldCharType="separate"/>
        </w:r>
        <w:r>
          <w:t>50</w:t>
        </w:r>
        <w:r>
          <w:fldChar w:fldCharType="end"/>
        </w:r>
      </w:hyperlink>
    </w:p>
    <w:p>
      <w:pPr>
        <w:pStyle w:val="TOC1"/>
        <w:tabs>
          <w:tab w:val="right" w:leader="dot" w:pos="8306"/>
        </w:tabs>
      </w:pPr>
      <w:hyperlink w:anchor="_Toc10794" w:history="1">
        <w:r>
          <w:rPr>
            <w:rFonts w:ascii="仿宋" w:eastAsia="仿宋" w:hAnsi="仿宋" w:cs="仿宋" w:hint="eastAsia"/>
            <w:lang w:eastAsia="zh-CN"/>
          </w:rPr>
          <w:t>十二、高性能铁氧体一次料项目投资规划</w:t>
        </w:r>
        <w:r>
          <w:tab/>
        </w:r>
        <w:r>
          <w:fldChar w:fldCharType="begin"/>
        </w:r>
        <w:r>
          <w:instrText xml:space="preserve"> PAGEREF _Toc10794 \h </w:instrText>
        </w:r>
        <w:r>
          <w:fldChar w:fldCharType="separate"/>
        </w:r>
        <w:r>
          <w:t>50</w:t>
        </w:r>
        <w:r>
          <w:fldChar w:fldCharType="end"/>
        </w:r>
      </w:hyperlink>
    </w:p>
    <w:p>
      <w:pPr>
        <w:pStyle w:val="TOC2"/>
        <w:tabs>
          <w:tab w:val="right" w:leader="dot" w:pos="8306"/>
        </w:tabs>
      </w:pPr>
      <w:hyperlink w:anchor="_Toc13599" w:history="1">
        <w:r>
          <w:rPr>
            <w:rFonts w:ascii="仿宋" w:eastAsia="仿宋" w:hAnsi="仿宋" w:cs="仿宋" w:hint="eastAsia"/>
            <w:lang w:eastAsia="zh-CN"/>
          </w:rPr>
          <w:t>(一)、高性能铁氧体一次料项目总投资估算</w:t>
        </w:r>
        <w:r>
          <w:tab/>
        </w:r>
        <w:r>
          <w:fldChar w:fldCharType="begin"/>
        </w:r>
        <w:r>
          <w:instrText xml:space="preserve"> PAGEREF _Toc13599 \h </w:instrText>
        </w:r>
        <w:r>
          <w:fldChar w:fldCharType="separate"/>
        </w:r>
        <w:r>
          <w:t>50</w:t>
        </w:r>
        <w:r>
          <w:fldChar w:fldCharType="end"/>
        </w:r>
      </w:hyperlink>
    </w:p>
    <w:p>
      <w:pPr>
        <w:pStyle w:val="TOC2"/>
        <w:tabs>
          <w:tab w:val="right" w:leader="dot" w:pos="8306"/>
        </w:tabs>
      </w:pPr>
      <w:hyperlink w:anchor="_Toc23005" w:history="1">
        <w:r>
          <w:rPr>
            <w:rFonts w:ascii="仿宋" w:eastAsia="仿宋" w:hAnsi="仿宋" w:cs="仿宋" w:hint="eastAsia"/>
            <w:lang w:eastAsia="zh-CN"/>
          </w:rPr>
          <w:t>(二)、资金筹措</w:t>
        </w:r>
        <w:r>
          <w:tab/>
        </w:r>
        <w:r>
          <w:fldChar w:fldCharType="begin"/>
        </w:r>
        <w:r>
          <w:instrText xml:space="preserve"> PAGEREF _Toc23005 \h </w:instrText>
        </w:r>
        <w:r>
          <w:fldChar w:fldCharType="separate"/>
        </w:r>
        <w:r>
          <w:t>52</w:t>
        </w:r>
        <w:r>
          <w:fldChar w:fldCharType="end"/>
        </w:r>
      </w:hyperlink>
    </w:p>
    <w:p>
      <w:pPr>
        <w:pStyle w:val="TOC1"/>
        <w:tabs>
          <w:tab w:val="right" w:leader="dot" w:pos="8306"/>
        </w:tabs>
      </w:pPr>
      <w:hyperlink w:anchor="_Toc28861" w:history="1">
        <w:r>
          <w:rPr>
            <w:rFonts w:ascii="仿宋" w:eastAsia="仿宋" w:hAnsi="仿宋" w:cs="仿宋" w:hint="eastAsia"/>
            <w:lang w:eastAsia="zh-CN"/>
          </w:rPr>
          <w:t>十三、高性能铁氧体一次料项目变更管理</w:t>
        </w:r>
        <w:r>
          <w:tab/>
        </w:r>
        <w:r>
          <w:fldChar w:fldCharType="begin"/>
        </w:r>
        <w:r>
          <w:instrText xml:space="preserve"> PAGEREF _Toc28861 \h </w:instrText>
        </w:r>
        <w:r>
          <w:fldChar w:fldCharType="separate"/>
        </w:r>
        <w:r>
          <w:t>52</w:t>
        </w:r>
        <w:r>
          <w:fldChar w:fldCharType="end"/>
        </w:r>
      </w:hyperlink>
    </w:p>
    <w:p>
      <w:pPr>
        <w:pStyle w:val="TOC2"/>
        <w:tabs>
          <w:tab w:val="right" w:leader="dot" w:pos="8306"/>
        </w:tabs>
      </w:pPr>
      <w:hyperlink w:anchor="_Toc23296" w:history="1">
        <w:r>
          <w:rPr>
            <w:rFonts w:ascii="仿宋" w:eastAsia="仿宋" w:hAnsi="仿宋" w:cs="仿宋" w:hint="eastAsia"/>
            <w:lang w:eastAsia="zh-CN"/>
          </w:rPr>
          <w:t>(一)、变更申请与评估</w:t>
        </w:r>
        <w:r>
          <w:tab/>
        </w:r>
        <w:r>
          <w:fldChar w:fldCharType="begin"/>
        </w:r>
        <w:r>
          <w:instrText xml:space="preserve"> PAGEREF _Toc23296 \h </w:instrText>
        </w:r>
        <w:r>
          <w:fldChar w:fldCharType="separate"/>
        </w:r>
        <w:r>
          <w:t>52</w:t>
        </w:r>
        <w:r>
          <w:fldChar w:fldCharType="end"/>
        </w:r>
      </w:hyperlink>
    </w:p>
    <w:p>
      <w:pPr>
        <w:pStyle w:val="TOC2"/>
        <w:tabs>
          <w:tab w:val="right" w:leader="dot" w:pos="8306"/>
        </w:tabs>
      </w:pPr>
      <w:hyperlink w:anchor="_Toc5375" w:history="1">
        <w:r>
          <w:rPr>
            <w:rFonts w:ascii="仿宋" w:eastAsia="仿宋" w:hAnsi="仿宋" w:cs="仿宋" w:hint="eastAsia"/>
            <w:lang w:eastAsia="zh-CN"/>
          </w:rPr>
          <w:t>(二)、变更实施与控制</w:t>
        </w:r>
        <w:r>
          <w:tab/>
        </w:r>
        <w:r>
          <w:fldChar w:fldCharType="begin"/>
        </w:r>
        <w:r>
          <w:instrText xml:space="preserve"> PAGEREF _Toc5375 \h </w:instrText>
        </w:r>
        <w:r>
          <w:fldChar w:fldCharType="separate"/>
        </w:r>
        <w:r>
          <w:t>53</w:t>
        </w:r>
        <w:r>
          <w:fldChar w:fldCharType="end"/>
        </w:r>
      </w:hyperlink>
    </w:p>
    <w:p>
      <w:pPr>
        <w:pStyle w:val="TOC1"/>
        <w:tabs>
          <w:tab w:val="right" w:leader="dot" w:pos="8306"/>
        </w:tabs>
      </w:pPr>
      <w:hyperlink w:anchor="_Toc11356" w:history="1">
        <w:r>
          <w:rPr>
            <w:rFonts w:ascii="仿宋" w:eastAsia="仿宋" w:hAnsi="仿宋" w:cs="仿宋" w:hint="eastAsia"/>
            <w:lang w:eastAsia="zh-CN"/>
          </w:rPr>
          <w:t>十四、高性能铁氧体一次料项目工程方案分析</w:t>
        </w:r>
        <w:r>
          <w:tab/>
        </w:r>
        <w:r>
          <w:fldChar w:fldCharType="begin"/>
        </w:r>
        <w:r>
          <w:instrText xml:space="preserve"> PAGEREF _Toc11356 \h </w:instrText>
        </w:r>
        <w:r>
          <w:fldChar w:fldCharType="separate"/>
        </w:r>
        <w:r>
          <w:t>54</w:t>
        </w:r>
        <w:r>
          <w:fldChar w:fldCharType="end"/>
        </w:r>
      </w:hyperlink>
    </w:p>
    <w:p>
      <w:pPr>
        <w:pStyle w:val="TOC2"/>
        <w:tabs>
          <w:tab w:val="right" w:leader="dot" w:pos="8306"/>
        </w:tabs>
      </w:pPr>
      <w:hyperlink w:anchor="_Toc18222" w:history="1">
        <w:r>
          <w:rPr>
            <w:rFonts w:ascii="仿宋" w:eastAsia="仿宋" w:hAnsi="仿宋" w:cs="仿宋" w:hint="eastAsia"/>
            <w:lang w:eastAsia="zh-CN"/>
          </w:rPr>
          <w:t>(一)、建筑工程设计原则</w:t>
        </w:r>
        <w:r>
          <w:tab/>
        </w:r>
        <w:r>
          <w:fldChar w:fldCharType="begin"/>
        </w:r>
        <w:r>
          <w:instrText xml:space="preserve"> PAGEREF _Toc18222 \h </w:instrText>
        </w:r>
        <w:r>
          <w:fldChar w:fldCharType="separate"/>
        </w:r>
        <w:r>
          <w:t>54</w:t>
        </w:r>
        <w:r>
          <w:fldChar w:fldCharType="end"/>
        </w:r>
      </w:hyperlink>
    </w:p>
    <w:p>
      <w:pPr>
        <w:pStyle w:val="TOC2"/>
        <w:tabs>
          <w:tab w:val="right" w:leader="dot" w:pos="8306"/>
        </w:tabs>
      </w:pPr>
      <w:hyperlink w:anchor="_Toc299" w:history="1">
        <w:r>
          <w:rPr>
            <w:rFonts w:ascii="仿宋" w:eastAsia="仿宋" w:hAnsi="仿宋" w:cs="仿宋" w:hint="eastAsia"/>
            <w:lang w:eastAsia="zh-CN"/>
          </w:rPr>
          <w:t>(二)、土建工程建设指标</w:t>
        </w:r>
        <w:r>
          <w:tab/>
        </w:r>
        <w:r>
          <w:fldChar w:fldCharType="begin"/>
        </w:r>
        <w:r>
          <w:instrText xml:space="preserve"> PAGEREF _Toc299 \h </w:instrText>
        </w:r>
        <w:r>
          <w:fldChar w:fldCharType="separate"/>
        </w:r>
        <w:r>
          <w:t>57</w:t>
        </w:r>
        <w:r>
          <w:fldChar w:fldCharType="end"/>
        </w:r>
      </w:hyperlink>
    </w:p>
    <w:p>
      <w:pPr>
        <w:pStyle w:val="TOC1"/>
        <w:tabs>
          <w:tab w:val="right" w:leader="dot" w:pos="8306"/>
        </w:tabs>
      </w:pPr>
      <w:hyperlink w:anchor="_Toc27720" w:history="1">
        <w:r>
          <w:rPr>
            <w:rFonts w:ascii="仿宋" w:eastAsia="仿宋" w:hAnsi="仿宋" w:cs="仿宋" w:hint="eastAsia"/>
            <w:lang w:eastAsia="zh-CN"/>
          </w:rPr>
          <w:t>十五、营销与推广策略</w:t>
        </w:r>
        <w:r>
          <w:tab/>
        </w:r>
        <w:r>
          <w:fldChar w:fldCharType="begin"/>
        </w:r>
        <w:r>
          <w:instrText xml:space="preserve"> PAGEREF _Toc27720 \h </w:instrText>
        </w:r>
        <w:r>
          <w:fldChar w:fldCharType="separate"/>
        </w:r>
        <w:r>
          <w:t>59</w:t>
        </w:r>
        <w:r>
          <w:fldChar w:fldCharType="end"/>
        </w:r>
      </w:hyperlink>
    </w:p>
    <w:p>
      <w:pPr>
        <w:pStyle w:val="TOC2"/>
        <w:tabs>
          <w:tab w:val="right" w:leader="dot" w:pos="8306"/>
        </w:tabs>
      </w:pPr>
      <w:hyperlink w:anchor="_Toc30303" w:history="1">
        <w:r>
          <w:rPr>
            <w:rFonts w:ascii="仿宋" w:eastAsia="仿宋" w:hAnsi="仿宋" w:cs="仿宋" w:hint="eastAsia"/>
            <w:lang w:eastAsia="zh-CN"/>
          </w:rPr>
          <w:t>(一)、产品/服务定位与特点</w:t>
        </w:r>
        <w:r>
          <w:tab/>
        </w:r>
        <w:r>
          <w:fldChar w:fldCharType="begin"/>
        </w:r>
        <w:r>
          <w:instrText xml:space="preserve"> PAGEREF _Toc30303 \h </w:instrText>
        </w:r>
        <w:r>
          <w:fldChar w:fldCharType="separate"/>
        </w:r>
        <w:r>
          <w:t>59</w:t>
        </w:r>
        <w:r>
          <w:fldChar w:fldCharType="end"/>
        </w:r>
      </w:hyperlink>
    </w:p>
    <w:p>
      <w:pPr>
        <w:pStyle w:val="TOC2"/>
        <w:tabs>
          <w:tab w:val="right" w:leader="dot" w:pos="8306"/>
        </w:tabs>
      </w:pPr>
      <w:hyperlink w:anchor="_Toc29120" w:history="1">
        <w:r>
          <w:rPr>
            <w:rFonts w:ascii="仿宋" w:eastAsia="仿宋" w:hAnsi="仿宋" w:cs="仿宋" w:hint="eastAsia"/>
            <w:lang w:eastAsia="zh-CN"/>
          </w:rPr>
          <w:t>(二)、市场定位与竞争分析</w:t>
        </w:r>
        <w:r>
          <w:tab/>
        </w:r>
        <w:r>
          <w:fldChar w:fldCharType="begin"/>
        </w:r>
        <w:r>
          <w:instrText xml:space="preserve"> PAGEREF _Toc29120 \h </w:instrText>
        </w:r>
        <w:r>
          <w:fldChar w:fldCharType="separate"/>
        </w:r>
        <w:r>
          <w:t>60</w:t>
        </w:r>
        <w:r>
          <w:fldChar w:fldCharType="end"/>
        </w:r>
      </w:hyperlink>
    </w:p>
    <w:p>
      <w:pPr>
        <w:pStyle w:val="TOC2"/>
        <w:tabs>
          <w:tab w:val="right" w:leader="dot" w:pos="8306"/>
        </w:tabs>
      </w:pPr>
      <w:hyperlink w:anchor="_Toc32477" w:history="1">
        <w:r>
          <w:rPr>
            <w:rFonts w:ascii="仿宋" w:eastAsia="仿宋" w:hAnsi="仿宋" w:cs="仿宋" w:hint="eastAsia"/>
            <w:lang w:eastAsia="zh-CN"/>
          </w:rPr>
          <w:t>(三)、营销渠道与策略</w:t>
        </w:r>
        <w:r>
          <w:tab/>
        </w:r>
        <w:r>
          <w:fldChar w:fldCharType="begin"/>
        </w:r>
        <w:r>
          <w:instrText xml:space="preserve"> PAGEREF _Toc32477 \h </w:instrText>
        </w:r>
        <w:r>
          <w:fldChar w:fldCharType="separate"/>
        </w:r>
        <w:r>
          <w:t>61</w:t>
        </w:r>
        <w:r>
          <w:fldChar w:fldCharType="end"/>
        </w:r>
      </w:hyperlink>
    </w:p>
    <w:p>
      <w:pPr>
        <w:pStyle w:val="TOC2"/>
        <w:tabs>
          <w:tab w:val="right" w:leader="dot" w:pos="8306"/>
        </w:tabs>
      </w:pPr>
      <w:hyperlink w:anchor="_Toc13623" w:history="1">
        <w:r>
          <w:rPr>
            <w:rFonts w:ascii="仿宋" w:eastAsia="仿宋" w:hAnsi="仿宋" w:cs="仿宋" w:hint="eastAsia"/>
            <w:lang w:eastAsia="zh-CN"/>
          </w:rPr>
          <w:t>(四)、推广与宣传活动</w:t>
        </w:r>
        <w:r>
          <w:tab/>
        </w:r>
        <w:r>
          <w:fldChar w:fldCharType="begin"/>
        </w:r>
        <w:r>
          <w:instrText xml:space="preserve"> PAGEREF _Toc13623 \h </w:instrText>
        </w:r>
        <w:r>
          <w:fldChar w:fldCharType="separate"/>
        </w:r>
        <w:r>
          <w:t>62</w:t>
        </w:r>
        <w:r>
          <w:fldChar w:fldCharType="end"/>
        </w:r>
      </w:hyperlink>
    </w:p>
    <w:p>
      <w:pPr>
        <w:pStyle w:val="TOC1"/>
        <w:tabs>
          <w:tab w:val="right" w:leader="dot" w:pos="8306"/>
        </w:tabs>
      </w:pPr>
      <w:hyperlink w:anchor="_Toc9929" w:history="1">
        <w:r>
          <w:rPr>
            <w:rFonts w:ascii="仿宋" w:eastAsia="仿宋" w:hAnsi="仿宋" w:cs="仿宋" w:hint="eastAsia"/>
            <w:lang w:eastAsia="zh-CN"/>
          </w:rPr>
          <w:t>十六、质量管理体系</w:t>
        </w:r>
        <w:r>
          <w:tab/>
        </w:r>
        <w:r>
          <w:fldChar w:fldCharType="begin"/>
        </w:r>
        <w:r>
          <w:instrText xml:space="preserve"> PAGEREF _Toc9929 \h </w:instrText>
        </w:r>
        <w:r>
          <w:fldChar w:fldCharType="separate"/>
        </w:r>
        <w:r>
          <w:t>68</w:t>
        </w:r>
        <w:r>
          <w:fldChar w:fldCharType="end"/>
        </w:r>
      </w:hyperlink>
    </w:p>
    <w:p>
      <w:pPr>
        <w:pStyle w:val="TOC2"/>
        <w:tabs>
          <w:tab w:val="right" w:leader="dot" w:pos="8306"/>
        </w:tabs>
      </w:pPr>
      <w:hyperlink w:anchor="_Toc19232" w:history="1">
        <w:r>
          <w:rPr>
            <w:rFonts w:ascii="仿宋" w:eastAsia="仿宋" w:hAnsi="仿宋" w:cs="仿宋" w:hint="eastAsia"/>
            <w:lang w:eastAsia="zh-CN"/>
          </w:rPr>
          <w:t>(一)、质量目标与方针</w:t>
        </w:r>
        <w:r>
          <w:tab/>
        </w:r>
        <w:r>
          <w:fldChar w:fldCharType="begin"/>
        </w:r>
        <w:r>
          <w:instrText xml:space="preserve"> PAGEREF _Toc19232 \h </w:instrText>
        </w:r>
        <w:r>
          <w:fldChar w:fldCharType="separate"/>
        </w:r>
        <w:r>
          <w:t>68</w:t>
        </w:r>
        <w:r>
          <w:fldChar w:fldCharType="end"/>
        </w:r>
      </w:hyperlink>
    </w:p>
    <w:p>
      <w:pPr>
        <w:pStyle w:val="TOC2"/>
        <w:tabs>
          <w:tab w:val="right" w:leader="dot" w:pos="8306"/>
        </w:tabs>
      </w:pPr>
      <w:hyperlink w:anchor="_Toc3619" w:history="1">
        <w:r>
          <w:rPr>
            <w:rFonts w:ascii="仿宋" w:eastAsia="仿宋" w:hAnsi="仿宋" w:cs="仿宋" w:hint="eastAsia"/>
            <w:lang w:eastAsia="zh-CN"/>
          </w:rPr>
          <w:t>(二)、质量管理责任</w:t>
        </w:r>
        <w:r>
          <w:tab/>
        </w:r>
        <w:r>
          <w:fldChar w:fldCharType="begin"/>
        </w:r>
        <w:r>
          <w:instrText xml:space="preserve"> PAGEREF _Toc3619 \h </w:instrText>
        </w:r>
        <w:r>
          <w:fldChar w:fldCharType="separate"/>
        </w:r>
        <w:r>
          <w:t>69</w:t>
        </w:r>
        <w:r>
          <w:fldChar w:fldCharType="end"/>
        </w:r>
      </w:hyperlink>
    </w:p>
    <w:p>
      <w:pPr>
        <w:pStyle w:val="TOC2"/>
        <w:tabs>
          <w:tab w:val="right" w:leader="dot" w:pos="8306"/>
        </w:tabs>
      </w:pPr>
      <w:hyperlink w:anchor="_Toc9072" w:history="1">
        <w:r>
          <w:rPr>
            <w:rFonts w:ascii="仿宋" w:eastAsia="仿宋" w:hAnsi="仿宋" w:cs="仿宋" w:hint="eastAsia"/>
            <w:lang w:eastAsia="zh-CN"/>
          </w:rPr>
          <w:t>(三)、质量管理体系文件</w:t>
        </w:r>
        <w:r>
          <w:tab/>
        </w:r>
        <w:r>
          <w:fldChar w:fldCharType="begin"/>
        </w:r>
        <w:r>
          <w:instrText xml:space="preserve"> PAGEREF _Toc9072 \h </w:instrText>
        </w:r>
        <w:r>
          <w:fldChar w:fldCharType="separate"/>
        </w:r>
        <w:r>
          <w:t>70</w:t>
        </w:r>
        <w:r>
          <w:fldChar w:fldCharType="end"/>
        </w:r>
      </w:hyperlink>
    </w:p>
    <w:p>
      <w:pPr>
        <w:pStyle w:val="TOC2"/>
        <w:tabs>
          <w:tab w:val="right" w:leader="dot" w:pos="8306"/>
        </w:tabs>
      </w:pPr>
      <w:hyperlink w:anchor="_Toc15673" w:history="1">
        <w:r>
          <w:rPr>
            <w:rFonts w:ascii="仿宋" w:eastAsia="仿宋" w:hAnsi="仿宋" w:cs="仿宋" w:hint="eastAsia"/>
            <w:lang w:eastAsia="zh-CN"/>
          </w:rPr>
          <w:t>(四)、质量培训与教育</w:t>
        </w:r>
        <w:r>
          <w:tab/>
        </w:r>
        <w:r>
          <w:fldChar w:fldCharType="begin"/>
        </w:r>
        <w:r>
          <w:instrText xml:space="preserve"> PAGEREF _Toc15673 \h </w:instrText>
        </w:r>
        <w:r>
          <w:fldChar w:fldCharType="separate"/>
        </w:r>
        <w:r>
          <w:t>72</w:t>
        </w:r>
        <w:r>
          <w:fldChar w:fldCharType="end"/>
        </w:r>
      </w:hyperlink>
    </w:p>
    <w:p>
      <w:pPr>
        <w:pStyle w:val="TOC2"/>
        <w:tabs>
          <w:tab w:val="right" w:leader="dot" w:pos="8306"/>
        </w:tabs>
      </w:pPr>
      <w:hyperlink w:anchor="_Toc17598" w:history="1">
        <w:r>
          <w:rPr>
            <w:rFonts w:ascii="仿宋" w:eastAsia="仿宋" w:hAnsi="仿宋" w:cs="仿宋" w:hint="eastAsia"/>
            <w:lang w:eastAsia="zh-CN"/>
          </w:rPr>
          <w:t>(五)、质量审核与评价</w:t>
        </w:r>
        <w:r>
          <w:tab/>
        </w:r>
        <w:r>
          <w:fldChar w:fldCharType="begin"/>
        </w:r>
        <w:r>
          <w:instrText xml:space="preserve"> PAGEREF _Toc17598 \h </w:instrText>
        </w:r>
        <w:r>
          <w:fldChar w:fldCharType="separate"/>
        </w:r>
        <w:r>
          <w:t>74</w:t>
        </w:r>
        <w:r>
          <w:fldChar w:fldCharType="end"/>
        </w:r>
      </w:hyperlink>
    </w:p>
    <w:p>
      <w:pPr>
        <w:pStyle w:val="TOC2"/>
        <w:tabs>
          <w:tab w:val="right" w:leader="dot" w:pos="8306"/>
        </w:tabs>
      </w:pPr>
      <w:hyperlink w:anchor="_Toc18877" w:history="1">
        <w:r>
          <w:rPr>
            <w:rFonts w:ascii="仿宋" w:eastAsia="仿宋" w:hAnsi="仿宋" w:cs="仿宋" w:hint="eastAsia"/>
            <w:lang w:eastAsia="zh-CN"/>
          </w:rPr>
          <w:t>(六)、不符合与纠正措施</w:t>
        </w:r>
        <w:r>
          <w:tab/>
        </w:r>
        <w:r>
          <w:fldChar w:fldCharType="begin"/>
        </w:r>
        <w:r>
          <w:instrText xml:space="preserve"> PAGEREF _Toc18877 \h </w:instrText>
        </w:r>
        <w:r>
          <w:fldChar w:fldCharType="separate"/>
        </w:r>
        <w:r>
          <w:t>75</w:t>
        </w:r>
        <w:r>
          <w:fldChar w:fldCharType="end"/>
        </w:r>
      </w:hyperlink>
    </w:p>
    <w:p>
      <w:pPr>
        <w:pStyle w:val="TOC1"/>
        <w:tabs>
          <w:tab w:val="right" w:leader="dot" w:pos="8306"/>
        </w:tabs>
      </w:pPr>
      <w:hyperlink w:anchor="_Toc22920" w:history="1">
        <w:r>
          <w:rPr>
            <w:rFonts w:ascii="仿宋" w:eastAsia="仿宋" w:hAnsi="仿宋" w:cs="仿宋" w:hint="eastAsia"/>
            <w:lang w:eastAsia="zh-CN"/>
          </w:rPr>
          <w:t>十七、高性能铁氧体一次料项目治理与监督</w:t>
        </w:r>
        <w:r>
          <w:tab/>
        </w:r>
        <w:r>
          <w:fldChar w:fldCharType="begin"/>
        </w:r>
        <w:r>
          <w:instrText xml:space="preserve"> PAGEREF _Toc22920 \h </w:instrText>
        </w:r>
        <w:r>
          <w:fldChar w:fldCharType="separate"/>
        </w:r>
        <w:r>
          <w:t>76</w:t>
        </w:r>
        <w:r>
          <w:fldChar w:fldCharType="end"/>
        </w:r>
      </w:hyperlink>
    </w:p>
    <w:p>
      <w:pPr>
        <w:pStyle w:val="TOC2"/>
        <w:tabs>
          <w:tab w:val="right" w:leader="dot" w:pos="8306"/>
        </w:tabs>
      </w:pPr>
      <w:hyperlink w:anchor="_Toc14722" w:history="1">
        <w:r>
          <w:rPr>
            <w:rFonts w:ascii="仿宋" w:eastAsia="仿宋" w:hAnsi="仿宋" w:cs="仿宋" w:hint="eastAsia"/>
            <w:lang w:eastAsia="zh-CN"/>
          </w:rPr>
          <w:t>(一)、高性能铁氧体一次料项目治理结构</w:t>
        </w:r>
        <w:r>
          <w:tab/>
        </w:r>
        <w:r>
          <w:fldChar w:fldCharType="begin"/>
        </w:r>
        <w:r>
          <w:instrText xml:space="preserve"> PAGEREF _Toc14722 \h </w:instrText>
        </w:r>
        <w:r>
          <w:fldChar w:fldCharType="separate"/>
        </w:r>
        <w:r>
          <w:t>76</w:t>
        </w:r>
        <w:r>
          <w:fldChar w:fldCharType="end"/>
        </w:r>
      </w:hyperlink>
    </w:p>
    <w:p>
      <w:pPr>
        <w:pStyle w:val="TOC2"/>
        <w:tabs>
          <w:tab w:val="right" w:leader="dot" w:pos="8306"/>
        </w:tabs>
      </w:pPr>
      <w:hyperlink w:anchor="_Toc26740" w:history="1">
        <w:r>
          <w:rPr>
            <w:rFonts w:ascii="仿宋" w:eastAsia="仿宋" w:hAnsi="仿宋" w:cs="仿宋" w:hint="eastAsia"/>
            <w:lang w:eastAsia="zh-CN"/>
          </w:rPr>
          <w:t>(二)、监督与审计</w:t>
        </w:r>
        <w:r>
          <w:tab/>
        </w:r>
        <w:r>
          <w:fldChar w:fldCharType="begin"/>
        </w:r>
        <w:r>
          <w:instrText xml:space="preserve"> PAGEREF _Toc26740 \h </w:instrText>
        </w:r>
        <w:r>
          <w:fldChar w:fldCharType="separate"/>
        </w:r>
        <w:r>
          <w:t>78</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4337"/>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旨在保证项目开展过程的规范性和高效性，以确保项目能够按时、按质量完成。作为一份仅用于学习交流的文档，特此声明本方案不可做为商业用途。通过合理的规划和设计，我们将为项目提供详细的路线图，确保项目按照预期计划高效推进，并达到预期的目标。</w:t>
      </w:r>
    </w:p>
    <w:p>
      <w:pPr>
        <w:pStyle w:val="Heading1"/>
        <w:ind w:firstLine="560" w:firstLineChars="200"/>
        <w:rPr>
          <w:rFonts w:ascii="仿宋" w:eastAsia="仿宋" w:hAnsi="仿宋" w:cs="仿宋" w:hint="eastAsia"/>
          <w:sz w:val="28"/>
          <w:lang w:eastAsia="zh-CN"/>
        </w:rPr>
      </w:pPr>
      <w:bookmarkStart w:id="2" w:name="_Toc18715"/>
      <w:r>
        <w:rPr>
          <w:rFonts w:ascii="仿宋" w:eastAsia="仿宋" w:hAnsi="仿宋" w:cs="仿宋" w:hint="eastAsia"/>
          <w:sz w:val="28"/>
          <w:lang w:eastAsia="zh-CN"/>
        </w:rPr>
        <w:t>一、高性能铁氧体一次料项目危机管理</w:t>
      </w:r>
      <w:bookmarkEnd w:id="2"/>
    </w:p>
    <w:p>
      <w:pPr>
        <w:pStyle w:val="Heading2"/>
        <w:rPr>
          <w:rFonts w:ascii="仿宋" w:eastAsia="仿宋" w:hAnsi="仿宋" w:cs="仿宋" w:hint="eastAsia"/>
          <w:lang w:eastAsia="zh-CN"/>
        </w:rPr>
      </w:pPr>
      <w:bookmarkStart w:id="3" w:name="_Toc3809"/>
      <w:r>
        <w:rPr>
          <w:rFonts w:ascii="仿宋" w:eastAsia="仿宋" w:hAnsi="仿宋" w:cs="仿宋" w:hint="eastAsia"/>
          <w:lang w:eastAsia="zh-CN"/>
        </w:rPr>
        <w:t>(一)、危机预警与识别</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在高性能铁氧体一次料项目危机管理中，危机预警与识别是确保高性能铁氧体一次料项目稳健运行的核心步骤。通过建立全面的监测机制，高性能铁氧体一次料项目团队旨在及时发现和理解潜在的风险和危机因素，以便采取及时的预防和应对措施，确保高性能铁氧体一次料项目持续处于可控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首先，通过深入的风险评估，高性能铁氧体一次料项目团队全面分析了整个高性能铁氧体一次料项目和各个阶段可能存在的威胁。这包括准确评估每个潜在风险的发生概率和可能影响的程度，为后续危机预警提供了有力支持。</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其次，制定敏感指标和预警机制，高性能铁氧体一次料项目团队着重于明确定义高性能铁氧体一次料项目进展中的关键节点和相关指标，以便迅速察觉潜在问题。通过建立预警系统，团队能够更早地发现可能导致危机的迹象，并及时采取必要的行动。</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监测作为危机预警的关键手段，通过对高性能铁氧体一次料项目进展的持续监控，团队能够及时发现潜在问题并作出迅速反应。高性能铁氧体一次料项目管理工具、定期进度报告以及团队会议等方式都被纳入监测体系，确保信息能够流畅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阶段，团队的专业素养和反应速度将发挥至关重要的作用，以确保潜在危机能够在初期得到有效的处理，最大程度地减轻负面影响。通过危机预警与识别，高性能铁氧体一次料项目得以更有序、可控地推进。</w:t>
      </w:r>
    </w:p>
    <w:p>
      <w:pPr>
        <w:pStyle w:val="Heading2"/>
        <w:ind w:firstLine="560" w:firstLineChars="200"/>
        <w:rPr>
          <w:rFonts w:ascii="仿宋" w:eastAsia="仿宋" w:hAnsi="仿宋" w:cs="仿宋" w:hint="eastAsia"/>
          <w:sz w:val="28"/>
          <w:lang w:eastAsia="zh-CN"/>
        </w:rPr>
      </w:pPr>
      <w:bookmarkStart w:id="4" w:name="_Toc25555"/>
      <w:r>
        <w:rPr>
          <w:rFonts w:ascii="仿宋" w:eastAsia="仿宋" w:hAnsi="仿宋" w:cs="仿宋" w:hint="eastAsia"/>
          <w:sz w:val="28"/>
          <w:lang w:eastAsia="zh-CN"/>
        </w:rPr>
        <w:t>(二)、危机应对与恢复</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1. 紧急应对措施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在危机发生时，高性能铁氧体一次料项目团队立即行动，成立了应急小组。该小组的任务是迅速制定并实施紧急应对措施，以最小化潜在损失。以下是采取的主要措施：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暂停高性能铁氧体一次料项目进度：为遏制危机蔓延，高性能铁氧体一次料项目暂时停止进行，以便全面评估当前状况。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资源重新分配：重新评估高性能铁氧体一次料项目资源的分配，确保最大限度地减小损失。</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实时沟通：与关键利益相关者建立实时沟通机制，向他们传递高性能铁氧体一次料项目危机的实际状况，保障高性能铁氧体一次料项目核心利益。</w:t>
      </w:r>
    </w:p>
    <w:p>
      <w:pPr>
        <w:ind w:firstLine="560" w:firstLineChars="200"/>
        <w:rPr>
          <w:rFonts w:ascii="仿宋" w:eastAsia="仿宋" w:hAnsi="仿宋" w:cs="仿宋" w:hint="eastAsia"/>
          <w:sz w:val="28"/>
        </w:rPr>
      </w:pPr>
      <w:r>
        <w:rPr>
          <w:rFonts w:ascii="仿宋" w:eastAsia="仿宋" w:hAnsi="仿宋" w:cs="仿宋" w:hint="eastAsia"/>
          <w:sz w:val="28"/>
          <w:lang w:eastAsia="zh-CN"/>
        </w:rPr>
        <w:t>2. 团队协作与沟通</w:t>
      </w:r>
    </w:p>
    <w:p>
      <w:pPr>
        <w:ind w:firstLine="560" w:firstLineChars="200"/>
        <w:rPr>
          <w:rFonts w:ascii="仿宋" w:eastAsia="仿宋" w:hAnsi="仿宋" w:cs="仿宋" w:hint="eastAsia"/>
          <w:sz w:val="28"/>
        </w:rPr>
      </w:pPr>
      <w:r>
        <w:rPr>
          <w:rFonts w:ascii="仿宋" w:eastAsia="仿宋" w:hAnsi="仿宋" w:cs="仿宋" w:hint="eastAsia"/>
          <w:sz w:val="28"/>
          <w:lang w:eastAsia="zh-CN"/>
        </w:rPr>
        <w:t>在紧急应对的同时，高性能铁氧体一次料项目团队强调了团队协作和有效沟通的重要性。以下是团队协作的关键举措：</w:t>
      </w:r>
    </w:p>
    <w:p>
      <w:pPr>
        <w:ind w:firstLine="560" w:firstLineChars="200"/>
        <w:rPr>
          <w:rFonts w:ascii="仿宋" w:eastAsia="仿宋" w:hAnsi="仿宋" w:cs="仿宋" w:hint="eastAsia"/>
          <w:sz w:val="28"/>
        </w:rPr>
      </w:pPr>
      <w:r>
        <w:rPr>
          <w:rFonts w:ascii="仿宋" w:eastAsia="仿宋" w:hAnsi="仿宋" w:cs="仿宋" w:hint="eastAsia"/>
          <w:sz w:val="28"/>
          <w:lang w:eastAsia="zh-CN"/>
        </w:rPr>
        <w:t>应急小组成员职责明确：每位成员清晰了解自己在应急小组中的任务，保证任务执行的高效协同。</w:t>
      </w:r>
    </w:p>
    <w:p>
      <w:pPr>
        <w:ind w:firstLine="560" w:firstLineChars="200"/>
        <w:rPr>
          <w:rFonts w:ascii="仿宋" w:eastAsia="仿宋" w:hAnsi="仿宋" w:cs="仿宋" w:hint="eastAsia"/>
          <w:sz w:val="28"/>
        </w:rPr>
      </w:pPr>
      <w:r>
        <w:rPr>
          <w:rFonts w:ascii="仿宋" w:eastAsia="仿宋" w:hAnsi="仿宋" w:cs="仿宋" w:hint="eastAsia"/>
          <w:sz w:val="28"/>
          <w:lang w:eastAsia="zh-CN"/>
        </w:rPr>
        <w:t>信息共享机制：建立了信息共享平台，确保团队成员能够及时获取高性能铁氧体一次料项目危机的实时信息。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领导者沟通：高性能铁氧体一次料项目领导者通过定期会议和即时沟通工具，指导团队应对危机，保持团队稳定运行。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恢复计划制定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随着危机得到初步控制，高性能铁氧体一次料项目团队转向制定恢复计划，以确保高性能铁氧体一次料项目能够从中迅速恢复。主要恢复计划包括：</w:t>
      </w:r>
    </w:p>
    <w:p>
      <w:pPr>
        <w:ind w:firstLine="560" w:firstLineChars="200"/>
        <w:rPr>
          <w:rFonts w:ascii="仿宋" w:eastAsia="仿宋" w:hAnsi="仿宋" w:cs="仿宋" w:hint="eastAsia"/>
          <w:sz w:val="28"/>
        </w:rPr>
      </w:pPr>
      <w:r>
        <w:rPr>
          <w:rFonts w:ascii="仿宋" w:eastAsia="仿宋" w:hAnsi="仿宋" w:cs="仿宋" w:hint="eastAsia"/>
          <w:sz w:val="28"/>
          <w:lang w:eastAsia="zh-CN"/>
        </w:rPr>
        <w:t>修复受损的进度计划：重新评估高性能铁氧体一次料项目进度，制定修复计划，确保高性能铁氧体一次料项目尽快回归正常进程。</w:t>
      </w:r>
    </w:p>
    <w:p>
      <w:pPr>
        <w:ind w:firstLine="560" w:firstLineChars="200"/>
        <w:rPr>
          <w:rFonts w:ascii="仿宋" w:eastAsia="仿宋" w:hAnsi="仿宋" w:cs="仿宋" w:hint="eastAsia"/>
          <w:sz w:val="28"/>
        </w:rPr>
      </w:pPr>
      <w:r>
        <w:rPr>
          <w:rFonts w:ascii="仿宋" w:eastAsia="仿宋" w:hAnsi="仿宋" w:cs="仿宋" w:hint="eastAsia"/>
          <w:sz w:val="28"/>
          <w:lang w:eastAsia="zh-CN"/>
        </w:rPr>
        <w:t>重新调整资源分配：优化资源分配，确保高性能铁氧体一次料项目在有限资源下高效运转。</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风险管理机制加强：对高性能铁氧体一次料项目风险进行全面评估，制定更强化的风险管理策略，以预防未来可能的危机。</w:t>
      </w:r>
    </w:p>
    <w:p>
      <w:pPr>
        <w:pStyle w:val="Heading1"/>
        <w:ind w:firstLine="560" w:firstLineChars="200"/>
        <w:rPr>
          <w:rFonts w:ascii="仿宋" w:eastAsia="仿宋" w:hAnsi="仿宋" w:cs="仿宋" w:hint="eastAsia"/>
          <w:sz w:val="28"/>
          <w:lang w:eastAsia="zh-CN"/>
        </w:rPr>
      </w:pPr>
      <w:bookmarkStart w:id="5" w:name="_Toc7263"/>
      <w:r>
        <w:rPr>
          <w:rFonts w:ascii="仿宋" w:eastAsia="仿宋" w:hAnsi="仿宋" w:cs="仿宋" w:hint="eastAsia"/>
          <w:sz w:val="28"/>
          <w:lang w:eastAsia="zh-CN"/>
        </w:rPr>
        <w:t>二、市场分析、调研</w:t>
      </w:r>
      <w:bookmarkEnd w:id="5"/>
    </w:p>
    <w:p>
      <w:pPr>
        <w:pStyle w:val="Heading2"/>
        <w:rPr>
          <w:rFonts w:ascii="仿宋" w:eastAsia="仿宋" w:hAnsi="仿宋" w:cs="仿宋" w:hint="eastAsia"/>
          <w:lang w:eastAsia="zh-CN"/>
        </w:rPr>
      </w:pPr>
      <w:bookmarkStart w:id="6" w:name="_Toc3590"/>
      <w:r>
        <w:rPr>
          <w:rFonts w:ascii="仿宋" w:eastAsia="仿宋" w:hAnsi="仿宋" w:cs="仿宋" w:hint="eastAsia"/>
          <w:lang w:eastAsia="zh-CN"/>
        </w:rPr>
        <w:t>(一)、高性能铁氧体一次料行业分析</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高性能铁氧体一次料行业一直以来都是市场的关注焦点。行业内的发展趋势、竞争态势以及潜在机会都对高性能铁氧体一次料项目的推进产生深远的影响。通过深入研究行业的整体概貌，我们将更好地理解行业的核心特征，为高性能铁氧体一次料项目的定位提供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4.1.2 技术趋势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高性能铁氧体一次料行业，技术一直是推动创新和发展的关键因素。我们将对当前技术趋势进行详尽分析，包括但不限于人工智能、大数据应用、先进制造技术等。这有助于高性能铁氧体一次料项目更好地把握行业的技术脉搏，为技术应用和创新提供有针对性的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4.1.3 市场竞争格局</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行业内的竞争格局是高性能铁氧体一次料项目成功的基础。我们将对主要竞争对手进行深入研究，包括其市场份额、产品特点、市场定位等。通过全面了解竞争对手的优势和劣势，高性能铁氧体一次料项目可以更好地制定市场推广策略，寻找差异化竞争优势。</w:t>
      </w:r>
    </w:p>
    <w:p>
      <w:pPr>
        <w:pStyle w:val="Heading2"/>
        <w:ind w:firstLine="560" w:firstLineChars="200"/>
        <w:rPr>
          <w:rFonts w:ascii="仿宋" w:eastAsia="仿宋" w:hAnsi="仿宋" w:cs="仿宋" w:hint="eastAsia"/>
          <w:sz w:val="28"/>
          <w:lang w:eastAsia="zh-CN"/>
        </w:rPr>
      </w:pPr>
      <w:bookmarkStart w:id="7" w:name="_Toc25312"/>
      <w:r>
        <w:rPr>
          <w:rFonts w:ascii="仿宋" w:eastAsia="仿宋" w:hAnsi="仿宋" w:cs="仿宋" w:hint="eastAsia"/>
          <w:sz w:val="28"/>
          <w:lang w:eastAsia="zh-CN"/>
        </w:rPr>
        <w:t>(二)、高性能铁氧体一次料市场分析预测</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4.2.1 市场规模与增长趋势</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市场规模的深入调研，我们将预测高性能铁氧体一次料市场未来的增长趋势。这包括市场的整体规模、各细分领域的发展趋势等。高性能铁氧体一次料项目可以根据市场的扩张速度和潜在机会，制定更符合市场需求的发展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4.2.2 消费者需求分析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消费者的需求是市场分析的核心。我们将通过调查研究，深入挖掘目标消费者的需求特点、购买习惯以及对产品和服务的期望。这有助于高性能铁氧体一次料项目更好地定位目标市场，提供更符合消费者期待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4.2.3 市场风险评估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风险是高性能铁氧体一次料项目实施过程中需要充分考虑的因素。我们将对市场风险进行全面评估，包括但不限于政策法规风险、市场竞争风险、技术变革风险等。通过对潜在风险的深入分析，高性能铁氧体一次料项目可以制定相应的风险缓解策略，降低不确定性对高性能铁氧体一次料项目的影响。</w:t>
      </w:r>
    </w:p>
    <w:p>
      <w:pPr>
        <w:pStyle w:val="Heading1"/>
        <w:ind w:firstLine="560" w:firstLineChars="200"/>
        <w:rPr>
          <w:rFonts w:ascii="仿宋" w:eastAsia="仿宋" w:hAnsi="仿宋" w:cs="仿宋" w:hint="eastAsia"/>
          <w:sz w:val="28"/>
          <w:lang w:eastAsia="zh-CN"/>
        </w:rPr>
      </w:pPr>
      <w:bookmarkStart w:id="8" w:name="_Toc13270"/>
      <w:r>
        <w:rPr>
          <w:rFonts w:ascii="仿宋" w:eastAsia="仿宋" w:hAnsi="仿宋" w:cs="仿宋" w:hint="eastAsia"/>
          <w:sz w:val="28"/>
          <w:lang w:eastAsia="zh-CN"/>
        </w:rPr>
        <w:t>三、工艺说明</w:t>
      </w:r>
      <w:bookmarkEnd w:id="8"/>
    </w:p>
    <w:p>
      <w:pPr>
        <w:pStyle w:val="Heading2"/>
        <w:rPr>
          <w:rFonts w:ascii="仿宋" w:eastAsia="仿宋" w:hAnsi="仿宋" w:cs="仿宋" w:hint="eastAsia"/>
          <w:lang w:eastAsia="zh-CN"/>
        </w:rPr>
      </w:pPr>
      <w:bookmarkStart w:id="9" w:name="_Toc11158"/>
      <w:r>
        <w:rPr>
          <w:rFonts w:ascii="仿宋" w:eastAsia="仿宋" w:hAnsi="仿宋" w:cs="仿宋" w:hint="eastAsia"/>
          <w:lang w:eastAsia="zh-CN"/>
        </w:rPr>
        <w:t>(一)、技术管理特点</w:t>
      </w:r>
      <w:bookmarkEnd w:id="9"/>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高性能铁氧体一次料项目的技术管理特点体现在其创新导向。通过引入最先进的技术趋势和解决方案，高性能铁氧体一次料项目致力于提升科技含量、提高质量和效率水平。这意味着我们将采用最新的工具和方法，确保高性能铁氧体一次料项目在技术层面始终走在前沿，从而在竞争激烈的市场中脱颖而出。</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整合性策略是高性能铁氧体一次料项目技术管理的显著特征。通过整合不同领域的技术资源，我们实现了跨学科的协同工作。这有助于优化技术架构，提高整体效能。此外，整合性策略还促进了不同技术团队之间的紧密沟通和高效合作，确保高性能铁氧体一次料项目各方面的技术都能得到协同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管理的第三个显著特点是持续优化。为了保持竞争力，我们将建立健全的技术监测体系，定期评估和更新高性能铁氧体一次料项目所采用的技术。通过不断优化技术方案，高性能铁氧体一次料项目将能够灵活应对市场和行业的变化，确保技术一直处于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另一方面，风险管理在技术管理中也占据重要地位。高性能铁氧体一次料项目团队将在高性能铁氧体一次料项目初期识别可能的技术风险，并采取相应的预防和应对措施。通过建立健全的风险评估机制，高性能铁氧体一次料项目能够在实施过程中及时发现并解决潜在的技术问题，保障高性能铁氧体一次料项目技术实施的平稳进行。</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些独特的技术管理特点，我们确信在高性能铁氧体一次料项目中，技术将成为高性能铁氧体一次料项目成功的有力支持。这一深度剖析揭示了技术管理在高性能铁氧体一次料项目实施中的关键作用，为高性能铁氧体一次料项目的技术基础奠定了坚实的基础。</w:t>
      </w:r>
    </w:p>
    <w:p>
      <w:pPr>
        <w:pStyle w:val="Heading2"/>
        <w:ind w:firstLine="560" w:firstLineChars="200"/>
        <w:rPr>
          <w:rFonts w:ascii="仿宋" w:eastAsia="仿宋" w:hAnsi="仿宋" w:cs="仿宋" w:hint="eastAsia"/>
          <w:sz w:val="28"/>
          <w:lang w:eastAsia="zh-CN"/>
        </w:rPr>
      </w:pPr>
      <w:bookmarkStart w:id="10" w:name="_Toc14559"/>
      <w:r>
        <w:rPr>
          <w:rFonts w:ascii="仿宋" w:eastAsia="仿宋" w:hAnsi="仿宋" w:cs="仿宋" w:hint="eastAsia"/>
          <w:sz w:val="28"/>
          <w:lang w:eastAsia="zh-CN"/>
        </w:rPr>
        <w:t>(二)、高性能铁氧体一次料项目工艺技术设计方案</w:t>
      </w:r>
      <w:bookmarkEnd w:id="10"/>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对于生产技术方案的选用，高性能铁氧体一次料项目将遵循“利用资源”的原则，选择当前较先进的集散型控制系统。这系统能够全面掌控整个生产线的各项工艺参数，确保产品质量稳定在高水平，同时降低物料的消耗。这一决策旨在通过高效的控制系统实现生产过程的优化，提高产品生产的效率和质量。</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经营活动方面，高性能铁氧体一次料项目将严格按照相关行业规范要求进行组织。通过有效控制产品质量，高性能铁氧体一次料项目将致力于为顾客提供优质的高性能铁氧体一次料项目产品和良好的服务。这体现了高性能铁氧体一次料项目对于生产活动合规性和质量标准的高度重视，为高性能铁氧体一次料项目的可持续发展和顾客满意度奠定了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在工艺技术方面，高性能铁氧体一次料项目注重生态效益和清洁生产原则。高性能铁氧体一次料项目建设将紧密结合地方特色经济发展，与社会经济发展规划和区域环境保护规划方案相协调一致。通过与当地区域自然生态系统的结合，高性能铁氧体一次料项目将实施可持续发展的产业结构调整和传统产业的升级改造，以提高资源利用效率，减少污染物产生和对环境的压力。</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在产品方面，高性能铁氧体一次料项目产品具有多样化的客户需求和个性化的特点。因此，高性能铁氧体一次料项目产品规格品种多样，且单批生产数量较小。为满足这一特点，高性能铁氧体一次料项目承办单位将建设先进的柔性制造生产线。通过广泛应用柔性制造技术，高性能铁氧体一次料项目能够在照顾客户个性化要求的同时，保持生产规模优势和高水平的质量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总体而言，高性能铁氧体一次料项目采用的技术具有较高的技术含量和自动化水平，处于国内先进水平。这一技术选用不仅体现了对生产效率、质量和环境友好性的高标准要求，同时为高性能铁氧体一次料项目的可持续发展奠定了坚实的基础。</w:t>
      </w:r>
    </w:p>
    <w:p>
      <w:pPr>
        <w:pStyle w:val="Heading2"/>
        <w:ind w:firstLine="560" w:firstLineChars="200"/>
        <w:rPr>
          <w:rFonts w:ascii="仿宋" w:eastAsia="仿宋" w:hAnsi="仿宋" w:cs="仿宋" w:hint="eastAsia"/>
          <w:sz w:val="28"/>
          <w:lang w:eastAsia="zh-CN"/>
        </w:rPr>
      </w:pPr>
      <w:bookmarkStart w:id="11" w:name="_Toc22040"/>
      <w:r>
        <w:rPr>
          <w:rFonts w:ascii="仿宋" w:eastAsia="仿宋" w:hAnsi="仿宋" w:cs="仿宋" w:hint="eastAsia"/>
          <w:sz w:val="28"/>
          <w:lang w:eastAsia="zh-CN"/>
        </w:rPr>
        <w:t>(三)、设备选型方案</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为确保高性能铁氧体一次料项目的高效生产和技术实施，我们制定了一套精心设计的设备选型方案，以满足高性能铁氧体一次料项目生产、质量和环保的要求。该方案的主要特点如下：</w:t>
      </w:r>
    </w:p>
    <w:p>
      <w:pPr>
        <w:ind w:firstLine="560" w:firstLineChars="200"/>
        <w:rPr>
          <w:rFonts w:ascii="仿宋" w:eastAsia="仿宋" w:hAnsi="仿宋" w:cs="仿宋" w:hint="eastAsia"/>
          <w:sz w:val="28"/>
        </w:rPr>
      </w:pPr>
      <w:r>
        <w:rPr>
          <w:rFonts w:ascii="仿宋" w:eastAsia="仿宋" w:hAnsi="仿宋" w:cs="仿宋" w:hint="eastAsia"/>
          <w:sz w:val="28"/>
          <w:lang w:eastAsia="zh-CN"/>
        </w:rPr>
        <w:t>1. 先进控制系统选用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技术方案的选用中，我们决定采用先进的集散型控制系统。这一系统将负责监控和控制整个生产线的工艺参数，确保产品的生产过程得到精准控制。通过引入这一控制系统，我们能够实现生产线的高度自动化和数字化，提高生产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2. 设备智能化水平提升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在设备选型中，我们注重提高设备的智能化水平。通过选择智能化设备，可以实现设备之间的联动，减少人工干预，降低操作成本。同时，这也有助于提高设备的故障诊断和维护效率，确保生产线的稳定运行。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遵循清洁生产原则</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严格遵循清洁生产原则。选择符合环保标准的设备，以减少对环境的影响。设备的能效和资源利用率将得到优化，降低能源消耗和废弃物产生。这有助于高性能铁氧体一次料项目在生产过程中实现更高的生态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柔性制造生产线建设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针对高性能铁氧体一次料项目产品的多样性和小批量生产的特点，我们将建设柔性制造生产线。通过在设备选型中考虑柔性制造技术，可以灵活应对不同产品规格和生产需求，实现生产线的高度灵活性和适应性。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设备质量和耐久性</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在设备选型中，我们将优先选择质量可靠、耐久性强的设备。这有助于减少设备故障和维护频率，确保生产线的稳定运行，最大程度地提高设备的使用寿命。</w:t>
      </w:r>
    </w:p>
    <w:p>
      <w:pPr>
        <w:pStyle w:val="Heading1"/>
        <w:ind w:firstLine="560" w:firstLineChars="200"/>
        <w:rPr>
          <w:rFonts w:ascii="仿宋" w:eastAsia="仿宋" w:hAnsi="仿宋" w:cs="仿宋" w:hint="eastAsia"/>
          <w:sz w:val="28"/>
          <w:lang w:eastAsia="zh-CN"/>
        </w:rPr>
      </w:pPr>
      <w:bookmarkStart w:id="12" w:name="_Toc1822"/>
      <w:r>
        <w:rPr>
          <w:rFonts w:ascii="仿宋" w:eastAsia="仿宋" w:hAnsi="仿宋" w:cs="仿宋" w:hint="eastAsia"/>
          <w:sz w:val="28"/>
          <w:lang w:eastAsia="zh-CN"/>
        </w:rPr>
        <w:t>四、高性能铁氧体一次料项目选址可行性分析</w:t>
      </w:r>
      <w:bookmarkEnd w:id="12"/>
    </w:p>
    <w:p>
      <w:pPr>
        <w:pStyle w:val="Heading2"/>
        <w:rPr>
          <w:rFonts w:ascii="仿宋" w:eastAsia="仿宋" w:hAnsi="仿宋" w:cs="仿宋" w:hint="eastAsia"/>
          <w:lang w:eastAsia="zh-CN"/>
        </w:rPr>
      </w:pPr>
      <w:bookmarkStart w:id="13" w:name="_Toc4652"/>
      <w:r>
        <w:rPr>
          <w:rFonts w:ascii="仿宋" w:eastAsia="仿宋" w:hAnsi="仿宋" w:cs="仿宋" w:hint="eastAsia"/>
          <w:lang w:eastAsia="zh-CN"/>
        </w:rPr>
        <w:t>(一)、高性能铁氧体一次料项目选址</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该高性能铁氧体一次料项目选址位于XX省XX市XX区XXX街道</w:t>
      </w:r>
    </w:p>
    <w:p>
      <w:pPr>
        <w:pStyle w:val="Heading2"/>
        <w:ind w:firstLine="560" w:firstLineChars="200"/>
        <w:rPr>
          <w:rFonts w:ascii="仿宋" w:eastAsia="仿宋" w:hAnsi="仿宋" w:cs="仿宋" w:hint="eastAsia"/>
          <w:sz w:val="28"/>
          <w:lang w:eastAsia="zh-CN"/>
        </w:rPr>
      </w:pPr>
      <w:bookmarkStart w:id="14" w:name="_Toc11794"/>
      <w:r>
        <w:rPr>
          <w:rFonts w:ascii="仿宋" w:eastAsia="仿宋" w:hAnsi="仿宋" w:cs="仿宋" w:hint="eastAsia"/>
          <w:sz w:val="28"/>
          <w:lang w:eastAsia="zh-CN"/>
        </w:rPr>
        <w:t>(二)、用地控制指标</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1. 征地面积： 高性能铁氧体一次料项目的征地面积将根据高性能铁氧体一次料项目的实际规模和需求进行精确规划。具体面积XXX平方米，旨在确保高性能铁氧体一次料项目不仅能够满足当前的发展需求，还能够预留空间以适应未来的扩展。</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2.</w:t>
      </w:r>
      <w:r>
        <w:rPr>
          <w:rFonts w:ascii="仿宋" w:eastAsia="仿宋" w:hAnsi="仿宋" w:cs="仿宋" w:hint="eastAsia"/>
          <w:sz w:val="28"/>
          <w:lang w:eastAsia="zh-CN"/>
        </w:rPr>
        <w:t xml:space="preserve"> 净用地面积：</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净用地面积是在征地面积基础上去除不可利用面积后的实际可开发用地。具体面积XXX平方米，考虑到环保、交通、安全等多方面因素，以确保高性能铁氧体一次料项目在整体利用效率上达到最优。</w:t>
      </w:r>
    </w:p>
    <w:p>
      <w:pPr>
        <w:ind w:firstLine="560" w:firstLineChars="200"/>
        <w:rPr>
          <w:rFonts w:ascii="仿宋" w:eastAsia="仿宋" w:hAnsi="仿宋" w:cs="仿宋" w:hint="eastAsia"/>
          <w:sz w:val="28"/>
        </w:rPr>
      </w:pPr>
      <w:r>
        <w:rPr>
          <w:rFonts w:ascii="仿宋" w:eastAsia="仿宋" w:hAnsi="仿宋" w:cs="仿宋" w:hint="eastAsia"/>
          <w:sz w:val="28"/>
          <w:lang w:eastAsia="zh-CN"/>
        </w:rPr>
        <w:t>3. 建筑面积： 高性能铁氧体一次料项目计划建设的建筑总规模具体面积XXX平方米。这一规模的确定综合考虑了高性能铁氧体一次料项目的性质、规模，以及城市规划的相关要求，确保建筑布局与周边环境协调一致。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4. 绿地率： 绿地率是高性能铁氧体一次料项目用地中被规划为绿地的比例。具体面积XXX平方米，旨在通过合理规划绿地，改善高性能铁氧体一次料项目周边环境，提升居民生活质量，并符合城市整体绿化规划。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5.容积率： 容积率是用地上可以建设的建筑总体积与用地面积之比。具体面积XXX，通过合理的容积率规划，确保高性能铁氧体一次料项目建筑规模与周边环境和谐共生。</w:t>
      </w:r>
    </w:p>
    <w:p>
      <w:pPr>
        <w:ind w:firstLine="560" w:firstLineChars="200"/>
        <w:rPr>
          <w:rFonts w:ascii="仿宋" w:eastAsia="仿宋" w:hAnsi="仿宋" w:cs="仿宋" w:hint="eastAsia"/>
          <w:sz w:val="28"/>
        </w:rPr>
      </w:pPr>
      <w:r>
        <w:rPr>
          <w:rFonts w:ascii="仿宋" w:eastAsia="仿宋" w:hAnsi="仿宋" w:cs="仿宋" w:hint="eastAsia"/>
          <w:sz w:val="28"/>
          <w:lang w:eastAsia="zh-CN"/>
        </w:rPr>
        <w:t>6. 城市规划一致性： 确保高性能铁氧体一次料项目选址与当地城市规划相一致，具体面积XXX平方米。通过与城市规划部门深入沟通，确保高性能铁氧体一次料项目不仅符合城市的整体发展方向，还能够融入城市的发展布局，为城市的长远发展贡献力量。</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7.</w:t>
      </w:r>
      <w:r>
        <w:rPr>
          <w:rFonts w:ascii="仿宋" w:eastAsia="仿宋" w:hAnsi="仿宋" w:cs="仿宋" w:hint="eastAsia"/>
          <w:sz w:val="28"/>
          <w:lang w:eastAsia="zh-CN"/>
        </w:rPr>
        <w:t xml:space="preserve"> 产业政策符合性：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充分了解并确保高性能铁氧体一次料项目选址符合当地产业政策，具体面积XXX平方米。这包括高性能铁氧体一次料项目对当地经济的促进作用，以及对相关产业的带动效应，确保高性能铁氧体一次料项目与地方政府的产业政策保持一致，促进共赢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8. 环保和可持续性： 用地总体要求必须符合环保和可持续发展的原则，具体面积XXX平方米。通过采用绿色建筑设计、节能减排等措施，确保高性能铁氧体一次料项目在建设和运营过程中对环境的影响最小化，达到可持续发展的要求。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9. 公共设施配套： 确保高性能铁氧体一次料项目选址具备必要的公共设施配套，具体面积XXX平方米。这包括交通便利性、教育、医疗等基础设施，以提高居民生活品质，使得高性能铁氧体一次料项目选址更具吸引力。</w:t>
      </w:r>
    </w:p>
    <w:p>
      <w:pPr>
        <w:ind w:firstLine="560" w:firstLineChars="200"/>
        <w:rPr>
          <w:rFonts w:ascii="仿宋" w:eastAsia="仿宋" w:hAnsi="仿宋" w:cs="仿宋" w:hint="eastAsia"/>
          <w:sz w:val="28"/>
        </w:rPr>
      </w:pPr>
      <w:r>
        <w:rPr>
          <w:rFonts w:ascii="仿宋" w:eastAsia="仿宋" w:hAnsi="仿宋" w:cs="仿宋" w:hint="eastAsia"/>
          <w:sz w:val="28"/>
          <w:lang w:eastAsia="zh-CN"/>
        </w:rPr>
        <w:t>10. 社会稳定性： 考虑用地总体要求对当地社会稳定性的影响，具体面积XXX平方米。通过深入了解当地社区反馈，确保高性能铁氧体一次料项目的选址和建设过程对当地社会和谐稳定产生积极作用。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这些用地总体要求的详细规划，我们将确保高性能铁氧体一次料项目选址不仅符合法规和规划，还在实际操作中具有可行性。这一全面规划将为高性能铁氧体一次料项目的成功实施提供坚实的基础，确保高性能铁氧体一次料项目选址阶段就能够奠定良好的发展基础。</w:t>
      </w:r>
    </w:p>
    <w:p>
      <w:pPr>
        <w:pStyle w:val="Heading2"/>
        <w:ind w:firstLine="560" w:firstLineChars="200"/>
        <w:rPr>
          <w:rFonts w:ascii="仿宋" w:eastAsia="仿宋" w:hAnsi="仿宋" w:cs="仿宋" w:hint="eastAsia"/>
          <w:sz w:val="28"/>
          <w:lang w:eastAsia="zh-CN"/>
        </w:rPr>
      </w:pPr>
      <w:bookmarkStart w:id="15" w:name="_Toc7385"/>
      <w:r>
        <w:rPr>
          <w:rFonts w:ascii="仿宋" w:eastAsia="仿宋" w:hAnsi="仿宋" w:cs="仿宋" w:hint="eastAsia"/>
          <w:sz w:val="28"/>
          <w:lang w:eastAsia="zh-CN"/>
        </w:rPr>
        <w:t>(三)、节约用地措施</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智能化建筑设计与最优空间利用</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高性能铁氧体一次料项目的选址和规划过程中，我们高度重视如何最大程度地节约用地、提高用地利用效率。首先，我们将采用智能化建筑设计的创新手段，以确保建筑结构和布局能够实现最佳的空间利用效果。通过引入智能化空调系统、光照调节系统等先进技术，我们能够精准地控制室内环境，同时避免了传统设计中可能存在的冗余空间。这一智能设计理念将使得每平方米的建筑空间都能够被最充分地利用，实现能耗的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灵活设备布局与多功能空间设计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在高性能铁氧体一次料项目的设备规划和空间设计中，我们将采取灵活设备布局的措施。设备布局将根据实际需求进行灵活设计，避免不必要的浪费。通过合理规划设备摆放位置，我们将提高设备的利用率，减少设备间距，以确保高性能铁氧体一次料项目的生产效率和能源利用效率得到最大程度的提升。同时，我们将引入多功能空间设计理念，使得建筑内部空间具备多种功能。这样的设计能够减少不同功能区域之间的空间浪费，进而提高整体空间利用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共享设施与垂直建筑设计的创新应用</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进一步，我们计划在高性能铁氧体一次料项目内部引入共享设施的概念，例如共享会议室、办公区等。通过这种方式，我们可以减少对资源的重复建设，提高资源共享效率，从而减小高性能铁氧体一次料项目整体用地需求。此外，我们将采用垂直建筑设计的创新应用，特别是在空间受限的情况下。通过提高建筑的垂直高度，我们能够在有限的占地面积内实现更大程度上的用地节约，有效降低对土地资源的压力。</w:t>
      </w:r>
    </w:p>
    <w:p>
      <w:pPr>
        <w:pStyle w:val="Heading2"/>
        <w:ind w:firstLine="560" w:firstLineChars="200"/>
        <w:rPr>
          <w:rFonts w:ascii="仿宋" w:eastAsia="仿宋" w:hAnsi="仿宋" w:cs="仿宋" w:hint="eastAsia"/>
          <w:sz w:val="28"/>
          <w:lang w:eastAsia="zh-CN"/>
        </w:rPr>
      </w:pPr>
      <w:bookmarkStart w:id="16" w:name="_Toc23566"/>
      <w:r>
        <w:rPr>
          <w:rFonts w:ascii="仿宋" w:eastAsia="仿宋" w:hAnsi="仿宋" w:cs="仿宋" w:hint="eastAsia"/>
          <w:sz w:val="28"/>
          <w:lang w:eastAsia="zh-CN"/>
        </w:rPr>
        <w:t>(四)、总图布置方案</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功能分区规划： 在高性能铁氧体一次料项目的总图布置中，我们将不同功能区域进行明确的规划，以最大程度满足高性能铁氧体一次料项目的多元需求。生产区将被合理布置，确保生产线的顺畅运作；办公区域将被设计成开放、灵活的办公空间，促进团队协作；休闲区域将被设置为员工放松休息的场所，提高员工工作舒适度。</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交通与通道设计： 我们将精心设计交通与通道系统，确保不同功能区域之间的交通畅通无阻。主要通道将被宽敞设计，以容纳员工和物流的流动；次要通道将连接各个功能区，确保便捷的移动路径。这样的设计有助于提高整体运营效率，降低工作中的阻力。</w:t>
      </w:r>
    </w:p>
    <w:p>
      <w:pPr>
        <w:ind w:firstLine="560" w:firstLineChars="200"/>
        <w:rPr>
          <w:rFonts w:ascii="仿宋" w:eastAsia="仿宋" w:hAnsi="仿宋" w:cs="仿宋" w:hint="eastAsia"/>
          <w:sz w:val="28"/>
        </w:rPr>
      </w:pPr>
      <w:r>
        <w:rPr>
          <w:rFonts w:ascii="仿宋" w:eastAsia="仿宋" w:hAnsi="仿宋" w:cs="仿宋" w:hint="eastAsia"/>
          <w:sz w:val="28"/>
          <w:lang w:eastAsia="zh-CN"/>
        </w:rPr>
        <w:t>建筑空间组织： 在总图布置方案中，我们将注重建筑空间的组织，确保建筑之间的布局和高度相互协调。高度差异将被合理利用，形成动态的建筑群体。通过巧妙的建筑组织，我们旨在提高空间利用效率，同时创造一个宜人、舒适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绿化与景观设计： 我们将在总图中融入绿化与景观设计，以打造宜人的工作环境。绿化带将被合理设置，增添自然元素；景观点将点缀在办公区域，提升员工的工作满意度。通过这些设计元素，我们旨在创造一个宜人、绿意盎然的工作场所，激发员工的创造力和活力。</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紧急疏散通道： 安全是总图布置中的首要考虑因素。我们将合理规划紧急疏散通道，确保在紧急情况下员工能够快速安全地疏散。紧急通道将被明确标识，并与灭火器材等安全设备相配合，以最大程度减少潜在的安全风险。</w:t>
      </w:r>
    </w:p>
    <w:p>
      <w:pPr>
        <w:pStyle w:val="Heading2"/>
        <w:ind w:firstLine="560" w:firstLineChars="200"/>
        <w:rPr>
          <w:rFonts w:ascii="仿宋" w:eastAsia="仿宋" w:hAnsi="仿宋" w:cs="仿宋" w:hint="eastAsia"/>
          <w:sz w:val="28"/>
          <w:lang w:eastAsia="zh-CN"/>
        </w:rPr>
      </w:pPr>
      <w:bookmarkStart w:id="17" w:name="_Toc17158"/>
      <w:r>
        <w:rPr>
          <w:rFonts w:ascii="仿宋" w:eastAsia="仿宋" w:hAnsi="仿宋" w:cs="仿宋" w:hint="eastAsia"/>
          <w:sz w:val="28"/>
          <w:lang w:eastAsia="zh-CN"/>
        </w:rPr>
        <w:t>(五)、选址综合评价</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市场因素： 我们首先关注市场因素，包括潜在客户分布、竞争对手位置、市场需求等。通过深入的市场调研，我们能够更准确地评估选址对于市场开拓和产品销售的影响，确保高性能铁氧体一次料项目能够在有利的市场环境中蓬勃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交通便利性： 选址的交通便利性直接关系到物流运输和员工的出行。我们将评估选址周边的交通网络，包括高速公路、铁路、港口等，以确保原材料和成品的流通畅通，并为员工提供便捷的通勤条件。</w:t>
      </w:r>
    </w:p>
    <w:p>
      <w:pPr>
        <w:ind w:firstLine="560" w:firstLineChars="200"/>
        <w:rPr>
          <w:rFonts w:ascii="仿宋" w:eastAsia="仿宋" w:hAnsi="仿宋" w:cs="仿宋" w:hint="eastAsia"/>
          <w:sz w:val="28"/>
        </w:rPr>
      </w:pPr>
      <w:r>
        <w:rPr>
          <w:rFonts w:ascii="仿宋" w:eastAsia="仿宋" w:hAnsi="仿宋" w:cs="仿宋" w:hint="eastAsia"/>
          <w:sz w:val="28"/>
          <w:lang w:eastAsia="zh-CN"/>
        </w:rPr>
        <w:t>环保影响： 高性能铁氧体一次料项目对环境的影响是综合评价的重要因素之一。我们将详细考虑选址周边的自然环境、生态保护区、水源地等情况，确保高性能铁氧体一次料项目的建设和运营对环境影响最小化，并符合当地的环保法规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政策法规： 对选址的评价还需充分考虑当地政府的产业政策和法规。我们将详细了解高性能铁氧体一次料项目所在地的相关政策，确保高性能铁氧体一次料项目的规划和运营与当地法规相符，降低不必要的法律风险。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社会稳定性： 考虑到社会稳定性对企业运营的重要性，我们将评估选址地区的社会安全情况、劳工关系、社区反馈等方面，以确保高性能铁氧体一次料项目的建设和运营不会受到社会稳定性的负面影响。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用地成本：</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https://d.book118.com/805213312244011122</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高性能铁氧体一次料项目规划设计方案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高性能铁氧体一次料项目规划设计方案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高性能铁氧体一次料项目规划设计方案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高性能铁氧体一次料项目规划设计方案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高性能铁氧体一次料项目规划设计方案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高性能铁氧体一次料项目规划设计方案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高性能铁氧体一次料项目规划设计方案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高性能铁氧体一次料项目规划设计方案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高性能铁氧体一次料项目规划设计方案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高性能铁氧体一次料项目规划设计方案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高性能铁氧体一次料项目规划设计方案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高性能铁氧体一次料项目规划设计方案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高性能铁氧体一次料项目规划设计方案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高性能铁氧体一次料项目规划设计方案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高性能铁氧体一次料项目规划设计方案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高性能铁氧体一次料项目规划设计方案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高性能铁氧体一次料项目规划设计方案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EB52BBB"/>
    <w:rsid w:val="0EB52BBB"/>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805213312244011122"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24</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2024-03-01T05:21:00Z</dcterms:created>
  <dcterms:modified xsi:type="dcterms:W3CDTF">2024-03-01T05:21:50Z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EF2BFA7DF2A649C7A545F8704A504495_11</vt:lpwstr>
  </property>
  <property fmtid="{D5CDD505-2E9C-101B-9397-08002B2CF9AE}" pid="3" name="KSOProductBuildVer">
    <vt:lpwstr>2052-12.1.0.16388</vt:lpwstr>
  </property>
</Properties>
</file>