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氮氧化物治理产业分析报告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14516" w:history="1">
        <w:r>
          <w:rPr>
            <w:rFonts w:ascii="仿宋" w:eastAsia="仿宋" w:hAnsi="仿宋" w:cs="仿宋" w:hint="eastAsia"/>
            <w:lang w:val="en-GB"/>
          </w:rPr>
          <w:t>概论</w:t>
        </w:r>
        <w:r>
          <w:tab/>
        </w:r>
        <w:r>
          <w:fldChar w:fldCharType="begin"/>
        </w:r>
        <w:r>
          <w:instrText xml:space="preserve"> PAGEREF _Toc14516 \h </w:instrText>
        </w:r>
        <w:r>
          <w:fldChar w:fldCharType="separate"/>
        </w:r>
        <w:r>
          <w:t>3</w:t>
        </w:r>
        <w:r>
          <w:fldChar w:fldCharType="end"/>
        </w:r>
      </w:hyperlink>
    </w:p>
    <w:p>
      <w:pPr>
        <w:pStyle w:val="TOC1"/>
        <w:tabs>
          <w:tab w:val="right" w:leader="dot" w:pos="8306"/>
        </w:tabs>
      </w:pPr>
      <w:hyperlink w:anchor="_Toc5972" w:history="1">
        <w:r>
          <w:rPr>
            <w:rFonts w:ascii="仿宋" w:eastAsia="仿宋" w:hAnsi="仿宋" w:cs="仿宋" w:hint="eastAsia"/>
            <w:lang w:val="en-GB"/>
          </w:rPr>
          <w:t>一、氮氧化物治理行业发展现状</w:t>
        </w:r>
        <w:r>
          <w:tab/>
        </w:r>
        <w:r>
          <w:fldChar w:fldCharType="begin"/>
        </w:r>
        <w:r>
          <w:instrText xml:space="preserve"> PAGEREF _Toc5972 \h </w:instrText>
        </w:r>
        <w:r>
          <w:fldChar w:fldCharType="separate"/>
        </w:r>
        <w:r>
          <w:t>3</w:t>
        </w:r>
        <w:r>
          <w:fldChar w:fldCharType="end"/>
        </w:r>
      </w:hyperlink>
    </w:p>
    <w:p>
      <w:pPr>
        <w:pStyle w:val="TOC2"/>
        <w:tabs>
          <w:tab w:val="right" w:leader="dot" w:pos="8306"/>
        </w:tabs>
      </w:pPr>
      <w:hyperlink w:anchor="_Toc24965" w:history="1">
        <w:r>
          <w:rPr>
            <w:rFonts w:ascii="仿宋" w:eastAsia="仿宋" w:hAnsi="仿宋" w:cs="仿宋" w:hint="eastAsia"/>
            <w:lang w:val="en-GB"/>
          </w:rPr>
          <w:t>(一)、氮氧化物治理行业整体概况</w:t>
        </w:r>
        <w:r>
          <w:tab/>
        </w:r>
        <w:r>
          <w:fldChar w:fldCharType="begin"/>
        </w:r>
        <w:r>
          <w:instrText xml:space="preserve"> PAGEREF _Toc24965 \h </w:instrText>
        </w:r>
        <w:r>
          <w:fldChar w:fldCharType="separate"/>
        </w:r>
        <w:r>
          <w:t>3</w:t>
        </w:r>
        <w:r>
          <w:fldChar w:fldCharType="end"/>
        </w:r>
      </w:hyperlink>
    </w:p>
    <w:p>
      <w:pPr>
        <w:pStyle w:val="TOC2"/>
        <w:tabs>
          <w:tab w:val="right" w:leader="dot" w:pos="8306"/>
        </w:tabs>
      </w:pPr>
      <w:hyperlink w:anchor="_Toc18351" w:history="1">
        <w:r>
          <w:rPr>
            <w:rFonts w:ascii="仿宋" w:eastAsia="仿宋" w:hAnsi="仿宋" w:cs="仿宋" w:hint="eastAsia"/>
            <w:lang w:val="en-GB"/>
          </w:rPr>
          <w:t>(二)、技术创新与发展</w:t>
        </w:r>
        <w:r>
          <w:tab/>
        </w:r>
        <w:r>
          <w:fldChar w:fldCharType="begin"/>
        </w:r>
        <w:r>
          <w:instrText xml:space="preserve"> PAGEREF _Toc18351 \h </w:instrText>
        </w:r>
        <w:r>
          <w:fldChar w:fldCharType="separate"/>
        </w:r>
        <w:r>
          <w:t>4</w:t>
        </w:r>
        <w:r>
          <w:fldChar w:fldCharType="end"/>
        </w:r>
      </w:hyperlink>
    </w:p>
    <w:p>
      <w:pPr>
        <w:pStyle w:val="TOC2"/>
        <w:tabs>
          <w:tab w:val="right" w:leader="dot" w:pos="8306"/>
        </w:tabs>
      </w:pPr>
      <w:hyperlink w:anchor="_Toc8747" w:history="1">
        <w:r>
          <w:rPr>
            <w:rFonts w:ascii="仿宋" w:eastAsia="仿宋" w:hAnsi="仿宋" w:cs="仿宋" w:hint="eastAsia"/>
            <w:lang w:val="en-GB"/>
          </w:rPr>
          <w:t>(三)、政策与法规</w:t>
        </w:r>
        <w:r>
          <w:tab/>
        </w:r>
        <w:r>
          <w:fldChar w:fldCharType="begin"/>
        </w:r>
        <w:r>
          <w:instrText xml:space="preserve"> PAGEREF _Toc8747 \h </w:instrText>
        </w:r>
        <w:r>
          <w:fldChar w:fldCharType="separate"/>
        </w:r>
        <w:r>
          <w:t>5</w:t>
        </w:r>
        <w:r>
          <w:fldChar w:fldCharType="end"/>
        </w:r>
      </w:hyperlink>
    </w:p>
    <w:p>
      <w:pPr>
        <w:pStyle w:val="TOC2"/>
        <w:tabs>
          <w:tab w:val="right" w:leader="dot" w:pos="8306"/>
        </w:tabs>
      </w:pPr>
      <w:hyperlink w:anchor="_Toc6718" w:history="1">
        <w:r>
          <w:rPr>
            <w:rFonts w:ascii="仿宋" w:eastAsia="仿宋" w:hAnsi="仿宋" w:cs="仿宋" w:hint="eastAsia"/>
            <w:lang w:val="en-GB"/>
          </w:rPr>
          <w:t>(四)、消费者需求变化</w:t>
        </w:r>
        <w:r>
          <w:tab/>
        </w:r>
        <w:r>
          <w:fldChar w:fldCharType="begin"/>
        </w:r>
        <w:r>
          <w:instrText xml:space="preserve"> PAGEREF _Toc6718 \h </w:instrText>
        </w:r>
        <w:r>
          <w:fldChar w:fldCharType="separate"/>
        </w:r>
        <w:r>
          <w:t>6</w:t>
        </w:r>
        <w:r>
          <w:fldChar w:fldCharType="end"/>
        </w:r>
      </w:hyperlink>
    </w:p>
    <w:p>
      <w:pPr>
        <w:pStyle w:val="TOC1"/>
        <w:tabs>
          <w:tab w:val="right" w:leader="dot" w:pos="8306"/>
        </w:tabs>
      </w:pPr>
      <w:hyperlink w:anchor="_Toc20516" w:history="1">
        <w:r>
          <w:rPr>
            <w:rFonts w:ascii="仿宋" w:eastAsia="仿宋" w:hAnsi="仿宋" w:cs="仿宋" w:hint="eastAsia"/>
            <w:lang w:val="en-GB"/>
          </w:rPr>
          <w:t>二、人力资源分析</w:t>
        </w:r>
        <w:r>
          <w:tab/>
        </w:r>
        <w:r>
          <w:fldChar w:fldCharType="begin"/>
        </w:r>
        <w:r>
          <w:instrText xml:space="preserve"> PAGEREF _Toc20516 \h </w:instrText>
        </w:r>
        <w:r>
          <w:fldChar w:fldCharType="separate"/>
        </w:r>
        <w:r>
          <w:t>7</w:t>
        </w:r>
        <w:r>
          <w:fldChar w:fldCharType="end"/>
        </w:r>
      </w:hyperlink>
    </w:p>
    <w:p>
      <w:pPr>
        <w:pStyle w:val="TOC2"/>
        <w:tabs>
          <w:tab w:val="right" w:leader="dot" w:pos="8306"/>
        </w:tabs>
      </w:pPr>
      <w:hyperlink w:anchor="_Toc30210" w:history="1">
        <w:r>
          <w:rPr>
            <w:rFonts w:ascii="仿宋" w:eastAsia="仿宋" w:hAnsi="仿宋" w:cs="仿宋" w:hint="eastAsia"/>
            <w:lang w:val="en-GB"/>
          </w:rPr>
          <w:t>(一)、人力资源配置</w:t>
        </w:r>
        <w:r>
          <w:tab/>
        </w:r>
        <w:r>
          <w:fldChar w:fldCharType="begin"/>
        </w:r>
        <w:r>
          <w:instrText xml:space="preserve"> PAGEREF _Toc30210 \h </w:instrText>
        </w:r>
        <w:r>
          <w:fldChar w:fldCharType="separate"/>
        </w:r>
        <w:r>
          <w:t>7</w:t>
        </w:r>
        <w:r>
          <w:fldChar w:fldCharType="end"/>
        </w:r>
      </w:hyperlink>
    </w:p>
    <w:p>
      <w:pPr>
        <w:pStyle w:val="TOC2"/>
        <w:tabs>
          <w:tab w:val="right" w:leader="dot" w:pos="8306"/>
        </w:tabs>
      </w:pPr>
      <w:hyperlink w:anchor="_Toc2021" w:history="1">
        <w:r>
          <w:rPr>
            <w:rFonts w:ascii="仿宋" w:eastAsia="仿宋" w:hAnsi="仿宋" w:cs="仿宋" w:hint="eastAsia"/>
            <w:lang w:val="en-GB"/>
          </w:rPr>
          <w:t>(二)、员工技能培训</w:t>
        </w:r>
        <w:r>
          <w:tab/>
        </w:r>
        <w:r>
          <w:fldChar w:fldCharType="begin"/>
        </w:r>
        <w:r>
          <w:instrText xml:space="preserve"> PAGEREF _Toc2021 \h </w:instrText>
        </w:r>
        <w:r>
          <w:fldChar w:fldCharType="separate"/>
        </w:r>
        <w:r>
          <w:t>10</w:t>
        </w:r>
        <w:r>
          <w:fldChar w:fldCharType="end"/>
        </w:r>
      </w:hyperlink>
    </w:p>
    <w:p>
      <w:pPr>
        <w:pStyle w:val="TOC1"/>
        <w:tabs>
          <w:tab w:val="right" w:leader="dot" w:pos="8306"/>
        </w:tabs>
      </w:pPr>
      <w:hyperlink w:anchor="_Toc31027" w:history="1">
        <w:r>
          <w:rPr>
            <w:rFonts w:ascii="仿宋" w:eastAsia="仿宋" w:hAnsi="仿宋" w:cs="仿宋" w:hint="eastAsia"/>
            <w:lang w:val="en-GB"/>
          </w:rPr>
          <w:t>三、公司简介</w:t>
        </w:r>
        <w:r>
          <w:tab/>
        </w:r>
        <w:r>
          <w:fldChar w:fldCharType="begin"/>
        </w:r>
        <w:r>
          <w:instrText xml:space="preserve"> PAGEREF _Toc31027 \h </w:instrText>
        </w:r>
        <w:r>
          <w:fldChar w:fldCharType="separate"/>
        </w:r>
        <w:r>
          <w:t>12</w:t>
        </w:r>
        <w:r>
          <w:fldChar w:fldCharType="end"/>
        </w:r>
      </w:hyperlink>
    </w:p>
    <w:p>
      <w:pPr>
        <w:pStyle w:val="TOC2"/>
        <w:tabs>
          <w:tab w:val="right" w:leader="dot" w:pos="8306"/>
        </w:tabs>
      </w:pPr>
      <w:hyperlink w:anchor="_Toc23572" w:history="1">
        <w:r>
          <w:rPr>
            <w:rFonts w:ascii="仿宋" w:eastAsia="仿宋" w:hAnsi="仿宋" w:cs="仿宋" w:hint="eastAsia"/>
            <w:lang w:val="en-GB"/>
          </w:rPr>
          <w:t>(一)、公司基本信息</w:t>
        </w:r>
        <w:r>
          <w:tab/>
        </w:r>
        <w:r>
          <w:fldChar w:fldCharType="begin"/>
        </w:r>
        <w:r>
          <w:instrText xml:space="preserve"> PAGEREF _Toc23572 \h </w:instrText>
        </w:r>
        <w:r>
          <w:fldChar w:fldCharType="separate"/>
        </w:r>
        <w:r>
          <w:t>12</w:t>
        </w:r>
        <w:r>
          <w:fldChar w:fldCharType="end"/>
        </w:r>
      </w:hyperlink>
    </w:p>
    <w:p>
      <w:pPr>
        <w:pStyle w:val="TOC2"/>
        <w:tabs>
          <w:tab w:val="right" w:leader="dot" w:pos="8306"/>
        </w:tabs>
      </w:pPr>
      <w:hyperlink w:anchor="_Toc19458" w:history="1">
        <w:r>
          <w:rPr>
            <w:rFonts w:ascii="仿宋" w:eastAsia="仿宋" w:hAnsi="仿宋" w:cs="仿宋" w:hint="eastAsia"/>
            <w:lang w:val="en-GB"/>
          </w:rPr>
          <w:t>(二)、公司简介</w:t>
        </w:r>
        <w:r>
          <w:tab/>
        </w:r>
        <w:r>
          <w:fldChar w:fldCharType="begin"/>
        </w:r>
        <w:r>
          <w:instrText xml:space="preserve"> PAGEREF _Toc19458 \h </w:instrText>
        </w:r>
        <w:r>
          <w:fldChar w:fldCharType="separate"/>
        </w:r>
        <w:r>
          <w:t>12</w:t>
        </w:r>
        <w:r>
          <w:fldChar w:fldCharType="end"/>
        </w:r>
      </w:hyperlink>
    </w:p>
    <w:p>
      <w:pPr>
        <w:pStyle w:val="TOC1"/>
        <w:tabs>
          <w:tab w:val="right" w:leader="dot" w:pos="8306"/>
        </w:tabs>
      </w:pPr>
      <w:hyperlink w:anchor="_Toc15287" w:history="1">
        <w:r>
          <w:rPr>
            <w:rFonts w:ascii="仿宋" w:eastAsia="仿宋" w:hAnsi="仿宋" w:cs="仿宋" w:hint="eastAsia"/>
            <w:lang w:val="en-GB"/>
          </w:rPr>
          <w:t>四、SWOT分析说明</w:t>
        </w:r>
        <w:r>
          <w:tab/>
        </w:r>
        <w:r>
          <w:fldChar w:fldCharType="begin"/>
        </w:r>
        <w:r>
          <w:instrText xml:space="preserve"> PAGEREF _Toc15287 \h </w:instrText>
        </w:r>
        <w:r>
          <w:fldChar w:fldCharType="separate"/>
        </w:r>
        <w:r>
          <w:t>13</w:t>
        </w:r>
        <w:r>
          <w:fldChar w:fldCharType="end"/>
        </w:r>
      </w:hyperlink>
    </w:p>
    <w:p>
      <w:pPr>
        <w:pStyle w:val="TOC2"/>
        <w:tabs>
          <w:tab w:val="right" w:leader="dot" w:pos="8306"/>
        </w:tabs>
      </w:pPr>
      <w:hyperlink w:anchor="_Toc21132" w:history="1">
        <w:r>
          <w:rPr>
            <w:rFonts w:ascii="仿宋" w:eastAsia="仿宋" w:hAnsi="仿宋" w:cs="仿宋" w:hint="eastAsia"/>
            <w:lang w:val="en-GB"/>
          </w:rPr>
          <w:t>(一)、优势分析(S)</w:t>
        </w:r>
        <w:r>
          <w:tab/>
        </w:r>
        <w:r>
          <w:fldChar w:fldCharType="begin"/>
        </w:r>
        <w:r>
          <w:instrText xml:space="preserve"> PAGEREF _Toc21132 \h </w:instrText>
        </w:r>
        <w:r>
          <w:fldChar w:fldCharType="separate"/>
        </w:r>
        <w:r>
          <w:t>13</w:t>
        </w:r>
        <w:r>
          <w:fldChar w:fldCharType="end"/>
        </w:r>
      </w:hyperlink>
    </w:p>
    <w:p>
      <w:pPr>
        <w:pStyle w:val="TOC2"/>
        <w:tabs>
          <w:tab w:val="right" w:leader="dot" w:pos="8306"/>
        </w:tabs>
      </w:pPr>
      <w:hyperlink w:anchor="_Toc11998" w:history="1">
        <w:r>
          <w:rPr>
            <w:rFonts w:ascii="仿宋" w:eastAsia="仿宋" w:hAnsi="仿宋" w:cs="仿宋" w:hint="eastAsia"/>
            <w:lang w:val="en-GB"/>
          </w:rPr>
          <w:t>(二)、劣势分析(W)</w:t>
        </w:r>
        <w:r>
          <w:tab/>
        </w:r>
        <w:r>
          <w:fldChar w:fldCharType="begin"/>
        </w:r>
        <w:r>
          <w:instrText xml:space="preserve"> PAGEREF _Toc11998 \h </w:instrText>
        </w:r>
        <w:r>
          <w:fldChar w:fldCharType="separate"/>
        </w:r>
        <w:r>
          <w:t>14</w:t>
        </w:r>
        <w:r>
          <w:fldChar w:fldCharType="end"/>
        </w:r>
      </w:hyperlink>
    </w:p>
    <w:p>
      <w:pPr>
        <w:pStyle w:val="TOC2"/>
        <w:tabs>
          <w:tab w:val="right" w:leader="dot" w:pos="8306"/>
        </w:tabs>
      </w:pPr>
      <w:hyperlink w:anchor="_Toc32613" w:history="1">
        <w:r>
          <w:rPr>
            <w:rFonts w:ascii="仿宋" w:eastAsia="仿宋" w:hAnsi="仿宋" w:cs="仿宋" w:hint="eastAsia"/>
            <w:lang w:val="en-GB"/>
          </w:rPr>
          <w:t>(三)、机会分析(O)</w:t>
        </w:r>
        <w:r>
          <w:tab/>
        </w:r>
        <w:r>
          <w:fldChar w:fldCharType="begin"/>
        </w:r>
        <w:r>
          <w:instrText xml:space="preserve"> PAGEREF _Toc32613 \h </w:instrText>
        </w:r>
        <w:r>
          <w:fldChar w:fldCharType="separate"/>
        </w:r>
        <w:r>
          <w:t>16</w:t>
        </w:r>
        <w:r>
          <w:fldChar w:fldCharType="end"/>
        </w:r>
      </w:hyperlink>
    </w:p>
    <w:p>
      <w:pPr>
        <w:pStyle w:val="TOC2"/>
        <w:tabs>
          <w:tab w:val="right" w:leader="dot" w:pos="8306"/>
        </w:tabs>
      </w:pPr>
      <w:hyperlink w:anchor="_Toc17803" w:history="1">
        <w:r>
          <w:rPr>
            <w:rFonts w:ascii="仿宋" w:eastAsia="仿宋" w:hAnsi="仿宋" w:cs="仿宋" w:hint="eastAsia"/>
            <w:lang w:val="en-GB"/>
          </w:rPr>
          <w:t>(四)、威胁分析(T)</w:t>
        </w:r>
        <w:r>
          <w:tab/>
        </w:r>
        <w:r>
          <w:fldChar w:fldCharType="begin"/>
        </w:r>
        <w:r>
          <w:instrText xml:space="preserve"> PAGEREF _Toc17803 \h </w:instrText>
        </w:r>
        <w:r>
          <w:fldChar w:fldCharType="separate"/>
        </w:r>
        <w:r>
          <w:t>17</w:t>
        </w:r>
        <w:r>
          <w:fldChar w:fldCharType="end"/>
        </w:r>
      </w:hyperlink>
    </w:p>
    <w:p>
      <w:pPr>
        <w:pStyle w:val="TOC1"/>
        <w:tabs>
          <w:tab w:val="right" w:leader="dot" w:pos="8306"/>
        </w:tabs>
      </w:pPr>
      <w:hyperlink w:anchor="_Toc21336" w:history="1">
        <w:r>
          <w:rPr>
            <w:rFonts w:ascii="仿宋" w:eastAsia="仿宋" w:hAnsi="仿宋" w:cs="仿宋" w:hint="eastAsia"/>
            <w:lang w:val="en-GB"/>
          </w:rPr>
          <w:t>五、发展规划分析</w:t>
        </w:r>
        <w:r>
          <w:tab/>
        </w:r>
        <w:r>
          <w:fldChar w:fldCharType="begin"/>
        </w:r>
        <w:r>
          <w:instrText xml:space="preserve"> PAGEREF _Toc21336 \h </w:instrText>
        </w:r>
        <w:r>
          <w:fldChar w:fldCharType="separate"/>
        </w:r>
        <w:r>
          <w:t>19</w:t>
        </w:r>
        <w:r>
          <w:fldChar w:fldCharType="end"/>
        </w:r>
      </w:hyperlink>
    </w:p>
    <w:p>
      <w:pPr>
        <w:pStyle w:val="TOC2"/>
        <w:tabs>
          <w:tab w:val="right" w:leader="dot" w:pos="8306"/>
        </w:tabs>
      </w:pPr>
      <w:hyperlink w:anchor="_Toc13028" w:history="1">
        <w:r>
          <w:rPr>
            <w:rFonts w:ascii="仿宋" w:eastAsia="仿宋" w:hAnsi="仿宋" w:cs="仿宋" w:hint="eastAsia"/>
            <w:lang w:val="en-GB"/>
          </w:rPr>
          <w:t>(一)、公司发展规划</w:t>
        </w:r>
        <w:r>
          <w:tab/>
        </w:r>
        <w:r>
          <w:fldChar w:fldCharType="begin"/>
        </w:r>
        <w:r>
          <w:instrText xml:space="preserve"> PAGEREF _Toc13028 \h </w:instrText>
        </w:r>
        <w:r>
          <w:fldChar w:fldCharType="separate"/>
        </w:r>
        <w:r>
          <w:t>19</w:t>
        </w:r>
        <w:r>
          <w:fldChar w:fldCharType="end"/>
        </w:r>
      </w:hyperlink>
    </w:p>
    <w:p>
      <w:pPr>
        <w:pStyle w:val="TOC2"/>
        <w:tabs>
          <w:tab w:val="right" w:leader="dot" w:pos="8306"/>
        </w:tabs>
      </w:pPr>
      <w:hyperlink w:anchor="_Toc15444" w:history="1">
        <w:r>
          <w:rPr>
            <w:rFonts w:ascii="仿宋" w:eastAsia="仿宋" w:hAnsi="仿宋" w:cs="仿宋" w:hint="eastAsia"/>
            <w:lang w:val="en-GB"/>
          </w:rPr>
          <w:t>(二)、保障措施</w:t>
        </w:r>
        <w:r>
          <w:tab/>
        </w:r>
        <w:r>
          <w:fldChar w:fldCharType="begin"/>
        </w:r>
        <w:r>
          <w:instrText xml:space="preserve"> PAGEREF _Toc15444 \h </w:instrText>
        </w:r>
        <w:r>
          <w:fldChar w:fldCharType="separate"/>
        </w:r>
        <w:r>
          <w:t>20</w:t>
        </w:r>
        <w:r>
          <w:fldChar w:fldCharType="end"/>
        </w:r>
      </w:hyperlink>
    </w:p>
    <w:p>
      <w:pPr>
        <w:pStyle w:val="TOC1"/>
        <w:tabs>
          <w:tab w:val="right" w:leader="dot" w:pos="8306"/>
        </w:tabs>
      </w:pPr>
      <w:hyperlink w:anchor="_Toc7928" w:history="1">
        <w:r>
          <w:rPr>
            <w:rFonts w:ascii="仿宋" w:eastAsia="仿宋" w:hAnsi="仿宋" w:cs="仿宋" w:hint="eastAsia"/>
            <w:lang w:val="en-GB"/>
          </w:rPr>
          <w:t>六、氮氧化物治理市场地位与竞争战略</w:t>
        </w:r>
        <w:r>
          <w:tab/>
        </w:r>
        <w:r>
          <w:fldChar w:fldCharType="begin"/>
        </w:r>
        <w:r>
          <w:instrText xml:space="preserve"> PAGEREF _Toc7928 \h </w:instrText>
        </w:r>
        <w:r>
          <w:fldChar w:fldCharType="separate"/>
        </w:r>
        <w:r>
          <w:t>22</w:t>
        </w:r>
        <w:r>
          <w:fldChar w:fldCharType="end"/>
        </w:r>
      </w:hyperlink>
    </w:p>
    <w:p>
      <w:pPr>
        <w:pStyle w:val="TOC2"/>
        <w:tabs>
          <w:tab w:val="right" w:leader="dot" w:pos="8306"/>
        </w:tabs>
      </w:pPr>
      <w:hyperlink w:anchor="_Toc21665" w:history="1">
        <w:r>
          <w:rPr>
            <w:rFonts w:ascii="仿宋" w:eastAsia="仿宋" w:hAnsi="仿宋" w:cs="仿宋" w:hint="eastAsia"/>
            <w:lang w:val="en-GB"/>
          </w:rPr>
          <w:t>(一)、公司市场地位</w:t>
        </w:r>
        <w:r>
          <w:tab/>
        </w:r>
        <w:r>
          <w:fldChar w:fldCharType="begin"/>
        </w:r>
        <w:r>
          <w:instrText xml:space="preserve"> PAGEREF _Toc21665 \h </w:instrText>
        </w:r>
        <w:r>
          <w:fldChar w:fldCharType="separate"/>
        </w:r>
        <w:r>
          <w:t>22</w:t>
        </w:r>
        <w:r>
          <w:fldChar w:fldCharType="end"/>
        </w:r>
      </w:hyperlink>
    </w:p>
    <w:p>
      <w:pPr>
        <w:pStyle w:val="TOC2"/>
        <w:tabs>
          <w:tab w:val="right" w:leader="dot" w:pos="8306"/>
        </w:tabs>
      </w:pPr>
      <w:hyperlink w:anchor="_Toc19352" w:history="1">
        <w:r>
          <w:rPr>
            <w:rFonts w:ascii="仿宋" w:eastAsia="仿宋" w:hAnsi="仿宋" w:cs="仿宋" w:hint="eastAsia"/>
            <w:lang w:val="en-GB"/>
          </w:rPr>
          <w:t>(二)、竞争对手分析</w:t>
        </w:r>
        <w:r>
          <w:tab/>
        </w:r>
        <w:r>
          <w:fldChar w:fldCharType="begin"/>
        </w:r>
        <w:r>
          <w:instrText xml:space="preserve"> PAGEREF _Toc19352 \h </w:instrText>
        </w:r>
        <w:r>
          <w:fldChar w:fldCharType="separate"/>
        </w:r>
        <w:r>
          <w:t>23</w:t>
        </w:r>
        <w:r>
          <w:fldChar w:fldCharType="end"/>
        </w:r>
      </w:hyperlink>
    </w:p>
    <w:p>
      <w:pPr>
        <w:pStyle w:val="TOC2"/>
        <w:tabs>
          <w:tab w:val="right" w:leader="dot" w:pos="8306"/>
        </w:tabs>
      </w:pPr>
      <w:hyperlink w:anchor="_Toc19661" w:history="1">
        <w:r>
          <w:rPr>
            <w:rFonts w:ascii="仿宋" w:eastAsia="仿宋" w:hAnsi="仿宋" w:cs="仿宋" w:hint="eastAsia"/>
            <w:lang w:val="en-GB"/>
          </w:rPr>
          <w:t>(三)、竞争战略</w:t>
        </w:r>
        <w:r>
          <w:tab/>
        </w:r>
        <w:r>
          <w:fldChar w:fldCharType="begin"/>
        </w:r>
        <w:r>
          <w:instrText xml:space="preserve"> PAGEREF _Toc19661 \h </w:instrText>
        </w:r>
        <w:r>
          <w:fldChar w:fldCharType="separate"/>
        </w:r>
        <w:r>
          <w:t>24</w:t>
        </w:r>
        <w:r>
          <w:fldChar w:fldCharType="end"/>
        </w:r>
      </w:hyperlink>
    </w:p>
    <w:p>
      <w:pPr>
        <w:pStyle w:val="TOC2"/>
        <w:tabs>
          <w:tab w:val="right" w:leader="dot" w:pos="8306"/>
        </w:tabs>
      </w:pPr>
      <w:hyperlink w:anchor="_Toc19734" w:history="1">
        <w:r>
          <w:rPr>
            <w:rFonts w:ascii="仿宋" w:eastAsia="仿宋" w:hAnsi="仿宋" w:cs="仿宋" w:hint="eastAsia"/>
            <w:lang w:val="en-GB"/>
          </w:rPr>
          <w:t>(四)、市场定位</w:t>
        </w:r>
        <w:r>
          <w:tab/>
        </w:r>
        <w:r>
          <w:fldChar w:fldCharType="begin"/>
        </w:r>
        <w:r>
          <w:instrText xml:space="preserve"> PAGEREF _Toc19734 \h </w:instrText>
        </w:r>
        <w:r>
          <w:fldChar w:fldCharType="separate"/>
        </w:r>
        <w:r>
          <w:t>25</w:t>
        </w:r>
        <w:r>
          <w:fldChar w:fldCharType="end"/>
        </w:r>
      </w:hyperlink>
    </w:p>
    <w:p>
      <w:pPr>
        <w:pStyle w:val="TOC1"/>
        <w:tabs>
          <w:tab w:val="right" w:leader="dot" w:pos="8306"/>
        </w:tabs>
      </w:pPr>
      <w:hyperlink w:anchor="_Toc24050" w:history="1">
        <w:r>
          <w:rPr>
            <w:rFonts w:ascii="仿宋" w:eastAsia="仿宋" w:hAnsi="仿宋" w:cs="仿宋" w:hint="eastAsia"/>
            <w:lang w:val="en-GB"/>
          </w:rPr>
          <w:t>七、氮氧化物治理促销策略</w:t>
        </w:r>
        <w:r>
          <w:tab/>
        </w:r>
        <w:r>
          <w:fldChar w:fldCharType="begin"/>
        </w:r>
        <w:r>
          <w:instrText xml:space="preserve"> PAGEREF _Toc24050 \h </w:instrText>
        </w:r>
        <w:r>
          <w:fldChar w:fldCharType="separate"/>
        </w:r>
        <w:r>
          <w:t>25</w:t>
        </w:r>
        <w:r>
          <w:fldChar w:fldCharType="end"/>
        </w:r>
      </w:hyperlink>
    </w:p>
    <w:p>
      <w:pPr>
        <w:pStyle w:val="TOC2"/>
        <w:tabs>
          <w:tab w:val="right" w:leader="dot" w:pos="8306"/>
        </w:tabs>
      </w:pPr>
      <w:hyperlink w:anchor="_Toc24043" w:history="1">
        <w:r>
          <w:rPr>
            <w:rFonts w:ascii="仿宋" w:eastAsia="仿宋" w:hAnsi="仿宋" w:cs="仿宋" w:hint="eastAsia"/>
            <w:lang w:val="en-GB"/>
          </w:rPr>
          <w:t>(一)、广告与宣传</w:t>
        </w:r>
        <w:r>
          <w:tab/>
        </w:r>
        <w:r>
          <w:fldChar w:fldCharType="begin"/>
        </w:r>
        <w:r>
          <w:instrText xml:space="preserve"> PAGEREF _Toc24043 \h </w:instrText>
        </w:r>
        <w:r>
          <w:fldChar w:fldCharType="separate"/>
        </w:r>
        <w:r>
          <w:t>25</w:t>
        </w:r>
        <w:r>
          <w:fldChar w:fldCharType="end"/>
        </w:r>
      </w:hyperlink>
    </w:p>
    <w:p>
      <w:pPr>
        <w:pStyle w:val="TOC2"/>
        <w:tabs>
          <w:tab w:val="right" w:leader="dot" w:pos="8306"/>
        </w:tabs>
      </w:pPr>
      <w:hyperlink w:anchor="_Toc20294" w:history="1">
        <w:r>
          <w:rPr>
            <w:rFonts w:ascii="仿宋" w:eastAsia="仿宋" w:hAnsi="仿宋" w:cs="仿宋" w:hint="eastAsia"/>
            <w:lang w:val="en-GB"/>
          </w:rPr>
          <w:t>(二)、促销活动</w:t>
        </w:r>
        <w:r>
          <w:tab/>
        </w:r>
        <w:r>
          <w:fldChar w:fldCharType="begin"/>
        </w:r>
        <w:r>
          <w:instrText xml:space="preserve"> PAGEREF _Toc20294 \h </w:instrText>
        </w:r>
        <w:r>
          <w:fldChar w:fldCharType="separate"/>
        </w:r>
        <w:r>
          <w:t>27</w:t>
        </w:r>
        <w:r>
          <w:fldChar w:fldCharType="end"/>
        </w:r>
      </w:hyperlink>
    </w:p>
    <w:p>
      <w:pPr>
        <w:pStyle w:val="TOC2"/>
        <w:tabs>
          <w:tab w:val="right" w:leader="dot" w:pos="8306"/>
        </w:tabs>
      </w:pPr>
      <w:hyperlink w:anchor="_Toc19600" w:history="1">
        <w:r>
          <w:rPr>
            <w:rFonts w:ascii="仿宋" w:eastAsia="仿宋" w:hAnsi="仿宋" w:cs="仿宋" w:hint="eastAsia"/>
            <w:lang w:val="en-GB"/>
          </w:rPr>
          <w:t>(三)、品牌推广</w:t>
        </w:r>
        <w:r>
          <w:tab/>
        </w:r>
        <w:r>
          <w:fldChar w:fldCharType="begin"/>
        </w:r>
        <w:r>
          <w:instrText xml:space="preserve"> PAGEREF _Toc19600 \h </w:instrText>
        </w:r>
        <w:r>
          <w:fldChar w:fldCharType="separate"/>
        </w:r>
        <w:r>
          <w:t>28</w:t>
        </w:r>
        <w:r>
          <w:fldChar w:fldCharType="end"/>
        </w:r>
      </w:hyperlink>
    </w:p>
    <w:p>
      <w:pPr>
        <w:pStyle w:val="TOC2"/>
        <w:tabs>
          <w:tab w:val="right" w:leader="dot" w:pos="8306"/>
        </w:tabs>
      </w:pPr>
      <w:hyperlink w:anchor="_Toc12565" w:history="1">
        <w:r>
          <w:rPr>
            <w:rFonts w:ascii="仿宋" w:eastAsia="仿宋" w:hAnsi="仿宋" w:cs="仿宋" w:hint="eastAsia"/>
            <w:lang w:val="en-GB"/>
          </w:rPr>
          <w:t>(四)、数字营销</w:t>
        </w:r>
        <w:r>
          <w:tab/>
        </w:r>
        <w:r>
          <w:fldChar w:fldCharType="begin"/>
        </w:r>
        <w:r>
          <w:instrText xml:space="preserve"> PAGEREF _Toc12565 \h </w:instrText>
        </w:r>
        <w:r>
          <w:fldChar w:fldCharType="separate"/>
        </w:r>
        <w:r>
          <w:t>30</w:t>
        </w:r>
        <w:r>
          <w:fldChar w:fldCharType="end"/>
        </w:r>
      </w:hyperlink>
    </w:p>
    <w:p>
      <w:pPr>
        <w:pStyle w:val="TOC1"/>
        <w:tabs>
          <w:tab w:val="right" w:leader="dot" w:pos="8306"/>
        </w:tabs>
      </w:pPr>
      <w:hyperlink w:anchor="_Toc15625" w:history="1">
        <w:r>
          <w:rPr>
            <w:rFonts w:ascii="仿宋" w:eastAsia="仿宋" w:hAnsi="仿宋" w:cs="仿宋" w:hint="eastAsia"/>
            <w:lang w:val="en-GB"/>
          </w:rPr>
          <w:t>八、技术与生产管理</w:t>
        </w:r>
        <w:r>
          <w:tab/>
        </w:r>
        <w:r>
          <w:fldChar w:fldCharType="begin"/>
        </w:r>
        <w:r>
          <w:instrText xml:space="preserve"> PAGEREF _Toc15625 \h </w:instrText>
        </w:r>
        <w:r>
          <w:fldChar w:fldCharType="separate"/>
        </w:r>
        <w:r>
          <w:t>32</w:t>
        </w:r>
        <w:r>
          <w:fldChar w:fldCharType="end"/>
        </w:r>
      </w:hyperlink>
    </w:p>
    <w:p>
      <w:pPr>
        <w:pStyle w:val="TOC2"/>
        <w:tabs>
          <w:tab w:val="right" w:leader="dot" w:pos="8306"/>
        </w:tabs>
      </w:pPr>
      <w:hyperlink w:anchor="_Toc16531" w:history="1">
        <w:r>
          <w:rPr>
            <w:rFonts w:ascii="仿宋" w:eastAsia="仿宋" w:hAnsi="仿宋" w:cs="仿宋" w:hint="eastAsia"/>
            <w:lang w:val="en-GB"/>
          </w:rPr>
          <w:t>(一)、生产流程与工艺优化</w:t>
        </w:r>
        <w:r>
          <w:tab/>
        </w:r>
        <w:r>
          <w:fldChar w:fldCharType="begin"/>
        </w:r>
        <w:r>
          <w:instrText xml:space="preserve"> PAGEREF _Toc16531 \h </w:instrText>
        </w:r>
        <w:r>
          <w:fldChar w:fldCharType="separate"/>
        </w:r>
        <w:r>
          <w:t>32</w:t>
        </w:r>
        <w:r>
          <w:fldChar w:fldCharType="end"/>
        </w:r>
      </w:hyperlink>
    </w:p>
    <w:p>
      <w:pPr>
        <w:pStyle w:val="TOC2"/>
        <w:tabs>
          <w:tab w:val="right" w:leader="dot" w:pos="8306"/>
        </w:tabs>
      </w:pPr>
      <w:hyperlink w:anchor="_Toc1018" w:history="1">
        <w:r>
          <w:rPr>
            <w:rFonts w:ascii="仿宋" w:eastAsia="仿宋" w:hAnsi="仿宋" w:cs="仿宋" w:hint="eastAsia"/>
            <w:lang w:val="en-GB"/>
          </w:rPr>
          <w:t>(二)、技术创新与研发投入</w:t>
        </w:r>
        <w:r>
          <w:tab/>
        </w:r>
        <w:r>
          <w:fldChar w:fldCharType="begin"/>
        </w:r>
        <w:r>
          <w:instrText xml:space="preserve"> PAGEREF _Toc1018 \h </w:instrText>
        </w:r>
        <w:r>
          <w:fldChar w:fldCharType="separate"/>
        </w:r>
        <w:r>
          <w:t>33</w:t>
        </w:r>
        <w:r>
          <w:fldChar w:fldCharType="end"/>
        </w:r>
      </w:hyperlink>
    </w:p>
    <w:p>
      <w:pPr>
        <w:pStyle w:val="TOC2"/>
        <w:tabs>
          <w:tab w:val="right" w:leader="dot" w:pos="8306"/>
        </w:tabs>
      </w:pPr>
      <w:hyperlink w:anchor="_Toc17185" w:history="1">
        <w:r>
          <w:rPr>
            <w:rFonts w:ascii="仿宋" w:eastAsia="仿宋" w:hAnsi="仿宋" w:cs="仿宋" w:hint="eastAsia"/>
            <w:lang w:val="en-GB"/>
          </w:rPr>
          <w:t>(三)、设备与技术更新计划</w:t>
        </w:r>
        <w:r>
          <w:tab/>
        </w:r>
        <w:r>
          <w:fldChar w:fldCharType="begin"/>
        </w:r>
        <w:r>
          <w:instrText xml:space="preserve"> PAGEREF _Toc17185 \h </w:instrText>
        </w:r>
        <w:r>
          <w:fldChar w:fldCharType="separate"/>
        </w:r>
        <w:r>
          <w:t>34</w:t>
        </w:r>
        <w:r>
          <w:fldChar w:fldCharType="end"/>
        </w:r>
      </w:hyperlink>
    </w:p>
    <w:p>
      <w:pPr>
        <w:pStyle w:val="TOC2"/>
        <w:tabs>
          <w:tab w:val="right" w:leader="dot" w:pos="8306"/>
        </w:tabs>
      </w:pPr>
      <w:hyperlink w:anchor="_Toc20291" w:history="1">
        <w:r>
          <w:rPr>
            <w:rFonts w:ascii="仿宋" w:eastAsia="仿宋" w:hAnsi="仿宋" w:cs="仿宋" w:hint="eastAsia"/>
            <w:lang w:val="en-GB"/>
          </w:rPr>
          <w:t>(四)、质量管理与生产效率提升</w:t>
        </w:r>
        <w:r>
          <w:tab/>
        </w:r>
        <w:r>
          <w:fldChar w:fldCharType="begin"/>
        </w:r>
        <w:r>
          <w:instrText xml:space="preserve"> PAGEREF _Toc20291 \h </w:instrText>
        </w:r>
        <w:r>
          <w:fldChar w:fldCharType="separate"/>
        </w:r>
        <w:r>
          <w:t>35</w:t>
        </w:r>
        <w:r>
          <w:fldChar w:fldCharType="end"/>
        </w:r>
      </w:hyperlink>
    </w:p>
    <w:p>
      <w:pPr>
        <w:pStyle w:val="TOC1"/>
        <w:tabs>
          <w:tab w:val="right" w:leader="dot" w:pos="8306"/>
        </w:tabs>
      </w:pPr>
      <w:hyperlink w:anchor="_Toc23817" w:history="1">
        <w:r>
          <w:rPr>
            <w:rFonts w:ascii="仿宋" w:eastAsia="仿宋" w:hAnsi="仿宋" w:cs="仿宋" w:hint="eastAsia"/>
            <w:lang w:val="en-GB"/>
          </w:rPr>
          <w:t>九、氮氧化物治理整合营销</w:t>
        </w:r>
        <w:r>
          <w:tab/>
        </w:r>
        <w:r>
          <w:fldChar w:fldCharType="begin"/>
        </w:r>
        <w:r>
          <w:instrText xml:space="preserve"> PAGEREF _Toc23817 \h </w:instrText>
        </w:r>
        <w:r>
          <w:fldChar w:fldCharType="separate"/>
        </w:r>
        <w:r>
          <w:t>36</w:t>
        </w:r>
        <w:r>
          <w:fldChar w:fldCharType="end"/>
        </w:r>
      </w:hyperlink>
    </w:p>
    <w:p>
      <w:pPr>
        <w:pStyle w:val="TOC2"/>
        <w:tabs>
          <w:tab w:val="right" w:leader="dot" w:pos="8306"/>
        </w:tabs>
      </w:pPr>
      <w:hyperlink w:anchor="_Toc12389" w:history="1">
        <w:r>
          <w:rPr>
            <w:rFonts w:ascii="仿宋" w:eastAsia="仿宋" w:hAnsi="仿宋" w:cs="仿宋" w:hint="eastAsia"/>
            <w:lang w:val="en-GB"/>
          </w:rPr>
          <w:t>(一)、跨渠道整合</w:t>
        </w:r>
        <w:r>
          <w:tab/>
        </w:r>
        <w:r>
          <w:fldChar w:fldCharType="begin"/>
        </w:r>
        <w:r>
          <w:instrText xml:space="preserve"> PAGEREF _Toc12389 \h </w:instrText>
        </w:r>
        <w:r>
          <w:fldChar w:fldCharType="separate"/>
        </w:r>
        <w:r>
          <w:t>36</w:t>
        </w:r>
        <w:r>
          <w:fldChar w:fldCharType="end"/>
        </w:r>
      </w:hyperlink>
    </w:p>
    <w:p>
      <w:pPr>
        <w:pStyle w:val="TOC2"/>
        <w:tabs>
          <w:tab w:val="right" w:leader="dot" w:pos="8306"/>
        </w:tabs>
      </w:pPr>
      <w:hyperlink w:anchor="_Toc18101" w:history="1">
        <w:r>
          <w:rPr>
            <w:rFonts w:ascii="仿宋" w:eastAsia="仿宋" w:hAnsi="仿宋" w:cs="仿宋" w:hint="eastAsia"/>
            <w:lang w:val="en-GB"/>
          </w:rPr>
          <w:t>(二)、品牌一体化</w:t>
        </w:r>
        <w:r>
          <w:tab/>
        </w:r>
        <w:r>
          <w:fldChar w:fldCharType="begin"/>
        </w:r>
        <w:r>
          <w:instrText xml:space="preserve"> PAGEREF _Toc18101 \h </w:instrText>
        </w:r>
        <w:r>
          <w:fldChar w:fldCharType="separate"/>
        </w:r>
        <w:r>
          <w:t>38</w:t>
        </w:r>
        <w:r>
          <w:fldChar w:fldCharType="end"/>
        </w:r>
      </w:hyperlink>
    </w:p>
    <w:p>
      <w:pPr>
        <w:pStyle w:val="TOC2"/>
        <w:tabs>
          <w:tab w:val="right" w:leader="dot" w:pos="8306"/>
        </w:tabs>
      </w:pPr>
      <w:hyperlink w:anchor="_Toc32588" w:history="1">
        <w:r>
          <w:rPr>
            <w:rFonts w:ascii="仿宋" w:eastAsia="仿宋" w:hAnsi="仿宋" w:cs="仿宋" w:hint="eastAsia"/>
            <w:lang w:val="en-GB"/>
          </w:rPr>
          <w:t>(三)、数据整合</w:t>
        </w:r>
        <w:r>
          <w:tab/>
        </w:r>
        <w:r>
          <w:fldChar w:fldCharType="begin"/>
        </w:r>
        <w:r>
          <w:instrText xml:space="preserve"> PAGEREF _Toc32588 \h </w:instrText>
        </w:r>
        <w:r>
          <w:fldChar w:fldCharType="separate"/>
        </w:r>
        <w:r>
          <w:t>39</w:t>
        </w:r>
        <w:r>
          <w:fldChar w:fldCharType="end"/>
        </w:r>
      </w:hyperlink>
    </w:p>
    <w:p>
      <w:pPr>
        <w:pStyle w:val="TOC2"/>
        <w:tabs>
          <w:tab w:val="right" w:leader="dot" w:pos="8306"/>
        </w:tabs>
      </w:pPr>
      <w:hyperlink w:anchor="_Toc7396" w:history="1">
        <w:r>
          <w:rPr>
            <w:rFonts w:ascii="仿宋" w:eastAsia="仿宋" w:hAnsi="仿宋" w:cs="仿宋" w:hint="eastAsia"/>
            <w:lang w:val="en-GB"/>
          </w:rPr>
          <w:t>(四)、客户关系管理</w:t>
        </w:r>
        <w:r>
          <w:tab/>
        </w:r>
        <w:r>
          <w:fldChar w:fldCharType="begin"/>
        </w:r>
        <w:r>
          <w:instrText xml:space="preserve"> PAGEREF _Toc7396 \h </w:instrText>
        </w:r>
        <w:r>
          <w:fldChar w:fldCharType="separate"/>
        </w:r>
        <w:r>
          <w:t>41</w:t>
        </w:r>
        <w:r>
          <w:fldChar w:fldCharType="end"/>
        </w:r>
      </w:hyperlink>
    </w:p>
    <w:p>
      <w:pPr>
        <w:pStyle w:val="TOC1"/>
        <w:tabs>
          <w:tab w:val="right" w:leader="dot" w:pos="8306"/>
        </w:tabs>
      </w:pPr>
      <w:hyperlink w:anchor="_Toc49" w:history="1">
        <w:r>
          <w:rPr>
            <w:rFonts w:ascii="仿宋" w:eastAsia="仿宋" w:hAnsi="仿宋" w:cs="仿宋" w:hint="eastAsia"/>
            <w:lang w:val="en-GB"/>
          </w:rPr>
          <w:t>十、氮氧化物治理行业竞争对选址的影响</w:t>
        </w:r>
        <w:r>
          <w:tab/>
        </w:r>
        <w:r>
          <w:fldChar w:fldCharType="begin"/>
        </w:r>
        <w:r>
          <w:instrText xml:space="preserve"> PAGEREF _Toc49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134" w:history="1">
        <w:r>
          <w:rPr>
            <w:rFonts w:ascii="仿宋" w:eastAsia="仿宋" w:hAnsi="仿宋" w:cs="仿宋" w:hint="eastAsia"/>
            <w:lang w:val="en-GB"/>
          </w:rPr>
          <w:t>(一)、地理位置分析</w:t>
        </w:r>
        <w:r>
          <w:tab/>
        </w:r>
        <w:r>
          <w:fldChar w:fldCharType="begin"/>
        </w:r>
        <w:r>
          <w:instrText xml:space="preserve"> PAGEREF _Toc11134 \h </w:instrText>
        </w:r>
        <w:r>
          <w:fldChar w:fldCharType="separate"/>
        </w:r>
        <w:r>
          <w:t>45</w:t>
        </w:r>
        <w:r>
          <w:fldChar w:fldCharType="end"/>
        </w:r>
      </w:hyperlink>
    </w:p>
    <w:p>
      <w:pPr>
        <w:pStyle w:val="TOC2"/>
        <w:tabs>
          <w:tab w:val="right" w:leader="dot" w:pos="8306"/>
        </w:tabs>
      </w:pPr>
      <w:hyperlink w:anchor="_Toc19881" w:history="1">
        <w:r>
          <w:rPr>
            <w:rFonts w:ascii="仿宋" w:eastAsia="仿宋" w:hAnsi="仿宋" w:cs="仿宋" w:hint="eastAsia"/>
            <w:lang w:val="en-GB"/>
          </w:rPr>
          <w:t>(二)、供应链优势</w:t>
        </w:r>
        <w:r>
          <w:tab/>
        </w:r>
        <w:r>
          <w:fldChar w:fldCharType="begin"/>
        </w:r>
        <w:r>
          <w:instrText xml:space="preserve"> PAGEREF _Toc19881 \h </w:instrText>
        </w:r>
        <w:r>
          <w:fldChar w:fldCharType="separate"/>
        </w:r>
        <w:r>
          <w:t>47</w:t>
        </w:r>
        <w:r>
          <w:fldChar w:fldCharType="end"/>
        </w:r>
      </w:hyperlink>
    </w:p>
    <w:p>
      <w:pPr>
        <w:pStyle w:val="TOC2"/>
        <w:tabs>
          <w:tab w:val="right" w:leader="dot" w:pos="8306"/>
        </w:tabs>
      </w:pPr>
      <w:hyperlink w:anchor="_Toc20454" w:history="1">
        <w:r>
          <w:rPr>
            <w:rFonts w:ascii="仿宋" w:eastAsia="仿宋" w:hAnsi="仿宋" w:cs="仿宋" w:hint="eastAsia"/>
            <w:lang w:val="en-GB"/>
          </w:rPr>
          <w:t>(三)、人才资源</w:t>
        </w:r>
        <w:r>
          <w:tab/>
        </w:r>
        <w:r>
          <w:fldChar w:fldCharType="begin"/>
        </w:r>
        <w:r>
          <w:instrText xml:space="preserve"> PAGEREF _Toc20454 \h </w:instrText>
        </w:r>
        <w:r>
          <w:fldChar w:fldCharType="separate"/>
        </w:r>
        <w:r>
          <w:t>48</w:t>
        </w:r>
        <w:r>
          <w:fldChar w:fldCharType="end"/>
        </w:r>
      </w:hyperlink>
    </w:p>
    <w:p>
      <w:pPr>
        <w:pStyle w:val="TOC2"/>
        <w:tabs>
          <w:tab w:val="right" w:leader="dot" w:pos="8306"/>
        </w:tabs>
      </w:pPr>
      <w:hyperlink w:anchor="_Toc20515" w:history="1">
        <w:r>
          <w:rPr>
            <w:rFonts w:ascii="仿宋" w:eastAsia="仿宋" w:hAnsi="仿宋" w:cs="仿宋" w:hint="eastAsia"/>
            <w:lang w:val="en-GB"/>
          </w:rPr>
          <w:t>(四)、政策支持</w:t>
        </w:r>
        <w:r>
          <w:tab/>
        </w:r>
        <w:r>
          <w:fldChar w:fldCharType="begin"/>
        </w:r>
        <w:r>
          <w:instrText xml:space="preserve"> PAGEREF _Toc20515 \h </w:instrText>
        </w:r>
        <w:r>
          <w:fldChar w:fldCharType="separate"/>
        </w:r>
        <w:r>
          <w:t>49</w:t>
        </w:r>
        <w:r>
          <w:fldChar w:fldCharType="end"/>
        </w:r>
      </w:hyperlink>
    </w:p>
    <w:p>
      <w:pPr>
        <w:pStyle w:val="TOC1"/>
        <w:tabs>
          <w:tab w:val="right" w:leader="dot" w:pos="8306"/>
        </w:tabs>
      </w:pPr>
      <w:hyperlink w:anchor="_Toc14079" w:history="1">
        <w:r>
          <w:rPr>
            <w:rFonts w:ascii="仿宋" w:eastAsia="仿宋" w:hAnsi="仿宋" w:cs="仿宋" w:hint="eastAsia"/>
            <w:lang w:val="en-GB"/>
          </w:rPr>
          <w:t>十一、氮氧化物治理风险管理与合规</w:t>
        </w:r>
        <w:r>
          <w:tab/>
        </w:r>
        <w:r>
          <w:fldChar w:fldCharType="begin"/>
        </w:r>
        <w:r>
          <w:instrText xml:space="preserve"> PAGEREF _Toc14079 \h </w:instrText>
        </w:r>
        <w:r>
          <w:fldChar w:fldCharType="separate"/>
        </w:r>
        <w:r>
          <w:t>50</w:t>
        </w:r>
        <w:r>
          <w:fldChar w:fldCharType="end"/>
        </w:r>
      </w:hyperlink>
    </w:p>
    <w:p>
      <w:pPr>
        <w:pStyle w:val="TOC2"/>
        <w:tabs>
          <w:tab w:val="right" w:leader="dot" w:pos="8306"/>
        </w:tabs>
      </w:pPr>
      <w:hyperlink w:anchor="_Toc5731" w:history="1">
        <w:r>
          <w:rPr>
            <w:rFonts w:ascii="仿宋" w:eastAsia="仿宋" w:hAnsi="仿宋" w:cs="仿宋" w:hint="eastAsia"/>
            <w:lang w:val="en-GB"/>
          </w:rPr>
          <w:t>(一)、风险评估与监测体系</w:t>
        </w:r>
        <w:r>
          <w:tab/>
        </w:r>
        <w:r>
          <w:fldChar w:fldCharType="begin"/>
        </w:r>
        <w:r>
          <w:instrText xml:space="preserve"> PAGEREF _Toc5731 \h </w:instrText>
        </w:r>
        <w:r>
          <w:fldChar w:fldCharType="separate"/>
        </w:r>
        <w:r>
          <w:t>50</w:t>
        </w:r>
        <w:r>
          <w:fldChar w:fldCharType="end"/>
        </w:r>
      </w:hyperlink>
    </w:p>
    <w:p>
      <w:pPr>
        <w:pStyle w:val="TOC2"/>
        <w:tabs>
          <w:tab w:val="right" w:leader="dot" w:pos="8306"/>
        </w:tabs>
      </w:pPr>
      <w:hyperlink w:anchor="_Toc7233" w:history="1">
        <w:r>
          <w:rPr>
            <w:rFonts w:ascii="仿宋" w:eastAsia="仿宋" w:hAnsi="仿宋" w:cs="仿宋" w:hint="eastAsia"/>
            <w:lang w:val="en-GB"/>
          </w:rPr>
          <w:t>(二)、合规政策制定与执行</w:t>
        </w:r>
        <w:r>
          <w:tab/>
        </w:r>
        <w:r>
          <w:fldChar w:fldCharType="begin"/>
        </w:r>
        <w:r>
          <w:instrText xml:space="preserve"> PAGEREF _Toc7233 \h </w:instrText>
        </w:r>
        <w:r>
          <w:fldChar w:fldCharType="separate"/>
        </w:r>
        <w:r>
          <w:t>51</w:t>
        </w:r>
        <w:r>
          <w:fldChar w:fldCharType="end"/>
        </w:r>
      </w:hyperlink>
    </w:p>
    <w:p>
      <w:pPr>
        <w:pStyle w:val="TOC2"/>
        <w:tabs>
          <w:tab w:val="right" w:leader="dot" w:pos="8306"/>
        </w:tabs>
      </w:pPr>
      <w:hyperlink w:anchor="_Toc16055" w:history="1">
        <w:r>
          <w:rPr>
            <w:rFonts w:ascii="仿宋" w:eastAsia="仿宋" w:hAnsi="仿宋" w:cs="仿宋" w:hint="eastAsia"/>
            <w:lang w:val="en-GB"/>
          </w:rPr>
          <w:t>(三)、危机管理与灾备计划</w:t>
        </w:r>
        <w:r>
          <w:tab/>
        </w:r>
        <w:r>
          <w:fldChar w:fldCharType="begin"/>
        </w:r>
        <w:r>
          <w:instrText xml:space="preserve"> PAGEREF _Toc16055 \h </w:instrText>
        </w:r>
        <w:r>
          <w:fldChar w:fldCharType="separate"/>
        </w:r>
        <w:r>
          <w:t>52</w:t>
        </w:r>
        <w:r>
          <w:fldChar w:fldCharType="end"/>
        </w:r>
      </w:hyperlink>
    </w:p>
    <w:p>
      <w:pPr>
        <w:pStyle w:val="TOC2"/>
        <w:tabs>
          <w:tab w:val="right" w:leader="dot" w:pos="8306"/>
        </w:tabs>
      </w:pPr>
      <w:hyperlink w:anchor="_Toc6801" w:history="1">
        <w:r>
          <w:rPr>
            <w:rFonts w:ascii="仿宋" w:eastAsia="仿宋" w:hAnsi="仿宋" w:cs="仿宋" w:hint="eastAsia"/>
            <w:lang w:val="en-GB"/>
          </w:rPr>
          <w:t>(四)、法律事务与法规遵从</w:t>
        </w:r>
        <w:r>
          <w:tab/>
        </w:r>
        <w:r>
          <w:fldChar w:fldCharType="begin"/>
        </w:r>
        <w:r>
          <w:instrText xml:space="preserve"> PAGEREF _Toc6801 \h </w:instrText>
        </w:r>
        <w:r>
          <w:fldChar w:fldCharType="separate"/>
        </w:r>
        <w:r>
          <w:t>54</w:t>
        </w:r>
        <w:r>
          <w:fldChar w:fldCharType="end"/>
        </w:r>
      </w:hyperlink>
    </w:p>
    <w:p>
      <w:pPr>
        <w:pStyle w:val="TOC1"/>
        <w:tabs>
          <w:tab w:val="right" w:leader="dot" w:pos="8306"/>
        </w:tabs>
      </w:pPr>
      <w:hyperlink w:anchor="_Toc24319" w:history="1">
        <w:r>
          <w:rPr>
            <w:rFonts w:ascii="仿宋" w:eastAsia="仿宋" w:hAnsi="仿宋" w:cs="仿宋" w:hint="eastAsia"/>
            <w:lang w:val="en-GB"/>
          </w:rPr>
          <w:t>十二、氮氧化物治理数字化发展方案</w:t>
        </w:r>
        <w:r>
          <w:tab/>
        </w:r>
        <w:r>
          <w:fldChar w:fldCharType="begin"/>
        </w:r>
        <w:r>
          <w:instrText xml:space="preserve"> PAGEREF _Toc24319 \h </w:instrText>
        </w:r>
        <w:r>
          <w:fldChar w:fldCharType="separate"/>
        </w:r>
        <w:r>
          <w:t>55</w:t>
        </w:r>
        <w:r>
          <w:fldChar w:fldCharType="end"/>
        </w:r>
      </w:hyperlink>
    </w:p>
    <w:p>
      <w:pPr>
        <w:pStyle w:val="TOC2"/>
        <w:tabs>
          <w:tab w:val="right" w:leader="dot" w:pos="8306"/>
        </w:tabs>
      </w:pPr>
      <w:hyperlink w:anchor="_Toc25783" w:history="1">
        <w:r>
          <w:rPr>
            <w:rFonts w:ascii="仿宋" w:eastAsia="仿宋" w:hAnsi="仿宋" w:cs="仿宋" w:hint="eastAsia"/>
            <w:lang w:val="en-GB"/>
          </w:rPr>
          <w:t>(一)、数字化战略规划</w:t>
        </w:r>
        <w:r>
          <w:tab/>
        </w:r>
        <w:r>
          <w:fldChar w:fldCharType="begin"/>
        </w:r>
        <w:r>
          <w:instrText xml:space="preserve"> PAGEREF _Toc25783 \h </w:instrText>
        </w:r>
        <w:r>
          <w:fldChar w:fldCharType="separate"/>
        </w:r>
        <w:r>
          <w:t>55</w:t>
        </w:r>
        <w:r>
          <w:fldChar w:fldCharType="end"/>
        </w:r>
      </w:hyperlink>
    </w:p>
    <w:p>
      <w:pPr>
        <w:pStyle w:val="TOC2"/>
        <w:tabs>
          <w:tab w:val="right" w:leader="dot" w:pos="8306"/>
        </w:tabs>
      </w:pPr>
      <w:hyperlink w:anchor="_Toc2488" w:history="1">
        <w:r>
          <w:rPr>
            <w:rFonts w:ascii="仿宋" w:eastAsia="仿宋" w:hAnsi="仿宋" w:cs="仿宋" w:hint="eastAsia"/>
            <w:lang w:val="en-GB"/>
          </w:rPr>
          <w:t>(二)、数据安全与隐私保护</w:t>
        </w:r>
        <w:r>
          <w:tab/>
        </w:r>
        <w:r>
          <w:fldChar w:fldCharType="begin"/>
        </w:r>
        <w:r>
          <w:instrText xml:space="preserve"> PAGEREF _Toc2488 \h </w:instrText>
        </w:r>
        <w:r>
          <w:fldChar w:fldCharType="separate"/>
        </w:r>
        <w:r>
          <w:t>56</w:t>
        </w:r>
        <w:r>
          <w:fldChar w:fldCharType="end"/>
        </w:r>
      </w:hyperlink>
    </w:p>
    <w:p>
      <w:pPr>
        <w:pStyle w:val="TOC2"/>
        <w:tabs>
          <w:tab w:val="right" w:leader="dot" w:pos="8306"/>
        </w:tabs>
      </w:pPr>
      <w:hyperlink w:anchor="_Toc10920" w:history="1">
        <w:r>
          <w:rPr>
            <w:rFonts w:ascii="仿宋" w:eastAsia="仿宋" w:hAnsi="仿宋" w:cs="仿宋" w:hint="eastAsia"/>
            <w:lang w:val="en-GB"/>
          </w:rPr>
          <w:t>(三)、人工智能与大数据应用</w:t>
        </w:r>
        <w:r>
          <w:tab/>
        </w:r>
        <w:r>
          <w:fldChar w:fldCharType="begin"/>
        </w:r>
        <w:r>
          <w:instrText xml:space="preserve"> PAGEREF _Toc10920 \h </w:instrText>
        </w:r>
        <w:r>
          <w:fldChar w:fldCharType="separate"/>
        </w:r>
        <w:r>
          <w:t>58</w:t>
        </w:r>
        <w:r>
          <w:fldChar w:fldCharType="end"/>
        </w:r>
      </w:hyperlink>
    </w:p>
    <w:p>
      <w:pPr>
        <w:pStyle w:val="TOC2"/>
        <w:tabs>
          <w:tab w:val="right" w:leader="dot" w:pos="8306"/>
        </w:tabs>
      </w:pPr>
      <w:hyperlink w:anchor="_Toc16559" w:history="1">
        <w:r>
          <w:rPr>
            <w:rFonts w:ascii="仿宋" w:eastAsia="仿宋" w:hAnsi="仿宋" w:cs="仿宋" w:hint="eastAsia"/>
            <w:lang w:val="en-GB"/>
          </w:rPr>
          <w:t>(四)、信息技术基础设施建设</w:t>
        </w:r>
        <w:r>
          <w:tab/>
        </w:r>
        <w:r>
          <w:fldChar w:fldCharType="begin"/>
        </w:r>
        <w:r>
          <w:instrText xml:space="preserve"> PAGEREF _Toc16559 \h </w:instrText>
        </w:r>
        <w:r>
          <w:fldChar w:fldCharType="separate"/>
        </w:r>
        <w:r>
          <w:t>59</w:t>
        </w:r>
        <w:r>
          <w:fldChar w:fldCharType="end"/>
        </w:r>
      </w:hyperlink>
    </w:p>
    <w:p>
      <w:pPr>
        <w:pStyle w:val="TOC1"/>
        <w:tabs>
          <w:tab w:val="right" w:leader="dot" w:pos="8306"/>
        </w:tabs>
      </w:pPr>
      <w:hyperlink w:anchor="_Toc23040" w:history="1">
        <w:r>
          <w:rPr>
            <w:rFonts w:ascii="仿宋" w:eastAsia="仿宋" w:hAnsi="仿宋" w:cs="仿宋" w:hint="eastAsia"/>
            <w:lang w:val="en-GB"/>
          </w:rPr>
          <w:t>十三、氮氧化物治理国际化战略</w:t>
        </w:r>
        <w:r>
          <w:tab/>
        </w:r>
        <w:r>
          <w:fldChar w:fldCharType="begin"/>
        </w:r>
        <w:r>
          <w:instrText xml:space="preserve"> PAGEREF _Toc23040 \h </w:instrText>
        </w:r>
        <w:r>
          <w:fldChar w:fldCharType="separate"/>
        </w:r>
        <w:r>
          <w:t>60</w:t>
        </w:r>
        <w:r>
          <w:fldChar w:fldCharType="end"/>
        </w:r>
      </w:hyperlink>
    </w:p>
    <w:p>
      <w:pPr>
        <w:pStyle w:val="TOC2"/>
        <w:tabs>
          <w:tab w:val="right" w:leader="dot" w:pos="8306"/>
        </w:tabs>
      </w:pPr>
      <w:hyperlink w:anchor="_Toc27149" w:history="1">
        <w:r>
          <w:rPr>
            <w:rFonts w:ascii="仿宋" w:eastAsia="仿宋" w:hAnsi="仿宋" w:cs="仿宋" w:hint="eastAsia"/>
            <w:lang w:val="en-GB"/>
          </w:rPr>
          <w:t>(一)、海外市场分析与选择</w:t>
        </w:r>
        <w:r>
          <w:tab/>
        </w:r>
        <w:r>
          <w:fldChar w:fldCharType="begin"/>
        </w:r>
        <w:r>
          <w:instrText xml:space="preserve"> PAGEREF _Toc27149 \h </w:instrText>
        </w:r>
        <w:r>
          <w:fldChar w:fldCharType="separate"/>
        </w:r>
        <w:r>
          <w:t>60</w:t>
        </w:r>
        <w:r>
          <w:fldChar w:fldCharType="end"/>
        </w:r>
      </w:hyperlink>
    </w:p>
    <w:p>
      <w:pPr>
        <w:pStyle w:val="TOC2"/>
        <w:tabs>
          <w:tab w:val="right" w:leader="dot" w:pos="8306"/>
        </w:tabs>
      </w:pPr>
      <w:hyperlink w:anchor="_Toc7001" w:history="1">
        <w:r>
          <w:rPr>
            <w:rFonts w:ascii="仿宋" w:eastAsia="仿宋" w:hAnsi="仿宋" w:cs="仿宋" w:hint="eastAsia"/>
            <w:lang w:val="en-GB"/>
          </w:rPr>
          <w:t>(二)、跨国合作伙伴关系</w:t>
        </w:r>
        <w:r>
          <w:tab/>
        </w:r>
        <w:r>
          <w:fldChar w:fldCharType="begin"/>
        </w:r>
        <w:r>
          <w:instrText xml:space="preserve"> PAGEREF _Toc7001 \h </w:instrText>
        </w:r>
        <w:r>
          <w:fldChar w:fldCharType="separate"/>
        </w:r>
        <w:r>
          <w:t>62</w:t>
        </w:r>
        <w:r>
          <w:fldChar w:fldCharType="end"/>
        </w:r>
      </w:hyperlink>
    </w:p>
    <w:p>
      <w:pPr>
        <w:pStyle w:val="TOC2"/>
        <w:tabs>
          <w:tab w:val="right" w:leader="dot" w:pos="8306"/>
        </w:tabs>
      </w:pPr>
      <w:hyperlink w:anchor="_Toc17098" w:history="1">
        <w:r>
          <w:rPr>
            <w:rFonts w:ascii="仿宋" w:eastAsia="仿宋" w:hAnsi="仿宋" w:cs="仿宋" w:hint="eastAsia"/>
            <w:lang w:val="en-GB"/>
          </w:rPr>
          <w:t>(三)、国际市场营销与品牌推广</w:t>
        </w:r>
        <w:r>
          <w:tab/>
        </w:r>
        <w:r>
          <w:fldChar w:fldCharType="begin"/>
        </w:r>
        <w:r>
          <w:instrText xml:space="preserve"> PAGEREF _Toc17098 \h </w:instrText>
        </w:r>
        <w:r>
          <w:fldChar w:fldCharType="separate"/>
        </w:r>
        <w:r>
          <w:t>63</w:t>
        </w:r>
        <w:r>
          <w:fldChar w:fldCharType="end"/>
        </w:r>
      </w:hyperlink>
    </w:p>
    <w:p>
      <w:pPr>
        <w:pStyle w:val="TOC2"/>
        <w:tabs>
          <w:tab w:val="right" w:leader="dot" w:pos="8306"/>
        </w:tabs>
      </w:pPr>
      <w:hyperlink w:anchor="_Toc15212" w:history="1">
        <w:r>
          <w:rPr>
            <w:rFonts w:ascii="仿宋" w:eastAsia="仿宋" w:hAnsi="仿宋" w:cs="仿宋" w:hint="eastAsia"/>
            <w:lang w:val="en-GB"/>
          </w:rPr>
          <w:t>(四)、国际贸易与风险管理</w:t>
        </w:r>
        <w:r>
          <w:tab/>
        </w:r>
        <w:r>
          <w:fldChar w:fldCharType="begin"/>
        </w:r>
        <w:r>
          <w:instrText xml:space="preserve"> PAGEREF _Toc15212 \h </w:instrText>
        </w:r>
        <w:r>
          <w:fldChar w:fldCharType="separate"/>
        </w:r>
        <w:r>
          <w:t>64</w:t>
        </w:r>
        <w:r>
          <w:fldChar w:fldCharType="end"/>
        </w:r>
      </w:hyperlink>
    </w:p>
    <w:p>
      <w:pPr>
        <w:pStyle w:val="TOC1"/>
        <w:tabs>
          <w:tab w:val="right" w:leader="dot" w:pos="8306"/>
        </w:tabs>
      </w:pPr>
      <w:hyperlink w:anchor="_Toc25046" w:history="1">
        <w:r>
          <w:rPr>
            <w:rFonts w:ascii="仿宋" w:eastAsia="仿宋" w:hAnsi="仿宋" w:cs="仿宋" w:hint="eastAsia"/>
            <w:lang w:val="en-GB"/>
          </w:rPr>
          <w:t>十四、氮氧化物治理行业高质量发展</w:t>
        </w:r>
        <w:r>
          <w:tab/>
        </w:r>
        <w:r>
          <w:fldChar w:fldCharType="begin"/>
        </w:r>
        <w:r>
          <w:instrText xml:space="preserve"> PAGEREF _Toc25046 \h </w:instrText>
        </w:r>
        <w:r>
          <w:fldChar w:fldCharType="separate"/>
        </w:r>
        <w:r>
          <w:t>65</w:t>
        </w:r>
        <w:r>
          <w:fldChar w:fldCharType="end"/>
        </w:r>
      </w:hyperlink>
    </w:p>
    <w:p>
      <w:pPr>
        <w:pStyle w:val="TOC2"/>
        <w:tabs>
          <w:tab w:val="right" w:leader="dot" w:pos="8306"/>
        </w:tabs>
      </w:pPr>
      <w:hyperlink w:anchor="_Toc26137" w:history="1">
        <w:r>
          <w:rPr>
            <w:rFonts w:ascii="仿宋" w:eastAsia="仿宋" w:hAnsi="仿宋" w:cs="仿宋" w:hint="eastAsia"/>
            <w:lang w:val="en-GB"/>
          </w:rPr>
          <w:t>(一)、质量管理体系</w:t>
        </w:r>
        <w:r>
          <w:tab/>
        </w:r>
        <w:r>
          <w:fldChar w:fldCharType="begin"/>
        </w:r>
        <w:r>
          <w:instrText xml:space="preserve"> PAGEREF _Toc26137 \h </w:instrText>
        </w:r>
        <w:r>
          <w:fldChar w:fldCharType="separate"/>
        </w:r>
        <w:r>
          <w:t>65</w:t>
        </w:r>
        <w:r>
          <w:fldChar w:fldCharType="end"/>
        </w:r>
      </w:hyperlink>
    </w:p>
    <w:p>
      <w:pPr>
        <w:pStyle w:val="TOC2"/>
        <w:tabs>
          <w:tab w:val="right" w:leader="dot" w:pos="8306"/>
        </w:tabs>
      </w:pPr>
      <w:hyperlink w:anchor="_Toc14714" w:history="1">
        <w:r>
          <w:rPr>
            <w:rFonts w:ascii="仿宋" w:eastAsia="仿宋" w:hAnsi="仿宋" w:cs="仿宋" w:hint="eastAsia"/>
            <w:lang w:val="en-GB"/>
          </w:rPr>
          <w:t>(二)、创新与研发投入</w:t>
        </w:r>
        <w:r>
          <w:tab/>
        </w:r>
        <w:r>
          <w:fldChar w:fldCharType="begin"/>
        </w:r>
        <w:r>
          <w:instrText xml:space="preserve"> PAGEREF _Toc14714 \h </w:instrText>
        </w:r>
        <w:r>
          <w:fldChar w:fldCharType="separate"/>
        </w:r>
        <w:r>
          <w:t>67</w:t>
        </w:r>
        <w:r>
          <w:fldChar w:fldCharType="end"/>
        </w:r>
      </w:hyperlink>
    </w:p>
    <w:p>
      <w:pPr>
        <w:pStyle w:val="TOC2"/>
        <w:tabs>
          <w:tab w:val="right" w:leader="dot" w:pos="8306"/>
        </w:tabs>
      </w:pPr>
      <w:hyperlink w:anchor="_Toc2761" w:history="1">
        <w:r>
          <w:rPr>
            <w:rFonts w:ascii="仿宋" w:eastAsia="仿宋" w:hAnsi="仿宋" w:cs="仿宋" w:hint="eastAsia"/>
            <w:lang w:val="en-GB"/>
          </w:rPr>
          <w:t>(三)、生产效率提升</w:t>
        </w:r>
        <w:r>
          <w:tab/>
        </w:r>
        <w:r>
          <w:fldChar w:fldCharType="begin"/>
        </w:r>
        <w:r>
          <w:instrText xml:space="preserve"> PAGEREF _Toc2761 \h </w:instrText>
        </w:r>
        <w:r>
          <w:fldChar w:fldCharType="separate"/>
        </w:r>
        <w:r>
          <w:t>68</w:t>
        </w:r>
        <w:r>
          <w:fldChar w:fldCharType="end"/>
        </w:r>
      </w:hyperlink>
    </w:p>
    <w:p>
      <w:pPr>
        <w:pStyle w:val="TOC2"/>
        <w:tabs>
          <w:tab w:val="right" w:leader="dot" w:pos="8306"/>
        </w:tabs>
      </w:pPr>
      <w:hyperlink w:anchor="_Toc12472" w:history="1">
        <w:r>
          <w:rPr>
            <w:rFonts w:ascii="仿宋" w:eastAsia="仿宋" w:hAnsi="仿宋" w:cs="仿宋" w:hint="eastAsia"/>
            <w:lang w:val="en-GB"/>
          </w:rPr>
          <w:t>(四)、环保与可持续发展</w:t>
        </w:r>
        <w:r>
          <w:tab/>
        </w:r>
        <w:r>
          <w:fldChar w:fldCharType="begin"/>
        </w:r>
        <w:r>
          <w:instrText xml:space="preserve"> PAGEREF _Toc12472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14516"/>
      <w:r>
        <w:rPr>
          <w:rFonts w:ascii="仿宋" w:eastAsia="仿宋" w:hAnsi="仿宋" w:cs="仿宋" w:hint="eastAsia"/>
          <w:lang w:val="en-GB"/>
        </w:rPr>
        <w:t>概论</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随着氮氧化物治理市场竞争的不断加剧，氮氧化物治理企业之间争夺市场份额的过程愈加复杂多变。本报告通过系统地分析市场趋势、行业壁垒、消费者偏好与竞争者行为，旨在为读者提供全面细致的市场分析及竞争策略。研究所得不仅能帮助企业制定科学合理的市场策略，还能在激烈的市场竞争中寻求到可持续的竞争优势。请注意，本报告的内容仅限于学习交流，严禁用于任何商业用途。</w:t>
      </w:r>
    </w:p>
    <w:p>
      <w:pPr>
        <w:pStyle w:val="Heading1"/>
        <w:ind w:firstLine="560" w:firstLineChars="200"/>
        <w:rPr>
          <w:rFonts w:ascii="仿宋" w:eastAsia="仿宋" w:hAnsi="仿宋" w:cs="仿宋" w:hint="eastAsia"/>
          <w:sz w:val="28"/>
          <w:lang w:val="en-GB"/>
        </w:rPr>
      </w:pPr>
      <w:bookmarkStart w:id="2" w:name="_Toc5972"/>
      <w:r>
        <w:rPr>
          <w:rFonts w:ascii="仿宋" w:eastAsia="仿宋" w:hAnsi="仿宋" w:cs="仿宋" w:hint="eastAsia"/>
          <w:sz w:val="28"/>
          <w:lang w:val="en-GB"/>
        </w:rPr>
        <w:t>一、氮氧化物治理行业发展现状</w:t>
      </w:r>
      <w:bookmarkEnd w:id="2"/>
    </w:p>
    <w:p>
      <w:pPr>
        <w:pStyle w:val="Heading2"/>
        <w:rPr>
          <w:rFonts w:ascii="仿宋" w:eastAsia="仿宋" w:hAnsi="仿宋" w:cs="仿宋" w:hint="eastAsia"/>
          <w:lang w:val="en-GB"/>
        </w:rPr>
      </w:pPr>
      <w:bookmarkStart w:id="3" w:name="_Toc24965"/>
      <w:r>
        <w:rPr>
          <w:rFonts w:ascii="仿宋" w:eastAsia="仿宋" w:hAnsi="仿宋" w:cs="仿宋" w:hint="eastAsia"/>
          <w:lang w:val="en-GB"/>
        </w:rPr>
        <w:t>(一)、氮氧化物治理行业整体概况</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市场规模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产值增长趋势： 深入分析市场规模的增长趋势，了解过去几年的发展状况以及未来的预测，以把握市场的潜在机会。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地域分布： 检视市场规模在不同地域的分布情况，是否存在地域性差异，以便企业能够有针对性地调整战略。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新兴市场： 了解新兴市场的发展潜力，是否存在尚未开发的氮氧化物治理市场领域，以确定未来的市场扩张方向。</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主要参与者</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市场份额分析： 深入了解主要参与者的市场份额，以及这些份额的变化趋势，有助于评估企业在竞争中的地位。</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企业战略：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分析主要参与者的战略选择，包括产品定位、市场定位、价格策略等，以获取对竞争格局的深入理解。</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并购与合作： 观察企业是否进行并购或合作，以推动市场份额的扩大或获取新的技术和资源。</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竞争格局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竞争形式： 了解竞争是激烈还是相对稳定，是否存在价格竞争、创新竞争等方面的特征。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新进入者： 分析新进入者的威胁程度，了解市场的准入难度，以预测未来的竞争格局。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供应链关系： 考察主要参与者之间的供应链关系，了解其对整个产业链的影响，以及可能的变革。</w:t>
      </w:r>
    </w:p>
    <w:p>
      <w:pPr>
        <w:pStyle w:val="Heading2"/>
        <w:ind w:firstLine="560" w:firstLineChars="200"/>
        <w:rPr>
          <w:rFonts w:ascii="仿宋" w:eastAsia="仿宋" w:hAnsi="仿宋" w:cs="仿宋" w:hint="eastAsia"/>
          <w:sz w:val="28"/>
          <w:lang w:val="en-GB"/>
        </w:rPr>
      </w:pPr>
      <w:bookmarkStart w:id="4" w:name="_Toc18351"/>
      <w:r>
        <w:rPr>
          <w:rFonts w:ascii="仿宋" w:eastAsia="仿宋" w:hAnsi="仿宋" w:cs="仿宋" w:hint="eastAsia"/>
          <w:sz w:val="28"/>
          <w:lang w:val="en-GB"/>
        </w:rPr>
        <w:t>(二)、技术创新与发展</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新技术应用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先进制造技术： 调查氮氧化物治理行业内是否采用了先进的制造技术，例如3D打印、机器人技术，以提高生产效率和产品质量。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智能化解决方案： 观察是否有公司推出智能化解决方案，包括智能城市、智能家居等，以适应社会对智能化的日益增长的需求。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生物技术： 检视生物技术在氮氧化物治理行业中的应用，例如基因编辑、生物医学工程等，了解其在产品创新和治疗方面的潜在影响。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研发投入</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研发预算：</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分析氮氧化物治理行业内公司是否增加了研发预算，以确定其对创新的承诺程度，并评估未来技术进步的潜力。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合作与联合研发： 了解公司是否与其他企业、研究机构建立合作关系进行联合研发，以促进创新加速。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创新实验室： 探讨公司是否设立创新实验室，以加速新技术的研发和实际应用。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数字化转型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数据分析和挖掘： 了解公司是否利用大数据分析和挖掘技术，以获取洞察和优化决策过程。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云计算与边缘计算： 考察是否有公司采用云计算和边缘计算，以提高数据存储和处理的效率。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物联网应用： 检视物联网在氮氧化物治理行业内的应用，例如智能传感器、连接设备，以提高生产、管理和服务的智能化水平。</w:t>
      </w:r>
    </w:p>
    <w:p>
      <w:pPr>
        <w:pStyle w:val="Heading2"/>
        <w:ind w:firstLine="560" w:firstLineChars="200"/>
        <w:rPr>
          <w:rFonts w:ascii="仿宋" w:eastAsia="仿宋" w:hAnsi="仿宋" w:cs="仿宋" w:hint="eastAsia"/>
          <w:sz w:val="28"/>
          <w:lang w:val="en-GB"/>
        </w:rPr>
      </w:pPr>
      <w:bookmarkStart w:id="5" w:name="_Toc8747"/>
      <w:r>
        <w:rPr>
          <w:rFonts w:ascii="仿宋" w:eastAsia="仿宋" w:hAnsi="仿宋" w:cs="仿宋" w:hint="eastAsia"/>
          <w:sz w:val="28"/>
          <w:lang w:val="en-GB"/>
        </w:rPr>
        <w:t>(三)、政策与法规</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对于政策与法规方面，公司将密切关注并积极应对各项变化：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支持政策响应计划： 公司将建立政策研究团队，定期关注政府发布的各类支持氮氧化物治理行业发展的政策。一旦有相关政策出台，公司将及时评估对业务的影响，并制定相应的响应计划。这可能包括调整生产布局、优化产品结构，以充分利用政策红利。</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2.</w:t>
      </w:r>
      <w:r>
        <w:rPr>
          <w:rFonts w:ascii="仿宋" w:eastAsia="仿宋" w:hAnsi="仿宋" w:cs="仿宋" w:hint="eastAsia"/>
          <w:sz w:val="28"/>
          <w:lang w:val="en-GB"/>
        </w:rPr>
        <w:t xml:space="preserve"> 环保法规合规策略：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将建立环保合规管理体系，确保生产活动符合国家和地方的环保法规要求。通过引入清洁生产技术、提高资源利用效率，公司将努力降低环境污染和资源浪费。定期进行内部环保合规审核，及时发现和纠正潜在的环保风险，确保公司在法规框架内合法经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监管趋势预测机制： 公司将建立监管趋势监测机制，及时收集监管部门发布的各类信息，了解氮氧化物治理行业监管的动态。与专业法律团队合作，进行法规解读和趋势预测，以便公司在法规调整前能够提前做好准备。同时，公司将积极参与氮氧化物治理行业协会，通过协会渠道获取更多关于政策和法规的信息，保持敏感度和应变能力。</w:t>
      </w:r>
    </w:p>
    <w:p>
      <w:pPr>
        <w:pStyle w:val="Heading2"/>
        <w:ind w:firstLine="560" w:firstLineChars="200"/>
        <w:rPr>
          <w:rFonts w:ascii="仿宋" w:eastAsia="仿宋" w:hAnsi="仿宋" w:cs="仿宋" w:hint="eastAsia"/>
          <w:sz w:val="28"/>
          <w:lang w:val="en-GB"/>
        </w:rPr>
      </w:pPr>
      <w:bookmarkStart w:id="6" w:name="_Toc6718"/>
      <w:r>
        <w:rPr>
          <w:rFonts w:ascii="仿宋" w:eastAsia="仿宋" w:hAnsi="仿宋" w:cs="仿宋" w:hint="eastAsia"/>
          <w:sz w:val="28"/>
          <w:lang w:val="en-GB"/>
        </w:rPr>
        <w:t>(四)、消费者需求变化</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在深入了解企业制定战略时必须考虑的消费者需求变化的基础上，下面是对这三个方面的进一步扩充：</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消费升级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体验式购物： 消费者是否更加追求购物体验，例如通过虚拟现实(VR)或增强现实(AR)技术来丰富他们的购物过程。企业是否能够提供令人难忘的消费体验以满足这一趋势。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个性化定制的深度： 个性化不仅仅是产品的外观，还包括服务、推荐系统等方面。企业是否能够通过数据分析和人工智能技术实现更深层次的个性化定制。</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生活方式的综合考虑： 消费者是否更注重产品与其生活方式的契合度。企业是否能够提供全方位、与生活方式相融合的产品和服务。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数字化需求</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https://d.book118.com/806021104014010045</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氮氧化物治理产业分析报告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氮氧化物治理产业分析报告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氮氧化物治理产业分析报告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氮氧化物治理产业分析报告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氮氧化物治理产业分析报告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氮氧化物治理产业分析报告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氮氧化物治理产业分析报告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0E69B3"/>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0E69B3"/>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06021104014010045"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2024-01-11T08:45:00Z</dcterms:created>
  <dcterms:modified xsi:type="dcterms:W3CDTF">2024-01-11T08:45:46Z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C3FF9B1C2FDB4BE396B0A732E5553298_11</vt:lpwstr>
  </property>
  <property fmtid="{D5CDD505-2E9C-101B-9397-08002B2CF9AE}" pid="3" name="KSOProductBuildVer">
    <vt:lpwstr>2052-12.1.0.16120</vt:lpwstr>
  </property>
</Properties>
</file>