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2018-2023年青海畜牧兽医职业技术学院高职单招（数学／语文／英语）历年常考试题库含答案解析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孔子所说的“小康”社会指的是（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B.商周时代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C.“三代之英”时代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D.没有人听姚纳诉说，马却听其诉说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A.反映地方民情风俗的散文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“望洋兴叹”一语出自（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A.《老子》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我国先秦时期，认为“民为贵，社稷次之，君为轻”的思想家是（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《水调歌头》“明月几时有”一词怀念的对象是（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A.父亲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B.朋友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C.妻子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D.弟弟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《西厢记·长亭送别》中，“泪添九曲黄河溢，恨压三峰华岳低”两句采用的修辞手法是（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B.比喻、通感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C.通感、夸张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《论学问》一文指出治学的目的是（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A.能权衡轻重，审察事理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B.娱乐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D.装饰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“快乐在人生里，好比引诱小孩子吃药的方糖，更像跑狗场里引诱狗赛跑的电兔子”所用的修辞方法是（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C.反复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下列划横线的句子翻译正确的是（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A.未及见贼而士卒离散，君臣相顾，不知所归。君臣相顾：君王和大臣们互相照顾。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B.孟尝君不说，日：“诺，先生休矣！”先生休矣：先生休息吧！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C.城陷而虏，与巡死先后异耳。城陷而虏：城池陷落后他被敌人俘获。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D.举先王之政，以兴利除弊，不为生事。举先王之政：列举先王的治国方略。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提出“创造这中国历史上未曾有过的第三样时代，则是现在的青年的使命！”的是（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D.陈独秀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下列画横线的句子翻译正确的是（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A.孟尝君不说，曰：“诺，先生休矣！”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B.今将军尚不得夜行，何乃故也。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https://d.book118.com/806035144230010052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06035144230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