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2024年天津市职业大学高职单招（英语／数学／语文）笔试历年真题摘选含答案解析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《战国策》是一部（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B.纪传体通史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D.哲学著作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A.《东坡词》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“还将旧来意，怜取眼前人”中后句的意思是（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A.可怜眼前的我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C.可怜眼前的新人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《短歌行》中引用《诗经》成句“青青子衿，悠悠我心”，所表达的心情是（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A.思慕贤才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B.礼遇贤才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C.对贤才无所依托的思虑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D.与贤才久别重逢的欣慰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下列作品属于郭沫若所创作的一组是（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A.《女神》、《死水》、《屈原》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B.《女神》、《尝试集》、《猛虎集》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C.《北方》、《红烛》、《屈原》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D.《屈原》、《虎符》、《蔡文姬》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《张中丞传后叙》中，补记许远的事迹，主要采用的写法是（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李清照《声声慢（寻寻觅觅）》最突出的语言技巧是（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https://d.book118.com/806201205134010101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806201205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