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463" w:line="1054" w:lineRule="exact"/>
        <w:ind w:left="610"/>
        <w:outlineLvl w:val="0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b/>
          <w:bCs/>
          <w:color w:val="6D2CA7"/>
          <w:spacing w:val="-11"/>
          <w:position w:val="-6"/>
          <w:sz w:val="108"/>
          <w:szCs w:val="108"/>
        </w:rPr>
        <w:t>2024</w:t>
      </w:r>
      <w:r>
        <w:rPr>
          <w:rFonts w:ascii="Microsoft YaHei" w:eastAsia="Microsoft YaHei" w:hAnsi="Microsoft YaHei" w:cs="Microsoft YaHei"/>
          <w:b/>
          <w:bCs/>
          <w:color w:val="6D2CA7"/>
          <w:spacing w:val="-73"/>
          <w:position w:val="-6"/>
          <w:sz w:val="108"/>
          <w:szCs w:val="10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6D2CA7"/>
          <w:spacing w:val="-11"/>
          <w:position w:val="-6"/>
          <w:sz w:val="108"/>
          <w:szCs w:val="108"/>
        </w:rPr>
        <w:t>科技趋势：</w:t>
      </w:r>
    </w:p>
    <w:p>
      <w:pPr>
        <w:spacing w:before="6" w:line="180" w:lineRule="auto"/>
        <w:ind w:left="575"/>
        <w:rPr>
          <w:rFonts w:ascii="Microsoft YaHei" w:eastAsia="Microsoft YaHei" w:hAnsi="Microsoft YaHei" w:cs="Microsoft YaHei"/>
          <w:sz w:val="108"/>
          <w:szCs w:val="108"/>
        </w:rPr>
      </w:pPr>
      <w:r>
        <w:rPr>
          <w:rFonts w:ascii="Microsoft YaHei" w:eastAsia="Microsoft YaHei" w:hAnsi="Microsoft YaHei" w:cs="Microsoft YaHei"/>
          <w:b/>
          <w:bCs/>
          <w:color w:val="6D2CA7"/>
          <w:spacing w:val="-7"/>
          <w:sz w:val="108"/>
          <w:szCs w:val="108"/>
        </w:rPr>
        <w:t>生成式人工智能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73" w:line="187" w:lineRule="auto"/>
        <w:ind w:left="546"/>
      </w:pPr>
      <w:r>
        <w:rPr>
          <w:b/>
          <w:bCs/>
          <w:spacing w:val="-1"/>
        </w:rPr>
        <w:t>Eden Zoller, Chief Analyst, Applied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1"/>
        </w:rPr>
        <w:t>Int</w:t>
      </w:r>
      <w:r>
        <w:rPr>
          <w:b/>
          <w:bCs/>
          <w:spacing w:val="-2"/>
        </w:rPr>
        <w:t>elligence</w:t>
      </w:r>
    </w:p>
    <w:p>
      <w:pPr>
        <w:pStyle w:val="BodyText"/>
        <w:spacing w:before="195" w:line="186" w:lineRule="auto"/>
        <w:ind w:left="546"/>
      </w:pPr>
      <w:r>
        <w:rPr>
          <w:b/>
          <w:bCs/>
          <w:spacing w:val="-2"/>
        </w:rPr>
        <w:t>Natalia</w:t>
      </w:r>
      <w:r>
        <w:rPr>
          <w:b/>
          <w:bCs/>
          <w:spacing w:val="19"/>
        </w:rPr>
        <w:t xml:space="preserve"> </w:t>
      </w:r>
      <w:r>
        <w:rPr>
          <w:b/>
          <w:bCs/>
          <w:spacing w:val="-2"/>
        </w:rPr>
        <w:t>Modjeska,</w:t>
      </w:r>
      <w:r>
        <w:rPr>
          <w:b/>
          <w:bCs/>
          <w:spacing w:val="18"/>
        </w:rPr>
        <w:t xml:space="preserve"> </w:t>
      </w:r>
      <w:r>
        <w:rPr>
          <w:b/>
          <w:bCs/>
          <w:spacing w:val="-2"/>
        </w:rPr>
        <w:t>Research</w:t>
      </w:r>
      <w:r>
        <w:rPr>
          <w:b/>
          <w:bCs/>
          <w:spacing w:val="13"/>
          <w:w w:val="101"/>
        </w:rPr>
        <w:t xml:space="preserve"> </w:t>
      </w:r>
      <w:r>
        <w:rPr>
          <w:b/>
          <w:bCs/>
          <w:spacing w:val="-2"/>
        </w:rPr>
        <w:t>Director, AI and</w:t>
      </w:r>
      <w:r>
        <w:rPr>
          <w:b/>
          <w:bCs/>
          <w:spacing w:val="18"/>
          <w:w w:val="101"/>
        </w:rPr>
        <w:t xml:space="preserve"> </w:t>
      </w:r>
      <w:r>
        <w:rPr>
          <w:b/>
          <w:bCs/>
          <w:spacing w:val="-2"/>
        </w:rPr>
        <w:t>Intelligent Automation</w:t>
      </w:r>
    </w:p>
    <w:p>
      <w:pPr>
        <w:pStyle w:val="BodyText"/>
        <w:spacing w:before="194" w:line="187" w:lineRule="auto"/>
        <w:ind w:left="546"/>
        <w:sectPr>
          <w:headerReference w:type="default" r:id="rId4"/>
          <w:pgSz w:w="19200" w:h="10800"/>
          <w:pgMar w:top="400" w:right="0" w:bottom="0" w:left="0" w:header="0" w:footer="0" w:gutter="0"/>
          <w:cols w:space="708"/>
        </w:sectPr>
      </w:pPr>
      <w:r>
        <w:rPr>
          <w:b/>
          <w:bCs/>
          <w:spacing w:val="-1"/>
        </w:rPr>
        <w:t>Lian Jye Su, Chief Analyst, Applied</w:t>
      </w:r>
      <w:r>
        <w:rPr>
          <w:b/>
          <w:bCs/>
          <w:spacing w:val="28"/>
        </w:rPr>
        <w:t xml:space="preserve"> </w:t>
      </w:r>
      <w:r>
        <w:rPr>
          <w:b/>
          <w:bCs/>
          <w:spacing w:val="-1"/>
        </w:rPr>
        <w:t>Intelligence</w:t>
      </w:r>
    </w:p>
    <w:p>
      <w:pPr>
        <w:pStyle w:val="BodyText"/>
        <w:spacing w:before="194" w:line="187" w:lineRule="auto"/>
        <w:ind w:left="532"/>
      </w:pPr>
      <w:r>
        <w:rPr>
          <w:b/>
          <w:bCs/>
          <w:spacing w:val="-1"/>
        </w:rPr>
        <w:t>Alexander</w:t>
      </w:r>
      <w:r>
        <w:rPr>
          <w:b/>
          <w:bCs/>
          <w:spacing w:val="34"/>
          <w:w w:val="101"/>
        </w:rPr>
        <w:t xml:space="preserve"> </w:t>
      </w:r>
      <w:r>
        <w:rPr>
          <w:b/>
          <w:bCs/>
          <w:spacing w:val="-1"/>
        </w:rPr>
        <w:t>Harrowell</w:t>
      </w:r>
      <w:r>
        <w:rPr>
          <w:b/>
          <w:bCs/>
          <w:spacing w:val="16"/>
        </w:rPr>
        <w:t xml:space="preserve"> </w:t>
      </w:r>
      <w:r>
        <w:rPr>
          <w:b/>
          <w:bCs/>
          <w:spacing w:val="-1"/>
        </w:rPr>
        <w:t>Principal Analyst, Advanced Computing for AI</w:t>
      </w:r>
    </w:p>
    <w:p>
      <w:pPr>
        <w:pStyle w:val="BodyText"/>
        <w:spacing w:before="194" w:line="187" w:lineRule="auto"/>
        <w:ind w:left="532"/>
      </w:pPr>
      <w:r>
        <w:rPr>
          <w:b/>
          <w:bCs/>
          <w:spacing w:val="-1"/>
        </w:rPr>
        <w:t>Andrew</w:t>
      </w:r>
      <w:r>
        <w:rPr>
          <w:b/>
          <w:bCs/>
          <w:spacing w:val="25"/>
        </w:rPr>
        <w:t xml:space="preserve"> </w:t>
      </w:r>
      <w:r>
        <w:rPr>
          <w:b/>
          <w:bCs/>
          <w:spacing w:val="-1"/>
        </w:rPr>
        <w:t>Brosnan,</w:t>
      </w:r>
      <w:r>
        <w:rPr>
          <w:b/>
          <w:bCs/>
          <w:spacing w:val="18"/>
        </w:rPr>
        <w:t xml:space="preserve"> </w:t>
      </w:r>
      <w:r>
        <w:rPr>
          <w:b/>
          <w:bCs/>
          <w:spacing w:val="-1"/>
        </w:rPr>
        <w:t>Principal Analyst, AI Applications in</w:t>
      </w:r>
      <w:r>
        <w:rPr>
          <w:b/>
          <w:bCs/>
          <w:spacing w:val="21"/>
        </w:rPr>
        <w:t xml:space="preserve"> </w:t>
      </w:r>
      <w:r>
        <w:rPr>
          <w:b/>
          <w:bCs/>
          <w:spacing w:val="-1"/>
        </w:rPr>
        <w:t>Life Sciences</w:t>
      </w:r>
    </w:p>
    <w:p>
      <w:pPr>
        <w:pStyle w:val="BodyText"/>
        <w:spacing w:before="154" w:line="186" w:lineRule="auto"/>
        <w:ind w:left="538"/>
      </w:pPr>
      <w:hyperlink r:id="rId5" w:history="1">
        <w:r>
          <w:rPr>
            <w:b/>
            <w:bCs/>
            <w:color w:val="6D2CA7"/>
            <w:spacing w:val="-1"/>
            <w:u w:val="single" w:color="auto"/>
          </w:rPr>
          <w:t>askananalyst@omdia.com</w:t>
        </w:r>
      </w:hyperlink>
    </w:p>
    <w:p>
      <w:pPr>
        <w:spacing w:line="306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pStyle w:val="BodyText"/>
        <w:spacing w:before="40" w:line="199" w:lineRule="auto"/>
        <w:ind w:left="6668"/>
        <w:rPr>
          <w:sz w:val="13"/>
          <w:szCs w:val="13"/>
        </w:rPr>
      </w:pPr>
      <w:r>
        <w:rPr>
          <w:spacing w:val="3"/>
          <w:sz w:val="13"/>
          <w:szCs w:val="13"/>
        </w:rPr>
        <w:t>Copyright</w:t>
      </w:r>
      <w:r>
        <w:rPr>
          <w:spacing w:val="22"/>
          <w:w w:val="103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>©</w:t>
      </w:r>
      <w:r>
        <w:rPr>
          <w:spacing w:val="11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>2024. All</w:t>
      </w:r>
      <w:r>
        <w:rPr>
          <w:spacing w:val="14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>rights</w:t>
      </w:r>
      <w:r>
        <w:rPr>
          <w:spacing w:val="20"/>
          <w:w w:val="101"/>
          <w:sz w:val="13"/>
          <w:szCs w:val="13"/>
        </w:rPr>
        <w:t xml:space="preserve"> </w:t>
      </w:r>
      <w:r>
        <w:rPr>
          <w:spacing w:val="3"/>
          <w:sz w:val="13"/>
          <w:szCs w:val="13"/>
        </w:rPr>
        <w:t>reser</w:t>
      </w:r>
      <w:r>
        <w:rPr>
          <w:spacing w:val="2"/>
          <w:sz w:val="13"/>
          <w:szCs w:val="13"/>
        </w:rPr>
        <w:t>ved.</w:t>
      </w:r>
      <w:r>
        <w:rPr>
          <w:spacing w:val="19"/>
          <w:w w:val="101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Informa</w:t>
      </w:r>
      <w:r>
        <w:rPr>
          <w:spacing w:val="10"/>
          <w:w w:val="102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Tech,</w:t>
      </w:r>
      <w:r>
        <w:rPr>
          <w:spacing w:val="9"/>
          <w:w w:val="101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a trading</w:t>
      </w:r>
      <w:r>
        <w:rPr>
          <w:spacing w:val="14"/>
          <w:w w:val="102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division</w:t>
      </w:r>
      <w:r>
        <w:rPr>
          <w:spacing w:val="14"/>
          <w:w w:val="101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of</w:t>
      </w:r>
      <w:r>
        <w:rPr>
          <w:spacing w:val="12"/>
          <w:w w:val="102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Informa</w:t>
      </w:r>
      <w:r>
        <w:rPr>
          <w:spacing w:val="21"/>
          <w:w w:val="101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PLC</w:t>
      </w:r>
    </w:p>
    <w:p>
      <w:pPr>
        <w:spacing w:line="199" w:lineRule="auto"/>
        <w:rPr>
          <w:sz w:val="13"/>
          <w:szCs w:val="13"/>
        </w:rPr>
        <w:sectPr>
          <w:headerReference w:type="default" r:id="rId6"/>
          <w:type w:val="nextPage"/>
          <w:pgSz w:w="19200" w:h="1080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377" w:line="151" w:lineRule="auto"/>
        <w:ind w:left="482" w:right="2882" w:firstLine="16"/>
        <w:outlineLvl w:val="0"/>
        <w:rPr>
          <w:rFonts w:ascii="Microsoft YaHei" w:eastAsia="Microsoft YaHei" w:hAnsi="Microsoft YaHei" w:cs="Microsoft YaHei"/>
          <w:sz w:val="88"/>
          <w:szCs w:val="88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"/>
          <w:sz w:val="88"/>
          <w:szCs w:val="88"/>
        </w:rPr>
        <w:t>“生成式人工智能可以带来变革，但前提</w:t>
      </w:r>
      <w:r>
        <w:rPr>
          <w:rFonts w:ascii="Microsoft YaHei" w:eastAsia="Microsoft YaHei" w:hAnsi="Microsoft YaHei" w:cs="Microsoft YaHei"/>
          <w:b/>
          <w:bCs/>
          <w:color w:val="FFFFFF"/>
          <w:spacing w:val="13"/>
          <w:sz w:val="88"/>
          <w:szCs w:val="8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88"/>
          <w:szCs w:val="88"/>
        </w:rPr>
        <w:t>是必须建立在坚实的数据基础之上，谨慎</w:t>
      </w:r>
      <w:r>
        <w:rPr>
          <w:rFonts w:ascii="Microsoft YaHei" w:eastAsia="Microsoft YaHei" w:hAnsi="Microsoft YaHei" w:cs="Microsoft YaHei"/>
          <w:b/>
          <w:bCs/>
          <w:color w:val="FFFFFF"/>
          <w:spacing w:val="11"/>
          <w:sz w:val="88"/>
          <w:szCs w:val="8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88"/>
          <w:szCs w:val="88"/>
        </w:rPr>
        <w:t>执行，并提供真正有价值的应用。不要把</w:t>
      </w:r>
      <w:r>
        <w:rPr>
          <w:rFonts w:ascii="Microsoft YaHei" w:eastAsia="Microsoft YaHei" w:hAnsi="Microsoft YaHei" w:cs="Microsoft YaHei"/>
          <w:b/>
          <w:bCs/>
          <w:color w:val="FFFFFF"/>
          <w:spacing w:val="11"/>
          <w:sz w:val="88"/>
          <w:szCs w:val="8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1"/>
          <w:sz w:val="88"/>
          <w:szCs w:val="88"/>
        </w:rPr>
        <w:t>生成式人工智能当成速效救心丸，也不要</w:t>
      </w:r>
      <w:r>
        <w:rPr>
          <w:rFonts w:ascii="Microsoft YaHei" w:eastAsia="Microsoft YaHei" w:hAnsi="Microsoft YaHei" w:cs="Microsoft YaHei"/>
          <w:b/>
          <w:bCs/>
          <w:color w:val="FFFFFF"/>
          <w:spacing w:val="11"/>
          <w:sz w:val="88"/>
          <w:szCs w:val="8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27"/>
          <w:sz w:val="88"/>
          <w:szCs w:val="88"/>
        </w:rPr>
        <w:t>指望它能把一件坏事变成好事。</w:t>
      </w:r>
      <w:r>
        <w:rPr>
          <w:rFonts w:ascii="Microsoft YaHei" w:eastAsia="Microsoft YaHei" w:hAnsi="Microsoft YaHei" w:cs="Microsoft YaHei"/>
          <w:b/>
          <w:bCs/>
          <w:color w:val="FFFFFF"/>
          <w:spacing w:val="216"/>
          <w:sz w:val="88"/>
          <w:szCs w:val="88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27"/>
          <w:sz w:val="88"/>
          <w:szCs w:val="88"/>
        </w:rPr>
        <w:t>"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168" w:line="189" w:lineRule="auto"/>
        <w:ind w:left="576"/>
        <w:rPr>
          <w:sz w:val="55"/>
          <w:szCs w:val="55"/>
        </w:rPr>
        <w:sectPr>
          <w:headerReference w:type="default" r:id="rId7"/>
          <w:footerReference w:type="default" r:id="rId8"/>
          <w:pgSz w:w="19200" w:h="10800"/>
          <w:pgMar w:top="400" w:right="0" w:bottom="1221" w:left="0" w:header="0" w:footer="556" w:gutter="0"/>
          <w:pgNumType w:start="3"/>
          <w:cols w:space="708"/>
        </w:sectPr>
      </w:pPr>
      <w:r>
        <w:rPr>
          <w:color w:val="FFFFFF"/>
          <w:spacing w:val="-5"/>
          <w:sz w:val="55"/>
          <w:szCs w:val="55"/>
        </w:rPr>
        <w:t>Eden</w:t>
      </w:r>
      <w:r>
        <w:rPr>
          <w:color w:val="FFFFFF"/>
          <w:spacing w:val="29"/>
          <w:sz w:val="55"/>
          <w:szCs w:val="55"/>
        </w:rPr>
        <w:t xml:space="preserve"> </w:t>
      </w:r>
      <w:r>
        <w:rPr>
          <w:color w:val="FFFFFF"/>
          <w:spacing w:val="-5"/>
          <w:sz w:val="55"/>
          <w:szCs w:val="55"/>
        </w:rPr>
        <w:t>Zoller</w:t>
      </w:r>
    </w:p>
    <w:p>
      <w:pPr>
        <w:spacing w:before="27" w:line="186" w:lineRule="auto"/>
        <w:ind w:left="538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FFFFFF"/>
          <w:spacing w:val="8"/>
          <w:sz w:val="55"/>
          <w:szCs w:val="55"/>
        </w:rPr>
        <w:t>人工智能首席分析师</w:t>
      </w:r>
    </w:p>
    <w:p>
      <w:pPr>
        <w:spacing w:line="186" w:lineRule="auto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sz w:val="55"/>
          <w:szCs w:val="55"/>
        </w:rPr>
        <w:br/>
      </w:r>
      <w:r>
        <w:rPr>
          <w:rFonts w:ascii="Microsoft YaHei" w:eastAsia="Microsoft YaHei" w:hAnsi="Microsoft YaHei" w:cs="Microsoft YaHei"/>
          <w:sz w:val="55"/>
          <w:szCs w:val="5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https://d.book118.com/806223200213010052</w:t>
        </w:r>
      </w:hyperlink>
    </w:p>
    <w:p>
      <w:pPr>
        <w:spacing w:line="186" w:lineRule="auto"/>
        <w:rPr>
          <w:rFonts w:ascii="Microsoft YaHei" w:eastAsia="Microsoft YaHei" w:hAnsi="Microsoft YaHei" w:cs="Microsoft YaHei"/>
          <w:sz w:val="55"/>
          <w:szCs w:val="55"/>
        </w:rPr>
      </w:pPr>
    </w:p>
    <w:sectPr>
      <w:headerReference w:type="default" r:id="rId10"/>
      <w:footerReference w:type="default" r:id="rId11"/>
      <w:type w:val="nextPage"/>
      <w:pgSz w:w="19200" w:h="10800"/>
      <w:pgMar w:top="400" w:right="0" w:bottom="1221" w:left="0" w:header="0" w:footer="556" w:gutter="0"/>
      <w:pgNumType w:start="4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rPr>
        <w:rFonts w:ascii="Arial"/>
        <w:sz w:val="21"/>
      </w:rPr>
    </w:pPr>
    <w:r>
      <w:pict>
        <v:rect id="_x0000_s2050" style="width:904.5pt;height:1pt;margin-top:478.9pt;margin-left:27.36pt;mso-position-horizontal-relative:page;mso-position-vertical-relative:page;position:absolute;z-index:251659264" o:allowincell="f" filled="t" fillcolor="white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10678160</wp:posOffset>
          </wp:positionH>
          <wp:positionV relativeFrom="page">
            <wp:posOffset>6253602</wp:posOffset>
          </wp:positionV>
          <wp:extent cx="1155369" cy="244488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55369" cy="24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41" w:lineRule="auto"/>
      <w:rPr>
        <w:rFonts w:ascii="Arial"/>
        <w:sz w:val="21"/>
      </w:rPr>
    </w:pPr>
  </w:p>
  <w:p>
    <w:pPr>
      <w:pStyle w:val="BodyText"/>
      <w:spacing w:before="40" w:line="199" w:lineRule="auto"/>
      <w:ind w:left="6668"/>
      <w:rPr>
        <w:sz w:val="13"/>
        <w:szCs w:val="13"/>
      </w:rPr>
    </w:pPr>
    <w:r>
      <w:rPr>
        <w:color w:val="FFFFFF"/>
        <w:spacing w:val="3"/>
        <w:sz w:val="13"/>
        <w:szCs w:val="13"/>
      </w:rPr>
      <w:t>Copyright</w:t>
    </w:r>
    <w:r>
      <w:rPr>
        <w:color w:val="FFFFFF"/>
        <w:spacing w:val="22"/>
        <w:w w:val="103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©</w:t>
    </w:r>
    <w:r>
      <w:rPr>
        <w:color w:val="FFFFFF"/>
        <w:spacing w:val="11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2024. All</w:t>
    </w:r>
    <w:r>
      <w:rPr>
        <w:color w:val="FFFFFF"/>
        <w:spacing w:val="14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rights</w:t>
    </w:r>
    <w:r>
      <w:rPr>
        <w:color w:val="FFFFFF"/>
        <w:spacing w:val="20"/>
        <w:w w:val="101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reser</w:t>
    </w:r>
    <w:r>
      <w:rPr>
        <w:color w:val="FFFFFF"/>
        <w:spacing w:val="2"/>
        <w:sz w:val="13"/>
        <w:szCs w:val="13"/>
      </w:rPr>
      <w:t>ved.</w:t>
    </w:r>
    <w:r>
      <w:rPr>
        <w:color w:val="FFFFFF"/>
        <w:spacing w:val="19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Informa</w:t>
    </w:r>
    <w:r>
      <w:rPr>
        <w:color w:val="FFFFFF"/>
        <w:spacing w:val="10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Tech,</w:t>
    </w:r>
    <w:r>
      <w:rPr>
        <w:color w:val="FFFFFF"/>
        <w:spacing w:val="9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a trading</w:t>
    </w:r>
    <w:r>
      <w:rPr>
        <w:color w:val="FFFFFF"/>
        <w:spacing w:val="14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division</w:t>
    </w:r>
    <w:r>
      <w:rPr>
        <w:color w:val="FFFFFF"/>
        <w:spacing w:val="14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of</w:t>
    </w:r>
    <w:r>
      <w:rPr>
        <w:color w:val="FFFFFF"/>
        <w:spacing w:val="12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Informa</w:t>
    </w:r>
    <w:r>
      <w:rPr>
        <w:color w:val="FFFFFF"/>
        <w:spacing w:val="21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PLC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rPr>
        <w:rFonts w:ascii="Arial"/>
        <w:sz w:val="21"/>
      </w:rPr>
    </w:pPr>
    <w:r>
      <w:pict>
        <v:rect id="_x0000_s2052" style="width:904.5pt;height:1pt;margin-top:478.9pt;margin-left:27.36pt;mso-position-horizontal-relative:page;mso-position-vertical-relative:page;position:absolute;z-index:251661312" o:allowincell="f" filled="t" fillcolor="white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10678160</wp:posOffset>
          </wp:positionH>
          <wp:positionV relativeFrom="page">
            <wp:posOffset>6253602</wp:posOffset>
          </wp:positionV>
          <wp:extent cx="1155369" cy="244488"/>
          <wp:effectExtent l="0" t="0" r="0" b="0"/>
          <wp:wrapNone/>
          <wp:docPr id="537464955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7464955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55369" cy="2444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41" w:lineRule="auto"/>
      <w:rPr>
        <w:rFonts w:ascii="Arial"/>
        <w:sz w:val="21"/>
      </w:rPr>
    </w:pPr>
  </w:p>
  <w:p>
    <w:pPr>
      <w:pStyle w:val="BodyText"/>
      <w:spacing w:before="40" w:line="199" w:lineRule="auto"/>
      <w:ind w:left="6668"/>
      <w:rPr>
        <w:sz w:val="13"/>
        <w:szCs w:val="13"/>
      </w:rPr>
    </w:pPr>
    <w:r>
      <w:rPr>
        <w:color w:val="FFFFFF"/>
        <w:spacing w:val="3"/>
        <w:sz w:val="13"/>
        <w:szCs w:val="13"/>
      </w:rPr>
      <w:t>Copyright</w:t>
    </w:r>
    <w:r>
      <w:rPr>
        <w:color w:val="FFFFFF"/>
        <w:spacing w:val="22"/>
        <w:w w:val="103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©</w:t>
    </w:r>
    <w:r>
      <w:rPr>
        <w:color w:val="FFFFFF"/>
        <w:spacing w:val="11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2024. All</w:t>
    </w:r>
    <w:r>
      <w:rPr>
        <w:color w:val="FFFFFF"/>
        <w:spacing w:val="14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rights</w:t>
    </w:r>
    <w:r>
      <w:rPr>
        <w:color w:val="FFFFFF"/>
        <w:spacing w:val="20"/>
        <w:w w:val="101"/>
        <w:sz w:val="13"/>
        <w:szCs w:val="13"/>
      </w:rPr>
      <w:t xml:space="preserve"> </w:t>
    </w:r>
    <w:r>
      <w:rPr>
        <w:color w:val="FFFFFF"/>
        <w:spacing w:val="3"/>
        <w:sz w:val="13"/>
        <w:szCs w:val="13"/>
      </w:rPr>
      <w:t>reser</w:t>
    </w:r>
    <w:r>
      <w:rPr>
        <w:color w:val="FFFFFF"/>
        <w:spacing w:val="2"/>
        <w:sz w:val="13"/>
        <w:szCs w:val="13"/>
      </w:rPr>
      <w:t>ved.</w:t>
    </w:r>
    <w:r>
      <w:rPr>
        <w:color w:val="FFFFFF"/>
        <w:spacing w:val="19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Informa</w:t>
    </w:r>
    <w:r>
      <w:rPr>
        <w:color w:val="FFFFFF"/>
        <w:spacing w:val="10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Tech,</w:t>
    </w:r>
    <w:r>
      <w:rPr>
        <w:color w:val="FFFFFF"/>
        <w:spacing w:val="9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a trading</w:t>
    </w:r>
    <w:r>
      <w:rPr>
        <w:color w:val="FFFFFF"/>
        <w:spacing w:val="14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division</w:t>
    </w:r>
    <w:r>
      <w:rPr>
        <w:color w:val="FFFFFF"/>
        <w:spacing w:val="14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of</w:t>
    </w:r>
    <w:r>
      <w:rPr>
        <w:color w:val="FFFFFF"/>
        <w:spacing w:val="12"/>
        <w:w w:val="102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Informa</w:t>
    </w:r>
    <w:r>
      <w:rPr>
        <w:color w:val="FFFFFF"/>
        <w:spacing w:val="21"/>
        <w:w w:val="101"/>
        <w:sz w:val="13"/>
        <w:szCs w:val="13"/>
      </w:rPr>
      <w:t xml:space="preserve"> </w:t>
    </w:r>
    <w:r>
      <w:rPr>
        <w:color w:val="FFFFFF"/>
        <w:spacing w:val="2"/>
        <w:sz w:val="13"/>
        <w:szCs w:val="13"/>
      </w:rPr>
      <w:t>PLC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9"/>
          <wp:effectExtent l="0" t="0" r="0" b="0"/>
          <wp:wrapNone/>
          <wp:docPr id="47849534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849534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6131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4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6D2CA7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6192" o:allowincell="f" fillcolor="#6d2ca7" stroked="f"/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mc:AlternateContent>
        <mc:Choice Requires="wps">
          <w:drawing>
            <wp:anchor distT="0" distB="0" distL="0" distR="0" simplePos="0" relativeHeight="251663360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799794533" name="Rect 4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6D2CA7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4" o:spid="_x0000_s2051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4144" o:allowincell="f" fillcolor="#6d2ca7" stroked="f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Calibri" w:eastAsia="Calibri" w:hAnsi="Calibri" w:cs="Calibri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2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mailto:askananalyst@omdia.com" TargetMode="Externa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hyperlink" Target="https://d.book118.com/806223200213010052" TargetMode="Externa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2024-02-27T18:51:04Z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2024-02-27T18:54:15Z</vt:filetime>
  </property>
  <property fmtid="{D5CDD505-2E9C-101B-9397-08002B2CF9AE}" pid="3" name="CRO">
    <vt:lpwstr>wqlLaW5nc29mdCBQREYgdG8gV1BTIDkw</vt:lpwstr>
  </property>
</Properties>
</file>