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27D9">
      <w:pPr>
        <w:widowControl/>
        <w:jc w:val="left"/>
        <w:rPr>
          <w:rFonts w:ascii="仿宋" w:eastAsia="仿宋" w:hAnsi="仿宋"/>
          <w:b/>
          <w:sz w:val="40"/>
        </w:rPr>
      </w:pPr>
      <w:bookmarkStart w:id="0" w:name="_GoBack"/>
      <w:bookmarkEnd w:id="0"/>
    </w:p>
    <w:p w:rsidR="00B027D9">
      <w:pPr>
        <w:widowControl/>
        <w:jc w:val="left"/>
        <w:rPr>
          <w:rFonts w:ascii="仿宋" w:eastAsia="仿宋" w:hAnsi="仿宋"/>
          <w:b/>
          <w:sz w:val="40"/>
        </w:rPr>
      </w:pPr>
    </w:p>
    <w:p w:rsidR="00B027D9">
      <w:pPr>
        <w:widowControl/>
        <w:jc w:val="left"/>
        <w:rPr>
          <w:rFonts w:ascii="仿宋" w:eastAsia="仿宋" w:hAnsi="仿宋"/>
          <w:b/>
          <w:sz w:val="40"/>
        </w:rPr>
      </w:pPr>
    </w:p>
    <w:p w:rsidR="00B027D9" w:rsidRPr="00B027D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27D9">
        <w:rPr>
          <w:rFonts w:ascii="宋体" w:eastAsia="宋体" w:hAnsi="宋体" w:hint="eastAsia"/>
          <w:b/>
          <w:sz w:val="60"/>
        </w:rPr>
        <w:t>内胎风险评估与管理报告</w:t>
      </w:r>
    </w:p>
    <w:p w:rsidR="00B027D9" w:rsidP="00B027D9">
      <w:pPr>
        <w:widowControl/>
        <w:jc w:val="center"/>
        <w:rPr>
          <w:rFonts w:ascii="仿宋" w:eastAsia="仿宋" w:hAnsi="仿宋" w:hint="eastAsia"/>
          <w:b/>
          <w:sz w:val="40"/>
        </w:rPr>
      </w:pPr>
      <w:r w:rsidRPr="00B027D9">
        <w:rPr>
          <w:rFonts w:ascii="仿宋" w:eastAsia="仿宋" w:hAnsi="仿宋" w:hint="eastAsia"/>
          <w:b/>
          <w:sz w:val="40"/>
        </w:rPr>
        <w:t>目录</w:t>
      </w:r>
    </w:p>
    <w:p w:rsidR="00B027D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_Toc157787017 \h </w:instrText>
      </w:r>
      <w:r>
        <w:rPr>
          <w:noProof/>
        </w:rPr>
        <w:fldChar w:fldCharType="separate"/>
      </w:r>
      <w:r>
        <w:rPr>
          <w:noProof/>
        </w:rPr>
        <w:t>3</w:t>
      </w:r>
      <w:r>
        <w:rPr>
          <w:noProof/>
        </w:rPr>
        <w:fldChar w:fldCharType="end"/>
      </w:r>
    </w:p>
    <w:p w:rsidR="00B027D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_Toc157787018 \h </w:instrText>
      </w:r>
      <w:r>
        <w:rPr>
          <w:noProof/>
        </w:rPr>
        <w:fldChar w:fldCharType="separate"/>
      </w:r>
      <w:r>
        <w:rPr>
          <w:noProof/>
        </w:rPr>
        <w:t>3</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_Toc157787019 \h </w:instrText>
      </w:r>
      <w:r>
        <w:rPr>
          <w:noProof/>
        </w:rPr>
        <w:fldChar w:fldCharType="separate"/>
      </w:r>
      <w:r>
        <w:rPr>
          <w:noProof/>
        </w:rPr>
        <w:t>3</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_Toc157787020 \h </w:instrText>
      </w:r>
      <w:r>
        <w:rPr>
          <w:noProof/>
        </w:rPr>
        <w:fldChar w:fldCharType="separate"/>
      </w:r>
      <w:r>
        <w:rPr>
          <w:noProof/>
        </w:rPr>
        <w:t>5</w:t>
      </w:r>
      <w:r>
        <w:rPr>
          <w:noProof/>
        </w:rPr>
        <w:fldChar w:fldCharType="end"/>
      </w:r>
    </w:p>
    <w:p w:rsidR="00B027D9">
      <w:pPr>
        <w:pStyle w:val="TOC1"/>
        <w:tabs>
          <w:tab w:val="right" w:leader="dot" w:pos="8296"/>
        </w:tabs>
        <w:rPr>
          <w:noProof/>
        </w:rPr>
      </w:pPr>
      <w:r>
        <w:rPr>
          <w:rFonts w:hint="eastAsia"/>
          <w:noProof/>
        </w:rPr>
        <w:t>二、内胎项目建筑工程方案</w:t>
      </w:r>
      <w:r>
        <w:rPr>
          <w:noProof/>
        </w:rPr>
        <w:tab/>
      </w:r>
      <w:r>
        <w:rPr>
          <w:noProof/>
        </w:rPr>
        <w:fldChar w:fldCharType="begin"/>
      </w:r>
      <w:r>
        <w:rPr>
          <w:noProof/>
        </w:rPr>
        <w:instrText xml:space="preserve"> PAGEREF _Toc157787021 \h </w:instrText>
      </w:r>
      <w:r>
        <w:rPr>
          <w:noProof/>
        </w:rPr>
        <w:fldChar w:fldCharType="separate"/>
      </w:r>
      <w:r>
        <w:rPr>
          <w:noProof/>
        </w:rPr>
        <w:t>8</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_Toc157787022 \h </w:instrText>
      </w:r>
      <w:r>
        <w:rPr>
          <w:noProof/>
        </w:rPr>
        <w:fldChar w:fldCharType="separate"/>
      </w:r>
      <w:r>
        <w:rPr>
          <w:noProof/>
        </w:rPr>
        <w:t>8</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_Toc157787023 \h </w:instrText>
      </w:r>
      <w:r>
        <w:rPr>
          <w:noProof/>
        </w:rPr>
        <w:fldChar w:fldCharType="separate"/>
      </w:r>
      <w:r>
        <w:rPr>
          <w:noProof/>
        </w:rPr>
        <w:t>9</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_Toc157787024 \h </w:instrText>
      </w:r>
      <w:r>
        <w:rPr>
          <w:noProof/>
        </w:rPr>
        <w:fldChar w:fldCharType="separate"/>
      </w:r>
      <w:r>
        <w:rPr>
          <w:noProof/>
        </w:rPr>
        <w:t>11</w:t>
      </w:r>
      <w:r>
        <w:rPr>
          <w:noProof/>
        </w:rPr>
        <w:fldChar w:fldCharType="end"/>
      </w:r>
    </w:p>
    <w:p w:rsidR="00B027D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_Toc157787025 \h </w:instrText>
      </w:r>
      <w:r>
        <w:rPr>
          <w:noProof/>
        </w:rPr>
        <w:fldChar w:fldCharType="separate"/>
      </w:r>
      <w:r>
        <w:rPr>
          <w:noProof/>
        </w:rPr>
        <w:t>13</w:t>
      </w:r>
      <w:r>
        <w:rPr>
          <w:noProof/>
        </w:rPr>
        <w:fldChar w:fldCharType="end"/>
      </w:r>
    </w:p>
    <w:p w:rsidR="00B027D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_Toc157787026 \h </w:instrText>
      </w:r>
      <w:r>
        <w:rPr>
          <w:noProof/>
        </w:rPr>
        <w:fldChar w:fldCharType="separate"/>
      </w:r>
      <w:r>
        <w:rPr>
          <w:noProof/>
        </w:rPr>
        <w:t>14</w:t>
      </w:r>
      <w:r>
        <w:rPr>
          <w:noProof/>
        </w:rPr>
        <w:fldChar w:fldCharType="end"/>
      </w:r>
    </w:p>
    <w:p w:rsidR="00B027D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_Toc157787027 \h </w:instrText>
      </w:r>
      <w:r>
        <w:rPr>
          <w:noProof/>
        </w:rPr>
        <w:fldChar w:fldCharType="separate"/>
      </w:r>
      <w:r>
        <w:rPr>
          <w:noProof/>
        </w:rPr>
        <w:t>15</w:t>
      </w:r>
      <w:r>
        <w:rPr>
          <w:noProof/>
        </w:rPr>
        <w:fldChar w:fldCharType="end"/>
      </w:r>
    </w:p>
    <w:p w:rsidR="00B027D9">
      <w:pPr>
        <w:pStyle w:val="TOC1"/>
        <w:tabs>
          <w:tab w:val="right" w:leader="dot" w:pos="8296"/>
        </w:tabs>
        <w:rPr>
          <w:noProof/>
        </w:rPr>
      </w:pPr>
      <w:r>
        <w:rPr>
          <w:rFonts w:hint="eastAsia"/>
          <w:noProof/>
        </w:rPr>
        <w:t>三、内胎项目风险管理方案</w:t>
      </w:r>
      <w:r>
        <w:rPr>
          <w:noProof/>
        </w:rPr>
        <w:tab/>
      </w:r>
      <w:r>
        <w:rPr>
          <w:noProof/>
        </w:rPr>
        <w:fldChar w:fldCharType="begin"/>
      </w:r>
      <w:r>
        <w:rPr>
          <w:noProof/>
        </w:rPr>
        <w:instrText xml:space="preserve"> PAGEREF _Toc157787028 \h </w:instrText>
      </w:r>
      <w:r>
        <w:rPr>
          <w:noProof/>
        </w:rPr>
        <w:fldChar w:fldCharType="separate"/>
      </w:r>
      <w:r>
        <w:rPr>
          <w:noProof/>
        </w:rPr>
        <w:t>18</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_Toc157787029 \h </w:instrText>
      </w:r>
      <w:r>
        <w:rPr>
          <w:noProof/>
        </w:rPr>
        <w:fldChar w:fldCharType="separate"/>
      </w:r>
      <w:r>
        <w:rPr>
          <w:noProof/>
        </w:rPr>
        <w:t>18</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_Toc157787030 \h </w:instrText>
      </w:r>
      <w:r>
        <w:rPr>
          <w:noProof/>
        </w:rPr>
        <w:fldChar w:fldCharType="separate"/>
      </w:r>
      <w:r>
        <w:rPr>
          <w:noProof/>
        </w:rPr>
        <w:t>19</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_Toc157787031 \h </w:instrText>
      </w:r>
      <w:r>
        <w:rPr>
          <w:noProof/>
        </w:rPr>
        <w:fldChar w:fldCharType="separate"/>
      </w:r>
      <w:r>
        <w:rPr>
          <w:noProof/>
        </w:rPr>
        <w:t>22</w:t>
      </w:r>
      <w:r>
        <w:rPr>
          <w:noProof/>
        </w:rPr>
        <w:fldChar w:fldCharType="end"/>
      </w:r>
    </w:p>
    <w:p w:rsidR="00B027D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_Toc157787032 \h </w:instrText>
      </w:r>
      <w:r>
        <w:rPr>
          <w:noProof/>
        </w:rPr>
        <w:fldChar w:fldCharType="separate"/>
      </w:r>
      <w:r>
        <w:rPr>
          <w:noProof/>
        </w:rPr>
        <w:t>23</w:t>
      </w:r>
      <w:r>
        <w:rPr>
          <w:noProof/>
        </w:rPr>
        <w:fldChar w:fldCharType="end"/>
      </w:r>
    </w:p>
    <w:p w:rsidR="00B027D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_Toc157787033 \h </w:instrText>
      </w:r>
      <w:r>
        <w:rPr>
          <w:noProof/>
        </w:rPr>
        <w:fldChar w:fldCharType="separate"/>
      </w:r>
      <w:r>
        <w:rPr>
          <w:noProof/>
        </w:rPr>
        <w:t>25</w:t>
      </w:r>
      <w:r>
        <w:rPr>
          <w:noProof/>
        </w:rPr>
        <w:fldChar w:fldCharType="end"/>
      </w:r>
    </w:p>
    <w:p w:rsidR="00B027D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_Toc157787034 \h </w:instrText>
      </w:r>
      <w:r>
        <w:rPr>
          <w:noProof/>
        </w:rPr>
        <w:fldChar w:fldCharType="separate"/>
      </w:r>
      <w:r>
        <w:rPr>
          <w:noProof/>
        </w:rPr>
        <w:t>28</w:t>
      </w:r>
      <w:r>
        <w:rPr>
          <w:noProof/>
        </w:rPr>
        <w:fldChar w:fldCharType="end"/>
      </w:r>
    </w:p>
    <w:p w:rsidR="00B027D9">
      <w:pPr>
        <w:pStyle w:val="TOC1"/>
        <w:tabs>
          <w:tab w:val="right" w:leader="dot" w:pos="8296"/>
        </w:tabs>
        <w:rPr>
          <w:noProof/>
        </w:rPr>
      </w:pPr>
      <w:r>
        <w:rPr>
          <w:rFonts w:hint="eastAsia"/>
          <w:noProof/>
        </w:rPr>
        <w:t>四、内胎项目质量管理方案</w:t>
      </w:r>
      <w:r>
        <w:rPr>
          <w:noProof/>
        </w:rPr>
        <w:tab/>
      </w:r>
      <w:r>
        <w:rPr>
          <w:noProof/>
        </w:rPr>
        <w:fldChar w:fldCharType="begin"/>
      </w:r>
      <w:r>
        <w:rPr>
          <w:noProof/>
        </w:rPr>
        <w:instrText xml:space="preserve"> PAGEREF _Toc157787035 \h </w:instrText>
      </w:r>
      <w:r>
        <w:rPr>
          <w:noProof/>
        </w:rPr>
        <w:fldChar w:fldCharType="separate"/>
      </w:r>
      <w:r>
        <w:rPr>
          <w:noProof/>
        </w:rPr>
        <w:t>30</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_Toc157787036 \h </w:instrText>
      </w:r>
      <w:r>
        <w:rPr>
          <w:noProof/>
        </w:rPr>
        <w:fldChar w:fldCharType="separate"/>
      </w:r>
      <w:r>
        <w:rPr>
          <w:noProof/>
        </w:rPr>
        <w:t>30</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_Toc157787037 \h </w:instrText>
      </w:r>
      <w:r>
        <w:rPr>
          <w:noProof/>
        </w:rPr>
        <w:fldChar w:fldCharType="separate"/>
      </w:r>
      <w:r>
        <w:rPr>
          <w:noProof/>
        </w:rPr>
        <w:t>34</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_Toc157787038 \h </w:instrText>
      </w:r>
      <w:r>
        <w:rPr>
          <w:noProof/>
        </w:rPr>
        <w:fldChar w:fldCharType="separate"/>
      </w:r>
      <w:r>
        <w:rPr>
          <w:noProof/>
        </w:rPr>
        <w:t>36</w:t>
      </w:r>
      <w:r>
        <w:rPr>
          <w:noProof/>
        </w:rPr>
        <w:fldChar w:fldCharType="end"/>
      </w:r>
    </w:p>
    <w:p w:rsidR="00B027D9">
      <w:pPr>
        <w:pStyle w:val="TOC1"/>
        <w:tabs>
          <w:tab w:val="right" w:leader="dot" w:pos="8296"/>
        </w:tabs>
        <w:rPr>
          <w:noProof/>
        </w:rPr>
      </w:pPr>
      <w:r>
        <w:rPr>
          <w:rFonts w:hint="eastAsia"/>
          <w:noProof/>
        </w:rPr>
        <w:t>五、内胎项目经济评价分析</w:t>
      </w:r>
      <w:r>
        <w:rPr>
          <w:noProof/>
        </w:rPr>
        <w:tab/>
      </w:r>
      <w:r>
        <w:rPr>
          <w:noProof/>
        </w:rPr>
        <w:fldChar w:fldCharType="begin"/>
      </w:r>
      <w:r>
        <w:rPr>
          <w:noProof/>
        </w:rPr>
        <w:instrText xml:space="preserve"> PAGEREF _Toc157787039 \h </w:instrText>
      </w:r>
      <w:r>
        <w:rPr>
          <w:noProof/>
        </w:rPr>
        <w:fldChar w:fldCharType="separate"/>
      </w:r>
      <w:r>
        <w:rPr>
          <w:noProof/>
        </w:rPr>
        <w:t>38</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_Toc157787040 \h </w:instrText>
      </w:r>
      <w:r>
        <w:rPr>
          <w:noProof/>
        </w:rPr>
        <w:fldChar w:fldCharType="separate"/>
      </w:r>
      <w:r>
        <w:rPr>
          <w:noProof/>
        </w:rPr>
        <w:t>38</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、内胎项目盈利能力分析</w:t>
      </w:r>
      <w:r>
        <w:rPr>
          <w:noProof/>
        </w:rPr>
        <w:tab/>
      </w:r>
      <w:r>
        <w:rPr>
          <w:noProof/>
        </w:rPr>
        <w:fldChar w:fldCharType="begin"/>
      </w:r>
      <w:r>
        <w:rPr>
          <w:noProof/>
        </w:rPr>
        <w:instrText xml:space="preserve"> PAGEREF _Toc157787041 \h </w:instrText>
      </w:r>
      <w:r>
        <w:rPr>
          <w:noProof/>
        </w:rPr>
        <w:fldChar w:fldCharType="separate"/>
      </w:r>
      <w:r>
        <w:rPr>
          <w:noProof/>
        </w:rPr>
        <w:t>39</w:t>
      </w:r>
      <w:r>
        <w:rPr>
          <w:noProof/>
        </w:rPr>
        <w:fldChar w:fldCharType="end"/>
      </w:r>
    </w:p>
    <w:p w:rsidR="00B027D9">
      <w:pPr>
        <w:pStyle w:val="TOC1"/>
        <w:tabs>
          <w:tab w:val="right" w:leader="dot" w:pos="8296"/>
        </w:tabs>
        <w:rPr>
          <w:noProof/>
        </w:rPr>
      </w:pPr>
      <w:r>
        <w:rPr>
          <w:rFonts w:hint="eastAsia"/>
          <w:noProof/>
        </w:rPr>
        <w:t>六、内胎项目概要与评估</w:t>
      </w:r>
      <w:r>
        <w:rPr>
          <w:noProof/>
        </w:rPr>
        <w:tab/>
      </w:r>
      <w:r>
        <w:rPr>
          <w:noProof/>
        </w:rPr>
        <w:fldChar w:fldCharType="begin"/>
      </w:r>
      <w:r>
        <w:rPr>
          <w:noProof/>
        </w:rPr>
        <w:instrText xml:space="preserve"> PAGEREF _Toc157787042 \h </w:instrText>
      </w:r>
      <w:r>
        <w:rPr>
          <w:noProof/>
        </w:rPr>
        <w:fldChar w:fldCharType="separate"/>
      </w:r>
      <w:r>
        <w:rPr>
          <w:noProof/>
        </w:rPr>
        <w:t>40</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、内胎项目主办方综述</w:t>
      </w:r>
      <w:r>
        <w:rPr>
          <w:noProof/>
        </w:rPr>
        <w:tab/>
      </w:r>
      <w:r>
        <w:rPr>
          <w:noProof/>
        </w:rPr>
        <w:fldChar w:fldCharType="begin"/>
      </w:r>
      <w:r>
        <w:rPr>
          <w:noProof/>
        </w:rPr>
        <w:instrText xml:space="preserve"> PAGEREF _Toc157787043 \h </w:instrText>
      </w:r>
      <w:r>
        <w:rPr>
          <w:noProof/>
        </w:rPr>
        <w:fldChar w:fldCharType="separate"/>
      </w:r>
      <w:r>
        <w:rPr>
          <w:noProof/>
        </w:rPr>
        <w:t>40</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、内胎项目整体情况概述</w:t>
      </w:r>
      <w:r>
        <w:rPr>
          <w:noProof/>
        </w:rPr>
        <w:tab/>
      </w:r>
      <w:r>
        <w:rPr>
          <w:noProof/>
        </w:rPr>
        <w:fldChar w:fldCharType="begin"/>
      </w:r>
      <w:r>
        <w:rPr>
          <w:noProof/>
        </w:rPr>
        <w:instrText xml:space="preserve"> PAGEREF _Toc157787044 \h </w:instrText>
      </w:r>
      <w:r>
        <w:rPr>
          <w:noProof/>
        </w:rPr>
        <w:fldChar w:fldCharType="separate"/>
      </w:r>
      <w:r>
        <w:rPr>
          <w:noProof/>
        </w:rPr>
        <w:t>42</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、内胎项目评估及展望</w:t>
      </w:r>
      <w:r>
        <w:rPr>
          <w:noProof/>
        </w:rPr>
        <w:tab/>
      </w:r>
      <w:r>
        <w:rPr>
          <w:noProof/>
        </w:rPr>
        <w:fldChar w:fldCharType="begin"/>
      </w:r>
      <w:r>
        <w:rPr>
          <w:noProof/>
        </w:rPr>
        <w:instrText xml:space="preserve"> PAGEREF _Toc157787045 \h </w:instrText>
      </w:r>
      <w:r>
        <w:rPr>
          <w:noProof/>
        </w:rPr>
        <w:fldChar w:fldCharType="separate"/>
      </w:r>
      <w:r>
        <w:rPr>
          <w:noProof/>
        </w:rPr>
        <w:t>45</w:t>
      </w:r>
      <w:r>
        <w:rPr>
          <w:noProof/>
        </w:rPr>
        <w:fldChar w:fldCharType="end"/>
      </w:r>
    </w:p>
    <w:p w:rsidR="00B027D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_Toc157787046 \h </w:instrText>
      </w:r>
      <w:r>
        <w:rPr>
          <w:noProof/>
        </w:rPr>
        <w:fldChar w:fldCharType="separate"/>
      </w:r>
      <w:r>
        <w:rPr>
          <w:noProof/>
        </w:rPr>
        <w:t>47</w:t>
      </w:r>
      <w:r>
        <w:rPr>
          <w:noProof/>
        </w:rPr>
        <w:fldChar w:fldCharType="end"/>
      </w:r>
    </w:p>
    <w:p w:rsidR="00B027D9">
      <w:pPr>
        <w:pStyle w:val="TOC1"/>
        <w:tabs>
          <w:tab w:val="right" w:leader="dot" w:pos="8296"/>
        </w:tabs>
        <w:rPr>
          <w:noProof/>
        </w:rPr>
      </w:pPr>
      <w:r>
        <w:rPr>
          <w:rFonts w:hint="eastAsia"/>
          <w:noProof/>
        </w:rPr>
        <w:t>七、内胎项目市场营销方案</w:t>
      </w:r>
      <w:r>
        <w:rPr>
          <w:noProof/>
        </w:rPr>
        <w:tab/>
      </w:r>
      <w:r>
        <w:rPr>
          <w:noProof/>
        </w:rPr>
        <w:fldChar w:fldCharType="begin"/>
      </w:r>
      <w:r>
        <w:rPr>
          <w:noProof/>
        </w:rPr>
        <w:instrText xml:space="preserve"> PAGEREF _Toc157787047 \h </w:instrText>
      </w:r>
      <w:r>
        <w:rPr>
          <w:noProof/>
        </w:rPr>
        <w:fldChar w:fldCharType="separate"/>
      </w:r>
      <w:r>
        <w:rPr>
          <w:noProof/>
        </w:rPr>
        <w:t>49</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_Toc157787048 \h </w:instrText>
      </w:r>
      <w:r>
        <w:rPr>
          <w:noProof/>
        </w:rPr>
        <w:fldChar w:fldCharType="separate"/>
      </w:r>
      <w:r>
        <w:rPr>
          <w:noProof/>
        </w:rPr>
        <w:t>49</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_Toc157787049 \h </w:instrText>
      </w:r>
      <w:r>
        <w:rPr>
          <w:noProof/>
        </w:rPr>
        <w:fldChar w:fldCharType="separate"/>
      </w:r>
      <w:r>
        <w:rPr>
          <w:noProof/>
        </w:rPr>
        <w:t>51</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_Toc157787050 \h </w:instrText>
      </w:r>
      <w:r>
        <w:rPr>
          <w:noProof/>
        </w:rPr>
        <w:fldChar w:fldCharType="separate"/>
      </w:r>
      <w:r>
        <w:rPr>
          <w:noProof/>
        </w:rPr>
        <w:t>53</w:t>
      </w:r>
      <w:r>
        <w:rPr>
          <w:noProof/>
        </w:rPr>
        <w:fldChar w:fldCharType="end"/>
      </w:r>
    </w:p>
    <w:p w:rsidR="00B027D9">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_Toc157787051 \h </w:instrText>
      </w:r>
      <w:r>
        <w:rPr>
          <w:noProof/>
        </w:rPr>
        <w:fldChar w:fldCharType="separate"/>
      </w:r>
      <w:r>
        <w:rPr>
          <w:noProof/>
        </w:rPr>
        <w:t>55</w:t>
      </w:r>
      <w:r>
        <w:rPr>
          <w:noProof/>
        </w:rPr>
        <w:fldChar w:fldCharType="end"/>
      </w:r>
    </w:p>
    <w:p w:rsidR="00B027D9">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_Toc157787052 \h </w:instrText>
      </w:r>
      <w:r>
        <w:rPr>
          <w:noProof/>
        </w:rPr>
        <w:fldChar w:fldCharType="separate"/>
      </w:r>
      <w:r>
        <w:rPr>
          <w:noProof/>
        </w:rPr>
        <w:t>56</w:t>
      </w:r>
      <w:r>
        <w:rPr>
          <w:noProof/>
        </w:rPr>
        <w:fldChar w:fldCharType="end"/>
      </w:r>
    </w:p>
    <w:p w:rsidR="00B027D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_Toc157787053 \h </w:instrText>
      </w:r>
      <w:r>
        <w:rPr>
          <w:noProof/>
        </w:rPr>
        <w:fldChar w:fldCharType="separate"/>
      </w:r>
      <w:r>
        <w:rPr>
          <w:noProof/>
        </w:rPr>
        <w:t>58</w:t>
      </w:r>
      <w:r>
        <w:rPr>
          <w:noProof/>
        </w:rPr>
        <w:fldChar w:fldCharType="end"/>
      </w:r>
    </w:p>
    <w:p w:rsidR="00B027D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_Toc157787054 \h </w:instrText>
      </w:r>
      <w:r>
        <w:rPr>
          <w:noProof/>
        </w:rPr>
        <w:fldChar w:fldCharType="separate"/>
      </w:r>
      <w:r>
        <w:rPr>
          <w:noProof/>
        </w:rPr>
        <w:t>61</w:t>
      </w:r>
      <w:r>
        <w:rPr>
          <w:noProof/>
        </w:rPr>
        <w:fldChar w:fldCharType="end"/>
      </w:r>
    </w:p>
    <w:p w:rsidR="00B027D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_Toc157787055 \h </w:instrText>
      </w:r>
      <w:r>
        <w:rPr>
          <w:noProof/>
        </w:rPr>
        <w:fldChar w:fldCharType="separate"/>
      </w:r>
      <w:r>
        <w:rPr>
          <w:noProof/>
        </w:rPr>
        <w:t>62</w:t>
      </w:r>
      <w:r>
        <w:rPr>
          <w:noProof/>
        </w:rPr>
        <w:fldChar w:fldCharType="end"/>
      </w:r>
    </w:p>
    <w:p w:rsidR="00B027D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_Toc157787056 \h </w:instrText>
      </w:r>
      <w:r>
        <w:rPr>
          <w:noProof/>
        </w:rPr>
        <w:fldChar w:fldCharType="separate"/>
      </w:r>
      <w:r>
        <w:rPr>
          <w:noProof/>
        </w:rPr>
        <w:t>64</w:t>
      </w:r>
      <w:r>
        <w:rPr>
          <w:noProof/>
        </w:rPr>
        <w:fldChar w:fldCharType="end"/>
      </w:r>
    </w:p>
    <w:p w:rsidR="00B027D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_Toc157787057 \h </w:instrText>
      </w:r>
      <w:r>
        <w:rPr>
          <w:noProof/>
        </w:rPr>
        <w:fldChar w:fldCharType="separate"/>
      </w:r>
      <w:r>
        <w:rPr>
          <w:noProof/>
        </w:rPr>
        <w:t>66</w:t>
      </w:r>
      <w:r>
        <w:rPr>
          <w:noProof/>
        </w:rPr>
        <w:fldChar w:fldCharType="end"/>
      </w:r>
    </w:p>
    <w:p w:rsidR="00B027D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_Toc157787058 \h </w:instrText>
      </w:r>
      <w:r>
        <w:rPr>
          <w:noProof/>
        </w:rPr>
        <w:fldChar w:fldCharType="separate"/>
      </w:r>
      <w:r>
        <w:rPr>
          <w:noProof/>
        </w:rPr>
        <w:t>68</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_Toc157787059 \h </w:instrText>
      </w:r>
      <w:r>
        <w:rPr>
          <w:noProof/>
        </w:rPr>
        <w:fldChar w:fldCharType="separate"/>
      </w:r>
      <w:r>
        <w:rPr>
          <w:noProof/>
        </w:rPr>
        <w:t>68</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_Toc157787060 \h </w:instrText>
      </w:r>
      <w:r>
        <w:rPr>
          <w:noProof/>
        </w:rPr>
        <w:fldChar w:fldCharType="separate"/>
      </w:r>
      <w:r>
        <w:rPr>
          <w:noProof/>
        </w:rPr>
        <w:t>69</w:t>
      </w:r>
      <w:r>
        <w:rPr>
          <w:noProof/>
        </w:rPr>
        <w:fldChar w:fldCharType="end"/>
      </w:r>
    </w:p>
    <w:p w:rsidR="00B027D9">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_Toc157787061 \h </w:instrText>
      </w:r>
      <w:r>
        <w:rPr>
          <w:noProof/>
        </w:rPr>
        <w:fldChar w:fldCharType="separate"/>
      </w:r>
      <w:r>
        <w:rPr>
          <w:noProof/>
        </w:rPr>
        <w:t>70</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_Toc157787062 \h </w:instrText>
      </w:r>
      <w:r>
        <w:rPr>
          <w:noProof/>
        </w:rPr>
        <w:fldChar w:fldCharType="separate"/>
      </w:r>
      <w:r>
        <w:rPr>
          <w:noProof/>
        </w:rPr>
        <w:t>70</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_Toc157787063 \h </w:instrText>
      </w:r>
      <w:r>
        <w:rPr>
          <w:noProof/>
        </w:rPr>
        <w:fldChar w:fldCharType="separate"/>
      </w:r>
      <w:r>
        <w:rPr>
          <w:noProof/>
        </w:rPr>
        <w:t>71</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_Toc157787064 \h </w:instrText>
      </w:r>
      <w:r>
        <w:rPr>
          <w:noProof/>
        </w:rPr>
        <w:fldChar w:fldCharType="separate"/>
      </w:r>
      <w:r>
        <w:rPr>
          <w:noProof/>
        </w:rPr>
        <w:t>73</w:t>
      </w:r>
      <w:r>
        <w:rPr>
          <w:noProof/>
        </w:rPr>
        <w:fldChar w:fldCharType="end"/>
      </w:r>
    </w:p>
    <w:p w:rsidR="00B027D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_Toc157787065 \h </w:instrText>
      </w:r>
      <w:r>
        <w:rPr>
          <w:noProof/>
        </w:rPr>
        <w:fldChar w:fldCharType="separate"/>
      </w:r>
      <w:r>
        <w:rPr>
          <w:noProof/>
        </w:rPr>
        <w:t>74</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_Toc157787066 \h </w:instrText>
      </w:r>
      <w:r>
        <w:rPr>
          <w:noProof/>
        </w:rPr>
        <w:fldChar w:fldCharType="separate"/>
      </w:r>
      <w:r>
        <w:rPr>
          <w:noProof/>
        </w:rPr>
        <w:t>74</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_Toc157787067 \h </w:instrText>
      </w:r>
      <w:r>
        <w:rPr>
          <w:noProof/>
        </w:rPr>
        <w:fldChar w:fldCharType="separate"/>
      </w:r>
      <w:r>
        <w:rPr>
          <w:noProof/>
        </w:rPr>
        <w:t>75</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_Toc157787068 \h </w:instrText>
      </w:r>
      <w:r>
        <w:rPr>
          <w:noProof/>
        </w:rPr>
        <w:fldChar w:fldCharType="separate"/>
      </w:r>
      <w:r>
        <w:rPr>
          <w:noProof/>
        </w:rPr>
        <w:t>76</w:t>
      </w:r>
      <w:r>
        <w:rPr>
          <w:noProof/>
        </w:rPr>
        <w:fldChar w:fldCharType="end"/>
      </w:r>
    </w:p>
    <w:p w:rsidR="00B027D9">
      <w:pPr>
        <w:pStyle w:val="TOC1"/>
        <w:tabs>
          <w:tab w:val="right" w:leader="dot" w:pos="8296"/>
        </w:tabs>
        <w:rPr>
          <w:noProof/>
        </w:rPr>
      </w:pPr>
      <w:r>
        <w:rPr>
          <w:rFonts w:hint="eastAsia"/>
          <w:noProof/>
        </w:rPr>
        <w:t>十一、内胎项目执行风险与应对策略</w:t>
      </w:r>
      <w:r>
        <w:rPr>
          <w:noProof/>
        </w:rPr>
        <w:tab/>
      </w:r>
      <w:r>
        <w:rPr>
          <w:noProof/>
        </w:rPr>
        <w:fldChar w:fldCharType="begin"/>
      </w:r>
      <w:r>
        <w:rPr>
          <w:noProof/>
        </w:rPr>
        <w:instrText xml:space="preserve"> PAGEREF _Toc157787069 \h </w:instrText>
      </w:r>
      <w:r>
        <w:rPr>
          <w:noProof/>
        </w:rPr>
        <w:fldChar w:fldCharType="separate"/>
      </w:r>
      <w:r>
        <w:rPr>
          <w:noProof/>
        </w:rPr>
        <w:t>77</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、内胎项目执行风险识别</w:t>
      </w:r>
      <w:r>
        <w:rPr>
          <w:noProof/>
        </w:rPr>
        <w:tab/>
      </w:r>
      <w:r>
        <w:rPr>
          <w:noProof/>
        </w:rPr>
        <w:fldChar w:fldCharType="begin"/>
      </w:r>
      <w:r>
        <w:rPr>
          <w:noProof/>
        </w:rPr>
        <w:instrText xml:space="preserve"> PAGEREF _Toc157787070 \h </w:instrText>
      </w:r>
      <w:r>
        <w:rPr>
          <w:noProof/>
        </w:rPr>
        <w:fldChar w:fldCharType="separate"/>
      </w:r>
      <w:r>
        <w:rPr>
          <w:noProof/>
        </w:rPr>
        <w:t>77</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_Toc157787071 \h </w:instrText>
      </w:r>
      <w:r>
        <w:rPr>
          <w:noProof/>
        </w:rPr>
        <w:fldChar w:fldCharType="separate"/>
      </w:r>
      <w:r>
        <w:rPr>
          <w:noProof/>
        </w:rPr>
        <w:t>78</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_Toc157787072 \h </w:instrText>
      </w:r>
      <w:r>
        <w:rPr>
          <w:noProof/>
        </w:rPr>
        <w:fldChar w:fldCharType="separate"/>
      </w:r>
      <w:r>
        <w:rPr>
          <w:noProof/>
        </w:rPr>
        <w:t>80</w:t>
      </w:r>
      <w:r>
        <w:rPr>
          <w:noProof/>
        </w:rPr>
        <w:fldChar w:fldCharType="end"/>
      </w:r>
    </w:p>
    <w:p w:rsidR="00B027D9">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_Toc157787073 \h </w:instrText>
      </w:r>
      <w:r>
        <w:rPr>
          <w:noProof/>
        </w:rPr>
        <w:fldChar w:fldCharType="separate"/>
      </w:r>
      <w:r>
        <w:rPr>
          <w:noProof/>
        </w:rPr>
        <w:t>81</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_Toc157787074 \h </w:instrText>
      </w:r>
      <w:r>
        <w:rPr>
          <w:noProof/>
        </w:rPr>
        <w:fldChar w:fldCharType="separate"/>
      </w:r>
      <w:r>
        <w:rPr>
          <w:noProof/>
        </w:rPr>
        <w:t>81</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、内胎项目合规性评估</w:t>
      </w:r>
      <w:r>
        <w:rPr>
          <w:noProof/>
        </w:rPr>
        <w:tab/>
      </w:r>
      <w:r>
        <w:rPr>
          <w:noProof/>
        </w:rPr>
        <w:fldChar w:fldCharType="begin"/>
      </w:r>
      <w:r>
        <w:rPr>
          <w:noProof/>
        </w:rPr>
        <w:instrText xml:space="preserve"> PAGEREF _Toc157787075 \h </w:instrText>
      </w:r>
      <w:r>
        <w:rPr>
          <w:noProof/>
        </w:rPr>
        <w:fldChar w:fldCharType="separate"/>
      </w:r>
      <w:r>
        <w:rPr>
          <w:noProof/>
        </w:rPr>
        <w:t>82</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_Toc157787076 \h </w:instrText>
      </w:r>
      <w:r>
        <w:rPr>
          <w:noProof/>
        </w:rPr>
        <w:fldChar w:fldCharType="separate"/>
      </w:r>
      <w:r>
        <w:rPr>
          <w:noProof/>
        </w:rPr>
        <w:t>84</w:t>
      </w:r>
      <w:r>
        <w:rPr>
          <w:noProof/>
        </w:rPr>
        <w:fldChar w:fldCharType="end"/>
      </w:r>
    </w:p>
    <w:p w:rsidR="00B027D9">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_Toc157787077 \h </w:instrText>
      </w:r>
      <w:r>
        <w:rPr>
          <w:noProof/>
        </w:rPr>
        <w:fldChar w:fldCharType="separate"/>
      </w:r>
      <w:r>
        <w:rPr>
          <w:noProof/>
        </w:rPr>
        <w:t>85</w:t>
      </w:r>
      <w:r>
        <w:rPr>
          <w:noProof/>
        </w:rPr>
        <w:fldChar w:fldCharType="end"/>
      </w:r>
    </w:p>
    <w:p w:rsidR="00B027D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_Toc157787078 \h </w:instrText>
      </w:r>
      <w:r>
        <w:rPr>
          <w:noProof/>
        </w:rPr>
        <w:fldChar w:fldCharType="separate"/>
      </w:r>
      <w:r>
        <w:rPr>
          <w:noProof/>
        </w:rPr>
        <w:t>85</w:t>
      </w:r>
      <w:r>
        <w:rPr>
          <w:noProof/>
        </w:rPr>
        <w:fldChar w:fldCharType="end"/>
      </w:r>
    </w:p>
    <w:p w:rsidR="00B027D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_Toc157787079 \h </w:instrText>
      </w:r>
      <w:r>
        <w:rPr>
          <w:noProof/>
        </w:rPr>
        <w:fldChar w:fldCharType="separate"/>
      </w:r>
      <w:r>
        <w:rPr>
          <w:noProof/>
        </w:rPr>
        <w:t>87</w:t>
      </w:r>
      <w:r>
        <w:rPr>
          <w:noProof/>
        </w:rPr>
        <w:fldChar w:fldCharType="end"/>
      </w:r>
    </w:p>
    <w:p w:rsidR="00B027D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_Toc157787080 \h </w:instrText>
      </w:r>
      <w:r>
        <w:rPr>
          <w:noProof/>
        </w:rPr>
        <w:fldChar w:fldCharType="separate"/>
      </w:r>
      <w:r>
        <w:rPr>
          <w:noProof/>
        </w:rPr>
        <w:t>88</w:t>
      </w:r>
      <w:r>
        <w:rPr>
          <w:noProof/>
        </w:rPr>
        <w:fldChar w:fldCharType="end"/>
      </w:r>
    </w:p>
    <w:p w:rsidR="00B027D9" w:rsidP="00B027D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027D9" w:rsidP="00B027D9">
      <w:pPr>
        <w:pStyle w:val="Heading1"/>
        <w:jc w:val="center"/>
        <w:rPr>
          <w:rFonts w:hint="eastAsia"/>
        </w:rPr>
      </w:pPr>
      <w:bookmarkStart w:id="1" w:name="_Toc157787017"/>
      <w:r w:rsidRPr="00B027D9">
        <w:rPr>
          <w:rFonts w:hint="eastAsia"/>
        </w:rPr>
        <w:t>前言</w:t>
      </w:r>
      <w:bookmarkEnd w:id="1"/>
    </w:p>
    <w:p w:rsidR="00B027D9" w:rsidP="00B027D9">
      <w:pPr>
        <w:ind w:firstLine="560" w:firstLineChars="200"/>
        <w:rPr>
          <w:rFonts w:ascii="仿宋" w:eastAsia="仿宋" w:hAnsi="仿宋" w:hint="eastAsia"/>
          <w:sz w:val="28"/>
        </w:rPr>
      </w:pPr>
      <w:r w:rsidRPr="00B027D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027D9" w:rsidP="00B027D9">
      <w:pPr>
        <w:pStyle w:val="Heading1"/>
        <w:rPr>
          <w:rFonts w:hint="eastAsia"/>
        </w:rPr>
      </w:pPr>
      <w:bookmarkStart w:id="2" w:name="_Toc157787018"/>
      <w:r w:rsidRPr="00B027D9">
        <w:rPr>
          <w:rFonts w:hint="eastAsia"/>
        </w:rPr>
        <w:t>一、企业管理方案</w:t>
      </w:r>
      <w:bookmarkEnd w:id="2"/>
    </w:p>
    <w:p w:rsidR="00B027D9" w:rsidP="00B027D9">
      <w:pPr>
        <w:pStyle w:val="Heading2"/>
        <w:rPr>
          <w:rFonts w:hint="eastAsia"/>
        </w:rPr>
      </w:pPr>
      <w:bookmarkStart w:id="3" w:name="_Toc157787019"/>
      <w:r w:rsidRPr="00B027D9">
        <w:rPr>
          <w:rFonts w:hint="eastAsia"/>
        </w:rPr>
        <w:t>(</w:t>
      </w:r>
      <w:r w:rsidRPr="00B027D9">
        <w:rPr>
          <w:rFonts w:hint="eastAsia"/>
        </w:rPr>
        <w:t>一</w:t>
      </w:r>
      <w:r w:rsidRPr="00B027D9">
        <w:rPr>
          <w:rFonts w:hint="eastAsia"/>
        </w:rPr>
        <w:t>)</w:t>
      </w:r>
      <w:r w:rsidRPr="00B027D9">
        <w:rPr>
          <w:rFonts w:hint="eastAsia"/>
        </w:rPr>
        <w:t>、企业管理体系</w:t>
      </w:r>
      <w:bookmarkEnd w:id="3"/>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一、组织结构与体系</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组织结构设计： 确定企业内部各部门、团队和岗位之间的关系，建立清晰的组织结构，以实现工作分工、协作和沟通的有效性。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决策层次： 规定决策的层级结构，确保信息能够迅速准确地传达和决策能够迅速实施。</w:t>
      </w:r>
    </w:p>
    <w:p w:rsidR="00B027D9" w:rsidRPr="00B027D9" w:rsidP="00B027D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027D9">
        <w:rPr>
          <w:rFonts w:ascii="仿宋" w:eastAsia="仿宋" w:hAnsi="仿宋" w:hint="eastAsia"/>
          <w:sz w:val="28"/>
        </w:rPr>
        <w:t xml:space="preserve"> 二、管理流程与方法</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业务流程设计： 制定标准的业务流程，确保企业的核心业务能够高效有序地进行。</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内胎项目管理方法： 采用适当的内胎项目管理方法，确保内胎项目按时按质完成。</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质量管理体系： 实施质量管理体系，确保产品或服务符合规定标准，提高客户满意度。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三、政策与规程</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企业政策： 制定企业整体发展的方向和原则，确保所有业务活动符合企业的核心价值观。</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规章制度： 制定各项规章制度，规范员工行为，确保企业内部秩序和文化的一致性。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四、人力资源管理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招聘与培训： 制定招聘计划，确保企业拥有足够的人力资源。提供培训机会，提升员工技能水平。</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绩效考核： 设立科学的绩效考核体系，激励员工的积极性和创造性。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员工发展： 提供员工职业发展通道，激发员工对企业的忠诚度。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五、财务管理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财务规划： 制定财务计划，确保企业有足够的资金支持日常运营和发展。</w:t>
      </w:r>
    </w:p>
    <w:p w:rsidR="00B027D9" w:rsidRPr="00B027D9" w:rsidP="00B027D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027D9">
        <w:rPr>
          <w:rFonts w:ascii="仿宋" w:eastAsia="仿宋" w:hAnsi="仿宋" w:hint="eastAsia"/>
          <w:sz w:val="28"/>
        </w:rPr>
        <w:t>2. 会计体系： 建立健全的会计体系，确保财务报表准确、透明。</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六、信息化管理系统</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信息系统建设： 采用现代信息技术，建设适应企业发展的信息系统，提高信息的获取和利用效率。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数据安全： 确保企业的数据安全，采取适当的信息安全措施。</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七、市场与客户管理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市场开发与营销： 制定市场开发计划，提高企业在市场上的知名度和竞争力。</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客户关系管理： 建立客户档案，提供个性化服务，提高客户满意度。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 xml:space="preserve"> 八、创新与持续改进</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创新体系： 鼓励员工提出创新建议，建立创新激励机制。</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持续改进： 定期进行业务流程改进，提高工作效率和质量。</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027D9" w:rsidP="00B027D9">
      <w:pPr>
        <w:pStyle w:val="Heading2"/>
      </w:pPr>
      <w:bookmarkStart w:id="4" w:name="_Toc157787020"/>
      <w:r w:rsidRPr="00B027D9">
        <w:t>(</w:t>
      </w:r>
      <w:r w:rsidRPr="00B027D9">
        <w:t>二</w:t>
      </w:r>
      <w:r w:rsidRPr="00B027D9">
        <w:t>)</w:t>
      </w:r>
      <w:r w:rsidRPr="00B027D9">
        <w:t>、信息管理与信息系统</w:t>
      </w:r>
      <w:bookmarkEnd w:id="4"/>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一、信息管理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概念与定义</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信息管理是通过对信息资源进行规划、组织、存储、传递和控制，以实现信息的有效利用和价值最大化的一种综合性管理活动。</w:t>
      </w:r>
    </w:p>
    <w:p w:rsidR="00B027D9" w:rsidRPr="00B027D9" w:rsidP="00B027D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27D9">
        <w:rPr>
          <w:rFonts w:ascii="仿宋" w:eastAsia="仿宋" w:hAnsi="仿宋" w:hint="eastAsia"/>
          <w:sz w:val="28"/>
        </w:rPr>
        <w:t>2. 重要性与目标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信息价值: 信息是企业最重要的资源之一，对企业的决策、创新和发展至关重要。</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目标: 实现信息的高效流通、及时更新、准确可靠，提高决策的科学性和准确性。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信息管理的基本要素</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信息策划: 制定信息发展的战略和规划。</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信息组织: 构建信息资源的组织结构。</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信息存储: 制定信息存储的规范和标准。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信息传递: 通过各种手段和渠道进行信息传递。</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信息控制: 对信息进行监控和管理。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二、信息系统</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概念与定义</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信息系统是由硬件、软件、数据、人员、过程等多个要素组成的，用于收集、存储、处理、分析和传递信息的系统。</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组成要素</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硬件: 包括计算机、服务器、网络设备等。</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软件: 包括操作系统、应用软件、数据库管理系统等。</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数据: 信息系统的基础，包括结构化数据和非结构化数据。</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人员: 系统管理员、用户、开发人员等。</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过程: 系统运行和管理的各个流程和方法。</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信息系统的功能</w:t>
      </w:r>
    </w:p>
    <w:p w:rsidR="00B027D9" w:rsidRPr="00B027D9" w:rsidP="00B027D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27D9">
        <w:rPr>
          <w:rFonts w:ascii="仿宋" w:eastAsia="仿宋" w:hAnsi="仿宋" w:hint="eastAsia"/>
          <w:sz w:val="28"/>
        </w:rPr>
        <w:t>数据采集和输入: 通过各种手段获取数据。</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数据存储: 将数据存储在数据库或其他媒体中。</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数据处理和分析: 对数据进行处理和分析，生成有用的信息。</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信息传递: 将信息传递给需要的人员或系统。</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决策支持: 提供决策所需的信息。</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三、信息管理与信息系统的关系</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互为支持关系</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信息管理支持信息系统： 信息管理为信息系统提供了规范和战略，确保信息系统能够更好地为企业服务。</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信息系统支持信息管理： 信息系统通过高效的数据处理和分析功能，为信息管理提供了技术支持，使信息更易于管理和利用。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协同作用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共同目标: 信息管理与信息系统的共同目标是确保信息的高效管理和利用，为企业的决策提供支持。</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协同作用: 信息管理与信息系统协同工作，推动企业信息化建设，提高信息资源的价值。</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四、信息管理与信息系统的挑战与应对措施</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挑战</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技术更新快: 信息技术发展迅速，更新换代较快。</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数据安全问题: 面临数据泄露、信息安全等风险。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信息过载: 大量信息导致信息过载，难以有效利用。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应对措施</w:t>
      </w:r>
    </w:p>
    <w:p w:rsidR="00B027D9" w:rsidRPr="00B027D9" w:rsidP="00B027D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27D9">
        <w:rPr>
          <w:rFonts w:ascii="仿宋" w:eastAsia="仿宋" w:hAnsi="仿宋" w:hint="eastAsia"/>
          <w:sz w:val="28"/>
        </w:rPr>
        <w:t>持续学习: 不断学习新的信息技术，保持信息系统的先进性。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强化安全措施: 制定完善的信息安全政策，使用先进的安全技术。</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信息筛选与分类: 建立信息分类体系，优先关注关键信息，减少信息过载。</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027D9" w:rsidP="00B027D9">
      <w:pPr>
        <w:pStyle w:val="Heading1"/>
        <w:rPr>
          <w:rFonts w:hint="eastAsia"/>
        </w:rPr>
      </w:pPr>
      <w:bookmarkStart w:id="5" w:name="_Toc157787021"/>
      <w:r w:rsidRPr="00B027D9">
        <w:rPr>
          <w:rFonts w:hint="eastAsia"/>
        </w:rPr>
        <w:t>二、内胎项目建筑工程方案</w:t>
      </w:r>
      <w:bookmarkEnd w:id="5"/>
    </w:p>
    <w:p w:rsidR="00B027D9" w:rsidP="00B027D9">
      <w:pPr>
        <w:pStyle w:val="Heading2"/>
        <w:rPr>
          <w:rFonts w:hint="eastAsia"/>
        </w:rPr>
      </w:pPr>
      <w:bookmarkStart w:id="6" w:name="_Toc157787022"/>
      <w:r w:rsidRPr="00B027D9">
        <w:rPr>
          <w:rFonts w:hint="eastAsia"/>
        </w:rPr>
        <w:t>(</w:t>
      </w:r>
      <w:r w:rsidRPr="00B027D9">
        <w:rPr>
          <w:rFonts w:hint="eastAsia"/>
        </w:rPr>
        <w:t>一</w:t>
      </w:r>
      <w:r w:rsidRPr="00B027D9">
        <w:rPr>
          <w:rFonts w:hint="eastAsia"/>
        </w:rPr>
        <w:t>)</w:t>
      </w:r>
      <w:r w:rsidRPr="00B027D9">
        <w:rPr>
          <w:rFonts w:hint="eastAsia"/>
        </w:rPr>
        <w:t>、土建工程方案</w:t>
      </w:r>
      <w:bookmarkEnd w:id="6"/>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土建工程方案是为实现建设内胎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工程设计</w:t>
      </w:r>
    </w:p>
    <w:p w:rsidR="00B027D9" w:rsidRPr="00B027D9" w:rsidP="00B027D9">
      <w:pPr>
        <w:ind w:firstLine="560" w:firstLineChars="200"/>
        <w:rPr>
          <w:rFonts w:ascii="仿宋" w:eastAsia="仿宋" w:hAnsi="仿宋"/>
          <w:sz w:val="28"/>
        </w:rPr>
      </w:pPr>
      <w:r w:rsidRPr="00B027D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内胎项目具备良好的结构和功能。同时，遵循相关法规和标准，保障设计的合法性和可行性。</w:t>
      </w:r>
    </w:p>
    <w:p w:rsidR="00B027D9" w:rsidRPr="00B027D9" w:rsidP="00B027D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27D9">
        <w:rPr>
          <w:rFonts w:ascii="仿宋" w:eastAsia="仿宋" w:hAnsi="仿宋" w:hint="eastAsia"/>
          <w:sz w:val="28"/>
        </w:rPr>
        <w:t>2. 施工组织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材料选择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4. 工期安排</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土建工程方案的制定和实施对于内胎项目的成功推进至关重要。只有通过科学合理的规划和有序实施，内胎项目才能确保高效、安全、经济地完成，达到预期的建设目标。因此，在进行土建工程内胎项目时，应充分关注土建工程方案的编制和执行，不断总结经验教训，不断提升管理和技术水平，以适应不断变化的建设需求。</w:t>
      </w:r>
    </w:p>
    <w:p w:rsidR="00B027D9" w:rsidP="00B027D9">
      <w:pPr>
        <w:pStyle w:val="Heading2"/>
      </w:pPr>
      <w:bookmarkStart w:id="7" w:name="_Toc157787023"/>
      <w:r w:rsidRPr="00B027D9">
        <w:t>(</w:t>
      </w:r>
      <w:r w:rsidRPr="00B027D9">
        <w:t>二</w:t>
      </w:r>
      <w:r w:rsidRPr="00B027D9">
        <w:t>)</w:t>
      </w:r>
      <w:r w:rsidRPr="00B027D9">
        <w:t>、厂房建设方案</w:t>
      </w:r>
      <w:bookmarkEnd w:id="7"/>
    </w:p>
    <w:p w:rsidR="00B027D9" w:rsidRPr="00B027D9" w:rsidP="00B027D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27D9">
        <w:rPr>
          <w:rFonts w:ascii="仿宋" w:eastAsia="仿宋" w:hAnsi="仿宋" w:hint="eastAsia"/>
          <w:sz w:val="28"/>
        </w:rPr>
        <w:t>厂房建设方案是在土建工程方案的基础上，专门针对厂房建设的详细规划和安排。在制定厂房建设方案时，需要全面考虑厂房的结构</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设计、施工组织、材料选择以及工期安排等方面，以确保厂房的高效建设和后续运营。</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结构设计</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施工组织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材料选择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4. 工期安排</w:t>
      </w:r>
    </w:p>
    <w:p w:rsidR="00B027D9" w:rsidRPr="00B027D9" w:rsidP="00B027D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27D9">
        <w:rPr>
          <w:rFonts w:ascii="仿宋" w:eastAsia="仿宋" w:hAnsi="仿宋" w:hint="eastAsia"/>
          <w:sz w:val="28"/>
        </w:rPr>
        <w:t>厂房建设的工期安排需要更为细致，因为它直接影响到生产计划的执行。除了一般土建工程的施工工序，还需要合理考虑生产设备的</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安装调试时间。在厂房建设方案中，要细化每个工序的时间节点，确保各个环节之间的协调，以保证整体工程能够按时交付使用。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5. 设备配置</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027D9" w:rsidP="00B027D9">
      <w:pPr>
        <w:pStyle w:val="Heading2"/>
      </w:pPr>
      <w:bookmarkStart w:id="8" w:name="_Toc157787024"/>
      <w:r w:rsidRPr="00B027D9">
        <w:t>(</w:t>
      </w:r>
      <w:r w:rsidRPr="00B027D9">
        <w:t>三</w:t>
      </w:r>
      <w:r w:rsidRPr="00B027D9">
        <w:t>)</w:t>
      </w:r>
      <w:r w:rsidRPr="00B027D9">
        <w:t>、仓库建设方案</w:t>
      </w:r>
      <w:bookmarkEnd w:id="8"/>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结构设计</w:t>
      </w:r>
    </w:p>
    <w:p w:rsidR="00B027D9" w:rsidRPr="00B027D9" w:rsidP="00B027D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27D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施工组织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材料选择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4. 设备配置</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5. 环境规划</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027D9" w:rsidP="00B027D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27D9">
        <w:rPr>
          <w:rFonts w:ascii="仿宋" w:eastAsia="仿宋" w:hAnsi="仿宋" w:hint="eastAsia"/>
          <w:sz w:val="28"/>
        </w:rPr>
        <w:t>一个完善的仓库建设方案能够确保仓库的结构稳固、施工有序、材料合理、设备齐全，最终实现高效的货物管理。在仓库建设方案的</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制定过程中，需要充分了解企业的具体需求和运营模式，以制定最适合的仓库建设方案。</w:t>
      </w:r>
    </w:p>
    <w:p w:rsidR="00B027D9" w:rsidP="00B027D9">
      <w:pPr>
        <w:pStyle w:val="Heading2"/>
      </w:pPr>
      <w:bookmarkStart w:id="9" w:name="_Toc157787025"/>
      <w:r w:rsidRPr="00B027D9">
        <w:t>(</w:t>
      </w:r>
      <w:r w:rsidRPr="00B027D9">
        <w:t>四</w:t>
      </w:r>
      <w:r w:rsidRPr="00B027D9">
        <w:t>)</w:t>
      </w:r>
      <w:r w:rsidRPr="00B027D9">
        <w:t>、办公及生活服务设施建设方案</w:t>
      </w:r>
      <w:bookmarkEnd w:id="9"/>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办公空间设计： 确保合理的布局，考虑通风、采光、隔音等因素，提高员工的工作效率和舒适度。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生活服务设施规划： 设计食堂、休息区、健身房等设施，满足员工在工作间隙和下班后的各种需求。</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信息技术设备： 规划网络设施、计算设备以及公司业务相关的软硬件工具，确保员工高效完成工作。</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4. 安全与环保设施： 考虑消防设备、安全通道、紧急疏散计划，以及环保设施，创造安全可持续的工作环境。</w:t>
      </w:r>
    </w:p>
    <w:p w:rsidR="00B027D9" w:rsidRPr="00B027D9" w:rsidP="00B027D9">
      <w:pPr>
        <w:ind w:firstLine="560" w:firstLineChars="200"/>
        <w:rPr>
          <w:rFonts w:ascii="仿宋" w:eastAsia="仿宋" w:hAnsi="仿宋"/>
          <w:sz w:val="28"/>
        </w:rPr>
      </w:pPr>
      <w:r w:rsidRPr="00B027D9">
        <w:rPr>
          <w:rFonts w:ascii="仿宋" w:eastAsia="仿宋" w:hAnsi="仿宋" w:hint="eastAsia"/>
          <w:sz w:val="28"/>
        </w:rPr>
        <w:t>5. 员工培训和发展设施： 设计培训室、图书馆、在线学习平台等，提供学习和发展的机会，促进员工专业素养和职业发展。</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6. 工位设置与布局： 通过科学的工位设置和布局，提高员工之间的协作效率，创造良好的工作氛围。</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7. 会议室规划： 设计合适大小和设备齐全的会议室，以支持各类内外部会议和团队协作。</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8. 休息区设计： 创造宜人的休息环境，为员工提供放松身心的空间，提高工作效能。</w:t>
      </w:r>
    </w:p>
    <w:p w:rsidR="00B027D9" w:rsidRPr="00B027D9" w:rsidP="00B027D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27D9">
        <w:rPr>
          <w:rFonts w:ascii="仿宋" w:eastAsia="仿宋" w:hAnsi="仿宋" w:hint="eastAsia"/>
          <w:sz w:val="28"/>
        </w:rPr>
        <w:t>9. 饮食服务设施： 提供多样化的饮食选择，满足员工口味，促进团队交流和员工满意度。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10. 健康管理设施： 设计健身房、健康检测区等，关注员工身心健康，提高整体团队健康水平。</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11. 员工社交空间： 创建社交区域，促进员工之间的交流，增进团队凝聚力和合作精神。</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12. 绿色建筑和可持续设施： 采用环保材料，设计节能照明系统，倡导绿色出行，助力企业可持续发展。</w:t>
      </w:r>
    </w:p>
    <w:p w:rsidR="00B027D9" w:rsidP="00B027D9">
      <w:pPr>
        <w:pStyle w:val="Heading2"/>
      </w:pPr>
      <w:bookmarkStart w:id="10" w:name="_Toc157787026"/>
      <w:r w:rsidRPr="00B027D9">
        <w:t>(</w:t>
      </w:r>
      <w:r w:rsidRPr="00B027D9">
        <w:t>五</w:t>
      </w:r>
      <w:r w:rsidRPr="00B027D9">
        <w:t>)</w:t>
      </w:r>
      <w:r w:rsidRPr="00B027D9">
        <w:t>、总图布置方案</w:t>
      </w:r>
      <w:bookmarkEnd w:id="10"/>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整体规划考虑因素： 在确定总体布局方案时，需要充分考虑地理位置、内胎项目规模、市场需求和人力资源等关键因素，确保科学合理。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成本节约策略： 通过优化物流运输和产品流通，合理利用现有设施，降低成本，确保内胎项目经济可行性。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生产效率提升： 通过科学运营和管理，提高生产效率和产品质量，确保内胎项目能够顺利运行并满足市场需求。</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详细布局设计</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生产线布局规划： 确保生产线的合理布局，考虑生产线长度、机器设备配置、工人数量和空间要求等因素，优化生产流程。</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储存设施合理布局： 设计原材料、半成品和成品储存区的合理布局，方便物流运输和库存管理，确保供应链畅通。</w:t>
      </w:r>
    </w:p>
    <w:p w:rsidR="00B027D9" w:rsidRPr="00B027D9" w:rsidP="00B027D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27D9">
        <w:rPr>
          <w:rFonts w:ascii="仿宋" w:eastAsia="仿宋" w:hAnsi="仿宋" w:hint="eastAsia"/>
          <w:sz w:val="28"/>
        </w:rPr>
        <w:t>3. 办公室和员工区域设计： 打造符合现代标准的办公室和员工区域布局，提升员工的工作和生活体验。</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4. 能源供应设施规划： 设计合理的能源供应设施布局，确保电力、燃气和水等能源的有效供应，满足生产需求。</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实施与管理方案</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技术管理策略： 通过不断改进和优化技术流程，提高生产效率和产品质量，保持技术领先地位。</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人力资源管理计划： 招聘、培训员工，并建立有效的人力资源管理体系，提高员工工作效率和满意度。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内胎项目管理体系建设： 制定科学的内胎项目计划、预算和资源分配，确保内胎项目按时完成，达到预期效果。</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4. 质量管理体系实施： 建立质量控制系统，进行质量检查，确保产品符合标准和顾客需求，提高产品竞争力。</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综合考虑总体布局方案、详细布局设计和实施与管理方案，确保内胎项目全面成功实现。</w:t>
      </w:r>
    </w:p>
    <w:p w:rsidR="00B027D9" w:rsidP="00B027D9">
      <w:pPr>
        <w:pStyle w:val="Heading2"/>
      </w:pPr>
      <w:bookmarkStart w:id="11" w:name="_Toc157787027"/>
      <w:r w:rsidRPr="00B027D9">
        <w:t>(</w:t>
      </w:r>
      <w:r w:rsidRPr="00B027D9">
        <w:t>六</w:t>
      </w:r>
      <w:r w:rsidRPr="00B027D9">
        <w:t>)</w:t>
      </w:r>
      <w:r w:rsidRPr="00B027D9">
        <w:t>、建筑工程数字化方案</w:t>
      </w:r>
      <w:bookmarkEnd w:id="11"/>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（一）数字化方案规划</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内胎项目背景分析</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在构建数字化方案之前，对内胎项目规模、性质以及可用预算进行深入分析，确保方案的制定与内胎项目的实际需求相契合。</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技术现状评估</w:t>
      </w:r>
    </w:p>
    <w:p w:rsidR="00B027D9" w:rsidRPr="00B027D9" w:rsidP="00B027D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027D9">
        <w:rPr>
          <w:rFonts w:ascii="仿宋" w:eastAsia="仿宋" w:hAnsi="仿宋" w:hint="eastAsia"/>
          <w:sz w:val="28"/>
        </w:rPr>
        <w:t>深入了解建筑工程领域的数字化技术现状，关注行业最新趋势，以确保选择的数字化方案在技术上保持领先地位。</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利益相关方沟通</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与内胎项目中的各利益相关方进行充分沟通，包括业主、设计师、施工方等，以了解各方需求和期望，使得数字化方案更加贴近实际应用。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（二）数字化工具选择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建模软件选择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选择适用于建筑工程的三维建模软件，如XXX等，以提高设计效率和精度，从而推动数字化设计的实施。</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内胎项目管理工具</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采用专业的内胎项目管理工具，例如XXX，以确保内胎项目计划、进度追踪和资源管理的高效执行。</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BIM技术应用</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引入BIM技术，全面实现建筑设计、施工和运营的数字化管理，以促进信息共享和提高协同效率，从而推动内胎项目数字化的全面实施。</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（三）数字化流程优化</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设计协同优化</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通过数字化工具实现设计团队的高效协同工作，提高设计效率，减少信息流失和误差，确保设计的高质量完成。</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施工过程数字化</w:t>
      </w:r>
    </w:p>
    <w:p w:rsidR="00B027D9" w:rsidRPr="00B027D9" w:rsidP="00B027D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27D9">
        <w:rPr>
          <w:rFonts w:ascii="仿宋" w:eastAsia="仿宋" w:hAnsi="仿宋" w:hint="eastAsia"/>
          <w:sz w:val="28"/>
        </w:rPr>
        <w:t>引入数字化施工管理系统，实现施工计划、进度监控、质量检查等过程的数字化管理，以提高施工效率和质量控制水平。</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数据集成与共享</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建立数据集成平台，实现各个环节数据的无缝传递和共享，以减少信息孤岛，提高整体工程效益，推动数字化流程的顺畅实施。</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（四）技术培训与支持</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团队培训计划</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制定详细的数字化工具培训计划，确保内胎项目团队成员具备使用相关工具的必要技能，提高整体数字化水平。</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技术支持体系</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建立完善的数字化方案技术支持体系，包括在线支持和培训资料库，以保证在使用过程中能够及时解决技术问题。</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持续改进机制</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设立数字化方案的持续改进机制，及时收集用户反馈和技术更新，不断优化数字化工程流程，确保数字化方案处于行业领先地位。</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（五）风险管理与安全保障</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数据安全策略</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制定严格的数据安全策略，采用加密技术和权限管理等手段，确保内胎项目信息不受到未授权访问和泄露，提高数据安全性。</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应急预案制定</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制定数字化方案的应急预案，对可能发生的技术故障、数据丢失等情况进行预测和应对，保障内胎项目的正常运行。</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法规遵循</w:t>
      </w:r>
    </w:p>
    <w:p w:rsidR="00B027D9" w:rsidRPr="00B027D9" w:rsidP="00B027D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027D9">
        <w:rPr>
          <w:rFonts w:ascii="仿宋" w:eastAsia="仿宋" w:hAnsi="仿宋" w:hint="eastAsia"/>
          <w:sz w:val="28"/>
        </w:rPr>
        <w:t>严格遵循建筑行业相关法规和标准，确保数字化方案的设计和实</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施符合法律要求，降低潜在法律风险，使数字化方案在合规的基础上稳健推进。</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通过以上方面的详细规划，建立全面的建筑工程数字化方案，将有助于内胎项目更高效、智能地迎接数字时代的挑战。</w:t>
      </w:r>
    </w:p>
    <w:p w:rsidR="00B027D9" w:rsidP="00B027D9">
      <w:pPr>
        <w:pStyle w:val="Heading1"/>
        <w:rPr>
          <w:rFonts w:hint="eastAsia"/>
        </w:rPr>
      </w:pPr>
      <w:bookmarkStart w:id="12" w:name="_Toc157787028"/>
      <w:r w:rsidRPr="00B027D9">
        <w:rPr>
          <w:rFonts w:hint="eastAsia"/>
        </w:rPr>
        <w:t>三、内胎项目风险管理方案</w:t>
      </w:r>
      <w:bookmarkEnd w:id="12"/>
    </w:p>
    <w:p w:rsidR="00B027D9" w:rsidP="00B027D9">
      <w:pPr>
        <w:pStyle w:val="Heading2"/>
        <w:rPr>
          <w:rFonts w:hint="eastAsia"/>
        </w:rPr>
      </w:pPr>
      <w:bookmarkStart w:id="13" w:name="_Toc157787029"/>
      <w:r w:rsidRPr="00B027D9">
        <w:rPr>
          <w:rFonts w:hint="eastAsia"/>
        </w:rPr>
        <w:t>(</w:t>
      </w:r>
      <w:r w:rsidRPr="00B027D9">
        <w:rPr>
          <w:rFonts w:hint="eastAsia"/>
        </w:rPr>
        <w:t>一</w:t>
      </w:r>
      <w:r w:rsidRPr="00B027D9">
        <w:rPr>
          <w:rFonts w:hint="eastAsia"/>
        </w:rPr>
        <w:t>)</w:t>
      </w:r>
      <w:r w:rsidRPr="00B027D9">
        <w:rPr>
          <w:rFonts w:hint="eastAsia"/>
        </w:rPr>
        <w:t>、风险管理概述</w:t>
      </w:r>
      <w:bookmarkEnd w:id="13"/>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在当前政策环境下，风险管理的关键性日益凸显，尤其在内胎项目实施中扮演着不可或缺的角色。政策的不断调整和变化可能带来新的挑战，因此内胎项目团队需要更加敏锐地识别、评估和应对各种潜在风险。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内胎项目可能产生的潜在影响。</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其次，风险评估的过程需要更具前瞻性，内胎项目团队应当通过定性和定量分析，充分评估政策变化对内胎项目目标的可能影响。这一过程的关键在于科学合理地量化潜在风险的概率和影响程度，从而有针对性地采取相应的风险应对措施。</w:t>
      </w:r>
    </w:p>
    <w:p w:rsidR="00B027D9" w:rsidRPr="00B027D9" w:rsidP="00B027D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027D9">
        <w:rPr>
          <w:rFonts w:ascii="仿宋" w:eastAsia="仿宋" w:hAnsi="仿宋" w:hint="eastAsia"/>
          <w:sz w:val="28"/>
        </w:rPr>
        <w:t>在面对政策层面的风险时，风险应对措施需要更加灵活。除了常</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规的避免、减轻、转移和接受策略外，内胎项目团队还应考虑制定专门的政策应对计划，包括密切关注政策变化、及时调整内胎项目实施方案等。例如，加强与相关政府部门的沟通，获取政策解读，及时调整内胎项目策略以确保内胎项目不受不确定性的过大影响。</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最后，风险监控的过程也需要更具前瞻性。内胎项目团队在监控风险的同时，应当随时关注政策环境的变化，确保内胎项目能够灵活适应新的政策要求。这可能涉及到对内胎项目计划的及时调整、政策培训和内胎项目团队的更新等方面，以保持内胎项目在复杂多变的政策环境中的稳定推进。</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在当前政策背景下，风险管理需要更具前瞻性、灵活性和战略性，以确保内胎项目能够在不断变化的政策环境中保持成功实施的稳定性。通过全面考虑政策层面的风险，并采取相应的战略性风险管理措施，内胎项目团队将更有信心和能力应对潜在的挑战，确保内胎项目的成功推进。</w:t>
      </w:r>
    </w:p>
    <w:p w:rsidR="00B027D9" w:rsidP="00B027D9">
      <w:pPr>
        <w:pStyle w:val="Heading2"/>
      </w:pPr>
      <w:bookmarkStart w:id="14" w:name="_Toc157787030"/>
      <w:r w:rsidRPr="00B027D9">
        <w:t>(</w:t>
      </w:r>
      <w:r w:rsidRPr="00B027D9">
        <w:t>二</w:t>
      </w:r>
      <w:r w:rsidRPr="00B027D9">
        <w:t>)</w:t>
      </w:r>
      <w:r w:rsidRPr="00B027D9">
        <w:t>、企业面临的风险</w:t>
      </w:r>
      <w:bookmarkEnd w:id="14"/>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内胎项目领域，企业在运营过程中面临着多层次的风险，这些风险源于内部操作、外部环境变化以及激烈的市场竞争。为了确保企业的成功，有效的风险管理显得尤为关键。下面将详细探讨内胎项目中可能出现的各类风险，并提出相应的应对措施，以保障企业的可持续发展。</w:t>
      </w:r>
    </w:p>
    <w:p w:rsidR="00B027D9" w:rsidRPr="00B027D9" w:rsidP="00B027D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27D9">
        <w:rPr>
          <w:rFonts w:ascii="仿宋" w:eastAsia="仿宋" w:hAnsi="仿宋" w:hint="eastAsia"/>
          <w:sz w:val="28"/>
        </w:rPr>
        <w:t>一、市场需求波动风险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市场变化带来的需求波动风险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竞争对手的市场份额侵蚀风险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二、供应链风险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原材料供应不稳定风险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供应链环节的质量风险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027D9" w:rsidRPr="00B027D9" w:rsidP="00B027D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27D9">
        <w:rPr>
          <w:rFonts w:ascii="仿宋" w:eastAsia="仿宋" w:hAnsi="仿宋" w:hint="eastAsia"/>
          <w:sz w:val="28"/>
        </w:rPr>
        <w:t>三、技术与生产风险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生产设备故障风险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生产工艺变革风险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四、法律与政策风险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环保政策风险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知识产权风险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在内胎项目中，知识产权的保护至关重要。企业需防范知识产权被侵犯的风险，加强专利申请、技术保密等工作，以避免知识产权纠纷导致的市场排斥和法律诉讼风险。</w:t>
      </w:r>
    </w:p>
    <w:p w:rsidR="00B027D9" w:rsidP="00B027D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27D9">
        <w:rPr>
          <w:rFonts w:ascii="仿宋" w:eastAsia="仿宋" w:hAnsi="仿宋" w:hint="eastAsia"/>
          <w:sz w:val="28"/>
        </w:rPr>
        <w:t>通过采取上述措施，企业可以更全面、系统地管理各类风险，提高对不确定性的应对能力，从而确保内胎项目的顺利进行和企业的可持续发展。</w:t>
      </w:r>
    </w:p>
    <w:p w:rsidR="00B027D9" w:rsidP="00B027D9">
      <w:pPr>
        <w:pStyle w:val="Heading2"/>
      </w:pPr>
      <w:bookmarkStart w:id="15" w:name="_Toc157787031"/>
      <w:r w:rsidRPr="00B027D9">
        <w:t>(</w:t>
      </w:r>
      <w:r w:rsidRPr="00B027D9">
        <w:t>三</w:t>
      </w:r>
      <w:r w:rsidRPr="00B027D9">
        <w:t>)</w:t>
      </w:r>
      <w:r w:rsidRPr="00B027D9">
        <w:t>、风险成本与风险管理的目标</w:t>
      </w:r>
      <w:bookmarkEnd w:id="15"/>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风险管理一直是任何内胎项目成功实施的关键因素之一。在内胎项目中，风险管理的目标是通过系统性的方法识别、评估和应对可能影响内胎项目目标的潜在风险。为了降低内胎项目失败的风险，提高内胎项目的成功率，内胎项目团队需要在整个内胎项目生命周期中采取一系列有效的风险管理措施。</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风险成本作为风险管理的一个关键概念，在内胎项目中显得尤为重要。这指的是由于风险事件的发生可能导致的经济损失和其他负面影响所带来的费用。这些成本涵盖了直接和间接的损失，以及为了应对风险而采取的各种措施所产生的费用。考虑到内胎项目通常涉及大量资金投入，合理评估和控制风险成本对内胎项目的成功至关重要，直接影响内胎项目的资金流动和盈利能力。</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风险管理的目标之一是在内胎项目启动阶段就能预测和识别潜在风险。通过建立完善的风险识别和分析体系，内胎项目团队可以提前评估可能出现的风险，为内胎项目决策提供科学依据。评估和量化风险同样重要，通过对风险事件的发生概率和影响程度进行评估，可以为内胎项目制定合适的风险应对策略提供基础。将风险以数字形式量化有助于内胎项目管理者更好地理解整体风险影响，并作出相应决策。</w:t>
      </w:r>
    </w:p>
    <w:p w:rsidR="00B027D9" w:rsidRPr="00B027D9" w:rsidP="00B027D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27D9">
        <w:rPr>
          <w:rFonts w:ascii="仿宋" w:eastAsia="仿宋" w:hAnsi="仿宋" w:hint="eastAsia"/>
          <w:sz w:val="28"/>
        </w:rPr>
        <w:t>控制和减少风险是风险管理的核心目标。通过建立完善的风险控制体系，内胎项目团队能够制定详细的风险控制计划，并实施有效的措施，以降低内胎项目的风险水平，提高内胎项目的成功率。应对和</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处理风险同样重要，特别是在风险事件发生时，能够及时采取措施最大程度减少损失。</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监控和反馈风险是风险管理的最终目标。通过不断监控内胎项目的风险状态，及时反馈风险信息，内胎项目管理者能够做出及时决策，快速调整风险应对策略，确保内胎项目按计划进行。这有效地建立了内胎项目的风险监控和反馈机制，有助于内胎项目在变化的环境中保持灵活性和应变能力。</w:t>
      </w:r>
    </w:p>
    <w:p w:rsidR="00B027D9" w:rsidP="00B027D9">
      <w:pPr>
        <w:ind w:firstLine="560" w:firstLineChars="200"/>
        <w:rPr>
          <w:rFonts w:ascii="仿宋" w:eastAsia="仿宋" w:hAnsi="仿宋" w:hint="eastAsia"/>
          <w:sz w:val="28"/>
        </w:rPr>
      </w:pPr>
      <w:r w:rsidRPr="00B027D9">
        <w:rPr>
          <w:rFonts w:ascii="仿宋" w:eastAsia="仿宋" w:hAnsi="仿宋" w:hint="eastAsia"/>
          <w:sz w:val="28"/>
        </w:rPr>
        <w:t>在内胎项目中，综合考虑风险成本和风险管理的各内胎项目标，内胎项目团队能够更好地应对不确定性，提高内胎项目的成功率。通过合理的风险管理，内胎项目可以更顺利、更有效地达成预定的时间、成本和质量目标。</w:t>
      </w:r>
    </w:p>
    <w:p w:rsidR="00B027D9" w:rsidP="00B027D9">
      <w:pPr>
        <w:pStyle w:val="Heading2"/>
      </w:pPr>
      <w:bookmarkStart w:id="16" w:name="_Toc157787032"/>
      <w:r w:rsidRPr="00B027D9">
        <w:t>(</w:t>
      </w:r>
      <w:r w:rsidRPr="00B027D9">
        <w:t>四</w:t>
      </w:r>
      <w:r w:rsidRPr="00B027D9">
        <w:t>)</w:t>
      </w:r>
      <w:r w:rsidRPr="00B027D9">
        <w:t>、人力资本风险分析</w:t>
      </w:r>
      <w:bookmarkEnd w:id="16"/>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一、人力资本风险的界定与总览</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在内胎项目中，人力资本风险指的是由于不当的人力资源管理、员工素质欠缺或者员工频繁流动等因素引发的可能性风险。这些潜在的风险直接关系到企业的关键指标，如生产效率、产品质量以及内胎项目进展。人力资本风险分析的主要目的在于识别和评估这些风险，以帮助企业采取相应措施来降低或避免对内胎项目的不利影响。</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二、内部人力资本风险的深度分析</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员工素质风险</w:t>
      </w:r>
    </w:p>
    <w:p w:rsidR="00B027D9" w:rsidRPr="00B027D9" w:rsidP="00B027D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27D9">
        <w:rPr>
          <w:rFonts w:ascii="仿宋" w:eastAsia="仿宋" w:hAnsi="仿宋" w:hint="eastAsia"/>
          <w:sz w:val="28"/>
        </w:rPr>
        <w:t>员工在技术水平、专业知识和工作经验等方面的不足可能导致生</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产过程中出现错误、低效工作或产品质量问题。为减轻这一风险，企业应强化员工培训和技能提升计划，确保员工具备必要的技能和知识。</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员工流动风险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高离职率和频繁流动可能带来内胎项目延误、生产线断档以及知识流失等问题。为了缓解这种风险，企业可通过建立健全的员工关系、提供发展空间和培训机会，增强员工的归属感和忠诚度。</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管理能力风险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管理层在内胎项目过程中的决策、协调和沟通能力不足可能导致内胎项目进展缓慢、资源浪费以及团队合作不畅。为规避这一风险，企业需强化管理层的培训和能力提升，提高他们的领导力和组织能力。</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三、外部人力资本风险的综合分析</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1. 市场竞争风险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2. 法律法规风险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3. 技术变革风险</w:t>
      </w:r>
    </w:p>
    <w:p w:rsidR="00B027D9" w:rsidRPr="00B027D9" w:rsidP="00B027D9">
      <w:pPr>
        <w:ind w:firstLine="560" w:firstLineChars="200"/>
        <w:rPr>
          <w:rFonts w:ascii="仿宋" w:eastAsia="仿宋" w:hAnsi="仿宋" w:hint="eastAsia"/>
          <w:sz w:val="28"/>
        </w:rPr>
      </w:pPr>
      <w:r w:rsidRPr="00B027D9">
        <w:rPr>
          <w:rFonts w:ascii="仿宋" w:eastAsia="仿宋" w:hAnsi="仿宋" w:hint="eastAsia"/>
          <w:sz w:val="28"/>
        </w:rPr>
        <w:t>技术进步和市场需求变化可能导致人力资本风险。为了应对这一风险，企业需定期评估员工的技能需求并进行相应的培训和转岗安排，</w:t>
      </w:r>
      <w:r w:rsidRPr="00B027D9">
        <w:rPr>
          <w:rFonts w:ascii="仿宋" w:eastAsia="仿宋" w:hAnsi="仿宋" w:hint="eastAsia"/>
          <w:sz w:val="28"/>
        </w:rPr>
        <w:br/>
      </w:r>
      <w:r w:rsidRPr="00B027D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https://d.book118.com/807025126162006051</w:t>
        </w:r>
      </w:hyperlink>
    </w:p>
    <w:p w:rsidR="00B027D9" w:rsidRPr="00B027D9" w:rsidP="00B027D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027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027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027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27D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27D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027D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27D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027D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027D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027D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027D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027D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027D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27D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027D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027D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027D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27D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027D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27D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027D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027D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27D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27D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27D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P="00CE6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B027D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rsidRPr="00B027D9" w:rsidP="00B027D9">
    <w:pPr>
      <w:pStyle w:val="Header"/>
      <w:rPr>
        <w:rFonts w:ascii="仿宋" w:eastAsia="仿宋" w:hAnsi="仿宋"/>
      </w:rPr>
    </w:pPr>
    <w:r w:rsidRPr="00B027D9">
      <w:rPr>
        <w:rFonts w:ascii="仿宋" w:eastAsia="仿宋" w:hAnsi="仿宋" w:hint="eastAsia"/>
      </w:rPr>
      <w:t>内胎风险评估与管理报告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7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7D9"/>
    <w:rsid w:val="00883E19"/>
    <w:rsid w:val="009B05B4"/>
    <w:rsid w:val="00B027D9"/>
    <w:rsid w:val="00CE60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027D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027D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027D9"/>
    <w:rPr>
      <w:b/>
      <w:bCs/>
      <w:kern w:val="44"/>
      <w:sz w:val="44"/>
      <w:szCs w:val="44"/>
    </w:rPr>
  </w:style>
  <w:style w:type="character" w:customStyle="1" w:styleId="2Char">
    <w:name w:val="标题 2 Char"/>
    <w:basedOn w:val="DefaultParagraphFont"/>
    <w:link w:val="Heading2"/>
    <w:uiPriority w:val="9"/>
    <w:rsid w:val="00B027D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027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027D9"/>
    <w:rPr>
      <w:sz w:val="18"/>
      <w:szCs w:val="18"/>
    </w:rPr>
  </w:style>
  <w:style w:type="paragraph" w:styleId="Footer">
    <w:name w:val="footer"/>
    <w:basedOn w:val="Normal"/>
    <w:link w:val="Char0"/>
    <w:uiPriority w:val="99"/>
    <w:unhideWhenUsed/>
    <w:rsid w:val="00B027D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027D9"/>
    <w:rPr>
      <w:sz w:val="18"/>
      <w:szCs w:val="18"/>
    </w:rPr>
  </w:style>
  <w:style w:type="character" w:styleId="PageNumber">
    <w:name w:val="page number"/>
    <w:basedOn w:val="DefaultParagraphFont"/>
    <w:uiPriority w:val="99"/>
    <w:semiHidden/>
    <w:unhideWhenUsed/>
    <w:rsid w:val="00B027D9"/>
  </w:style>
  <w:style w:type="paragraph" w:styleId="TOC1">
    <w:name w:val="toc 1"/>
    <w:basedOn w:val="Normal"/>
    <w:next w:val="Normal"/>
    <w:autoRedefine/>
    <w:uiPriority w:val="39"/>
    <w:unhideWhenUsed/>
    <w:rsid w:val="00B027D9"/>
  </w:style>
  <w:style w:type="paragraph" w:styleId="TOC2">
    <w:name w:val="toc 2"/>
    <w:basedOn w:val="Normal"/>
    <w:next w:val="Normal"/>
    <w:autoRedefine/>
    <w:uiPriority w:val="39"/>
    <w:unhideWhenUsed/>
    <w:rsid w:val="00B027D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07025126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6565</Words>
  <Characters>37424</Characters>
  <Application>Microsoft Office Word</Application>
  <DocSecurity>0</DocSecurity>
  <Lines>311</Lines>
  <Paragraphs>87</Paragraphs>
  <ScaleCrop>false</ScaleCrop>
  <Company>Microsoft</Company>
  <LinksUpToDate>false</LinksUpToDate>
  <CharactersWithSpaces>43902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2024-02-02T09:22:00Z</dcterms:created>
  <dcterms:modified xsi:type="dcterms:W3CDTF">2024-02-02T09:23:00Z</dcterms:modified>
</cp:coreProperties>
</file>