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472" w:lineRule="exact"/>
        <w:ind w:firstLine="33"/>
      </w:pPr>
      <w:r>
        <w:rPr>
          <w:position w:val="-9"/>
        </w:rPr>
        <w:drawing>
          <wp:inline distT="0" distB="0" distL="0" distR="0">
            <wp:extent cx="5285232" cy="300228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85232" cy="30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Arial" w:eastAsia="Arial" w:hAnsi="Arial" w:cs="Arial"/>
          <w:sz w:val="21"/>
          <w:szCs w:val="21"/>
        </w:rPr>
        <w:id w:val="56936852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4"/>
          <w:szCs w:val="24"/>
        </w:rPr>
      </w:sdtEndPr>
      <w:sdtContent>
        <w:p>
          <w:pPr>
            <w:pStyle w:val="BodyText"/>
            <w:spacing w:before="353" w:line="178" w:lineRule="auto"/>
            <w:ind w:left="3810"/>
            <w:rPr>
              <w:sz w:val="43"/>
              <w:szCs w:val="43"/>
            </w:rPr>
          </w:pPr>
          <w:r>
            <w:rPr>
              <w:spacing w:val="-24"/>
              <w:sz w:val="43"/>
              <w:szCs w:val="43"/>
            </w:rPr>
            <w:t>目录</w:t>
          </w:r>
        </w:p>
        <w:p>
          <w:pPr>
            <w:pStyle w:val="BodyText"/>
            <w:tabs>
              <w:tab w:val="right" w:leader="dot" w:pos="8342"/>
            </w:tabs>
            <w:spacing w:before="295" w:line="237" w:lineRule="exact"/>
            <w:ind w:left="454"/>
            <w:rPr>
              <w:rFonts w:ascii="Calibri" w:eastAsia="Calibri" w:hAnsi="Calibri" w:cs="Calibri"/>
            </w:rPr>
          </w:pPr>
          <w:hyperlink w:anchor="bookmark1" w:history="1">
            <w:r>
              <w:rPr>
                <w:b/>
                <w:bCs/>
                <w:spacing w:val="-2"/>
                <w:position w:val="-1"/>
              </w:rPr>
              <w:t>摘要：</w:t>
            </w:r>
            <w:r>
              <w:rPr>
                <w:b/>
                <w:bCs/>
                <w:spacing w:val="-24"/>
                <w:position w:val="-1"/>
              </w:rPr>
              <w:t xml:space="preserve"> </w:t>
            </w:r>
            <w:r>
              <w:rPr>
                <w:b/>
                <w:bCs/>
                <w:position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  <w:spacing w:val="21"/>
                <w:w w:val="119"/>
                <w:position w:val="-1"/>
              </w:rPr>
              <w:t>3</w:t>
            </w:r>
          </w:hyperlink>
        </w:p>
        <w:p>
          <w:pPr>
            <w:spacing w:line="282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8342"/>
            </w:tabs>
            <w:spacing w:before="103" w:line="237" w:lineRule="exact"/>
            <w:ind w:left="458"/>
            <w:rPr>
              <w:rFonts w:ascii="Calibri" w:eastAsia="Calibri" w:hAnsi="Calibri" w:cs="Calibri"/>
            </w:rPr>
          </w:pPr>
          <w:hyperlink w:anchor="bookmark2" w:history="1">
            <w:r>
              <w:rPr>
                <w:b/>
                <w:bCs/>
                <w:spacing w:val="-1"/>
                <w:position w:val="-1"/>
              </w:rPr>
              <w:t>一、租赁行业动态</w:t>
            </w:r>
            <w:r>
              <w:rPr>
                <w:b/>
                <w:bCs/>
                <w:spacing w:val="-26"/>
                <w:position w:val="-1"/>
              </w:rPr>
              <w:t xml:space="preserve"> </w:t>
            </w:r>
            <w:r>
              <w:rPr>
                <w:b/>
                <w:bCs/>
                <w:position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  <w:spacing w:val="16"/>
                <w:w w:val="136"/>
                <w:position w:val="-1"/>
              </w:rPr>
              <w:t>4</w:t>
            </w:r>
          </w:hyperlink>
        </w:p>
        <w:p>
          <w:pPr>
            <w:spacing w:line="283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8340"/>
            </w:tabs>
            <w:spacing w:before="103" w:line="236" w:lineRule="exact"/>
            <w:ind w:left="476"/>
            <w:rPr>
              <w:rFonts w:ascii="Calibri" w:eastAsia="Calibri" w:hAnsi="Calibri" w:cs="Calibri"/>
            </w:rPr>
          </w:pPr>
          <w:hyperlink w:anchor="bookmark3" w:history="1">
            <w:r>
              <w:rPr>
                <w:spacing w:val="-4"/>
                <w:position w:val="-1"/>
              </w:rPr>
              <w:t>1、</w:t>
            </w:r>
            <w:r>
              <w:rPr>
                <w:spacing w:val="53"/>
                <w:position w:val="-1"/>
              </w:rPr>
              <w:t xml:space="preserve"> </w:t>
            </w:r>
            <w:r>
              <w:rPr>
                <w:spacing w:val="-4"/>
                <w:position w:val="-1"/>
              </w:rPr>
              <w:t>重点政策解读</w:t>
            </w:r>
            <w:r>
              <w:rPr>
                <w:spacing w:val="-22"/>
                <w:position w:val="-1"/>
              </w:rPr>
              <w:t xml:space="preserve"> </w:t>
            </w:r>
            <w:r>
              <w:rPr>
                <w:position w:val="-1"/>
              </w:rPr>
              <w:tab/>
            </w:r>
            <w:r>
              <w:rPr>
                <w:rFonts w:ascii="Calibri" w:eastAsia="Calibri" w:hAnsi="Calibri" w:cs="Calibri"/>
                <w:spacing w:val="11"/>
                <w:w w:val="122"/>
                <w:position w:val="-1"/>
              </w:rPr>
              <w:t>4</w:t>
            </w:r>
          </w:hyperlink>
        </w:p>
        <w:p>
          <w:pPr>
            <w:spacing w:line="280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8340"/>
            </w:tabs>
            <w:spacing w:before="104" w:line="238" w:lineRule="exact"/>
            <w:ind w:left="465"/>
            <w:rPr>
              <w:rFonts w:ascii="Calibri" w:eastAsia="Calibri" w:hAnsi="Calibri" w:cs="Calibri"/>
            </w:rPr>
          </w:pPr>
          <w:hyperlink w:anchor="bookmark4" w:history="1">
            <w:r>
              <w:rPr>
                <w:spacing w:val="-2"/>
                <w:position w:val="-1"/>
              </w:rPr>
              <w:t>2、</w:t>
            </w:r>
            <w:r>
              <w:rPr>
                <w:spacing w:val="54"/>
                <w:position w:val="-1"/>
              </w:rPr>
              <w:t xml:space="preserve"> </w:t>
            </w:r>
            <w:r>
              <w:rPr>
                <w:spacing w:val="-2"/>
                <w:position w:val="-1"/>
              </w:rPr>
              <w:t>保障性租赁住房动态</w:t>
            </w:r>
            <w:r>
              <w:rPr>
                <w:spacing w:val="-22"/>
                <w:position w:val="-1"/>
              </w:rPr>
              <w:t xml:space="preserve"> </w:t>
            </w:r>
            <w:r>
              <w:rPr>
                <w:position w:val="-1"/>
              </w:rPr>
              <w:tab/>
            </w:r>
            <w:r>
              <w:rPr>
                <w:rFonts w:ascii="Calibri" w:eastAsia="Calibri" w:hAnsi="Calibri" w:cs="Calibri"/>
                <w:spacing w:val="19"/>
                <w:w w:val="115"/>
                <w:position w:val="-1"/>
              </w:rPr>
              <w:t>6</w:t>
            </w:r>
          </w:hyperlink>
        </w:p>
        <w:p>
          <w:pPr>
            <w:spacing w:line="281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8342"/>
            </w:tabs>
            <w:spacing w:before="104" w:line="239" w:lineRule="exact"/>
            <w:ind w:left="458"/>
            <w:rPr>
              <w:rFonts w:ascii="Calibri" w:eastAsia="Calibri" w:hAnsi="Calibri" w:cs="Calibri"/>
            </w:rPr>
          </w:pPr>
          <w:hyperlink w:anchor="bookmark5" w:history="1">
            <w:r>
              <w:rPr>
                <w:b/>
                <w:bCs/>
                <w:spacing w:val="-2"/>
                <w:position w:val="-1"/>
              </w:rPr>
              <w:t>二、全国 40 城租赁市场表现情况</w:t>
            </w:r>
            <w:r>
              <w:rPr>
                <w:b/>
                <w:bCs/>
                <w:spacing w:val="-24"/>
                <w:position w:val="-1"/>
              </w:rPr>
              <w:t xml:space="preserve"> </w:t>
            </w:r>
            <w:r>
              <w:rPr>
                <w:b/>
                <w:bCs/>
                <w:position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  <w:spacing w:val="14"/>
                <w:w w:val="125"/>
                <w:position w:val="-1"/>
              </w:rPr>
              <w:t>8</w:t>
            </w:r>
          </w:hyperlink>
        </w:p>
        <w:p>
          <w:pPr>
            <w:spacing w:line="279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8342"/>
            </w:tabs>
            <w:spacing w:before="103" w:line="239" w:lineRule="exact"/>
            <w:ind w:left="476"/>
            <w:rPr>
              <w:rFonts w:ascii="Calibri" w:eastAsia="Calibri" w:hAnsi="Calibri" w:cs="Calibri"/>
            </w:rPr>
          </w:pPr>
          <w:hyperlink w:anchor="bookmark6" w:history="1">
            <w:r>
              <w:rPr>
                <w:spacing w:val="-3"/>
                <w:position w:val="-1"/>
              </w:rPr>
              <w:t>1、安居客全国 40 城租赁市场景气度情况</w:t>
            </w:r>
            <w:r>
              <w:rPr>
                <w:spacing w:val="-10"/>
                <w:position w:val="-1"/>
              </w:rPr>
              <w:t xml:space="preserve"> </w:t>
            </w:r>
            <w:r>
              <w:rPr>
                <w:position w:val="-1"/>
              </w:rPr>
              <w:tab/>
            </w:r>
            <w:r>
              <w:rPr>
                <w:rFonts w:ascii="Calibri" w:eastAsia="Calibri" w:hAnsi="Calibri" w:cs="Calibri"/>
                <w:spacing w:val="29"/>
                <w:w w:val="125"/>
                <w:position w:val="-1"/>
              </w:rPr>
              <w:t>8</w:t>
            </w:r>
          </w:hyperlink>
        </w:p>
        <w:p>
          <w:pPr>
            <w:spacing w:line="280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8342"/>
            </w:tabs>
            <w:spacing w:before="103" w:line="240" w:lineRule="exact"/>
            <w:ind w:left="465"/>
            <w:rPr>
              <w:rFonts w:ascii="Calibri" w:eastAsia="Calibri" w:hAnsi="Calibri" w:cs="Calibri"/>
            </w:rPr>
          </w:pPr>
          <w:hyperlink w:anchor="bookmark7" w:history="1">
            <w:r>
              <w:rPr>
                <w:spacing w:val="-2"/>
                <w:position w:val="-1"/>
              </w:rPr>
              <w:t>2、安居客全国 40 城租赁价格指数情况</w:t>
            </w:r>
            <w:r>
              <w:rPr>
                <w:spacing w:val="-22"/>
                <w:position w:val="-1"/>
              </w:rPr>
              <w:t xml:space="preserve"> </w:t>
            </w:r>
            <w:r>
              <w:rPr>
                <w:position w:val="-1"/>
              </w:rPr>
              <w:tab/>
            </w:r>
            <w:r>
              <w:rPr>
                <w:rFonts w:ascii="Calibri" w:eastAsia="Calibri" w:hAnsi="Calibri" w:cs="Calibri"/>
                <w:spacing w:val="29"/>
                <w:w w:val="125"/>
                <w:position w:val="-1"/>
              </w:rPr>
              <w:t>9</w:t>
            </w:r>
          </w:hyperlink>
        </w:p>
        <w:p>
          <w:pPr>
            <w:pStyle w:val="BodyText"/>
            <w:tabs>
              <w:tab w:val="right" w:leader="dot" w:pos="8342"/>
            </w:tabs>
            <w:spacing w:before="341" w:line="181" w:lineRule="auto"/>
            <w:ind w:left="492"/>
            <w:rPr>
              <w:rFonts w:ascii="Calibri" w:eastAsia="Calibri" w:hAnsi="Calibri" w:cs="Calibri"/>
            </w:rPr>
          </w:pPr>
          <w:hyperlink w:anchor="bookmark8" w:history="1">
            <w:r>
              <w:rPr>
                <w:spacing w:val="-4"/>
              </w:rPr>
              <w:t>（1）安居客全国 40 城租赁价格指数</w:t>
            </w:r>
            <w:r>
              <w:rPr>
                <w:spacing w:val="-13"/>
              </w:rPr>
              <w:t xml:space="preserve"> </w:t>
            </w:r>
            <w:r>
              <w:tab/>
            </w:r>
            <w:r>
              <w:rPr>
                <w:rFonts w:ascii="Calibri" w:eastAsia="Calibri" w:hAnsi="Calibri" w:cs="Calibri"/>
                <w:spacing w:val="29"/>
                <w:w w:val="125"/>
              </w:rPr>
              <w:t>9</w:t>
            </w:r>
          </w:hyperlink>
        </w:p>
        <w:p>
          <w:pPr>
            <w:pStyle w:val="BodyText"/>
            <w:tabs>
              <w:tab w:val="right" w:leader="dot" w:pos="8342"/>
            </w:tabs>
            <w:spacing w:before="313" w:line="181" w:lineRule="auto"/>
            <w:ind w:left="492"/>
            <w:rPr>
              <w:rFonts w:ascii="Calibri" w:eastAsia="Calibri" w:hAnsi="Calibri" w:cs="Calibri"/>
            </w:rPr>
          </w:pPr>
          <w:hyperlink w:anchor="bookmark9" w:history="1">
            <w:r>
              <w:rPr>
                <w:spacing w:val="-3"/>
              </w:rPr>
              <w:t>（2）安居客全国 40 城租赁价格分类</w:t>
            </w:r>
            <w:r>
              <w:rPr>
                <w:spacing w:val="-4"/>
              </w:rPr>
              <w:t>指数</w:t>
            </w:r>
            <w:r>
              <w:rPr>
                <w:spacing w:val="-24"/>
              </w:rPr>
              <w:t xml:space="preserve"> </w:t>
            </w:r>
            <w:r>
              <w:tab/>
            </w:r>
            <w:r>
              <w:rPr>
                <w:rFonts w:ascii="Calibri" w:eastAsia="Calibri" w:hAnsi="Calibri" w:cs="Calibri"/>
                <w:spacing w:val="29"/>
              </w:rPr>
              <w:t>10</w:t>
            </w:r>
          </w:hyperlink>
        </w:p>
        <w:p>
          <w:pPr>
            <w:spacing w:line="253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8342"/>
            </w:tabs>
            <w:spacing w:before="103" w:line="239" w:lineRule="exact"/>
            <w:ind w:left="468"/>
            <w:rPr>
              <w:rFonts w:ascii="Calibri" w:eastAsia="Calibri" w:hAnsi="Calibri" w:cs="Calibri"/>
            </w:rPr>
          </w:pPr>
          <w:hyperlink w:anchor="bookmark10" w:history="1">
            <w:r>
              <w:rPr>
                <w:spacing w:val="-3"/>
                <w:position w:val="-1"/>
              </w:rPr>
              <w:t>3、全国 40 城租赁市场供需表现情况</w:t>
            </w:r>
            <w:r>
              <w:rPr>
                <w:spacing w:val="-8"/>
                <w:position w:val="-1"/>
              </w:rPr>
              <w:t xml:space="preserve"> </w:t>
            </w:r>
            <w:r>
              <w:rPr>
                <w:position w:val="-1"/>
              </w:rPr>
              <w:tab/>
            </w:r>
            <w:r>
              <w:rPr>
                <w:rFonts w:ascii="Calibri" w:eastAsia="Calibri" w:hAnsi="Calibri" w:cs="Calibri"/>
                <w:spacing w:val="29"/>
                <w:position w:val="-1"/>
              </w:rPr>
              <w:t>12</w:t>
            </w:r>
          </w:hyperlink>
        </w:p>
        <w:p>
          <w:pPr>
            <w:spacing w:line="281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8342"/>
            </w:tabs>
            <w:spacing w:before="104" w:line="238" w:lineRule="exact"/>
            <w:ind w:left="458"/>
            <w:rPr>
              <w:rFonts w:ascii="Calibri" w:eastAsia="Calibri" w:hAnsi="Calibri" w:cs="Calibri"/>
            </w:rPr>
          </w:pPr>
          <w:hyperlink w:anchor="bookmark11" w:history="1">
            <w:r>
              <w:rPr>
                <w:b/>
                <w:bCs/>
                <w:spacing w:val="-2"/>
                <w:position w:val="-1"/>
              </w:rPr>
              <w:t>三、重点 10 城租赁市场供需表现情况</w:t>
            </w:r>
            <w:r>
              <w:rPr>
                <w:b/>
                <w:bCs/>
                <w:spacing w:val="-20"/>
                <w:position w:val="-1"/>
              </w:rPr>
              <w:t xml:space="preserve"> </w:t>
            </w:r>
            <w:r>
              <w:rPr>
                <w:b/>
                <w:bCs/>
                <w:position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  <w:spacing w:val="9"/>
                <w:position w:val="-1"/>
              </w:rPr>
              <w:t>14</w:t>
            </w:r>
          </w:hyperlink>
        </w:p>
        <w:p>
          <w:pPr>
            <w:spacing w:line="281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8342"/>
            </w:tabs>
            <w:spacing w:before="103" w:line="237" w:lineRule="exact"/>
            <w:ind w:left="476"/>
            <w:rPr>
              <w:rFonts w:ascii="Calibri" w:eastAsia="Calibri" w:hAnsi="Calibri" w:cs="Calibri"/>
            </w:rPr>
          </w:pPr>
          <w:hyperlink w:anchor="bookmark12" w:history="1">
            <w:r>
              <w:rPr>
                <w:spacing w:val="-3"/>
                <w:position w:val="-1"/>
              </w:rPr>
              <w:t>1、1-2 月重点 10 城租赁价格供需情况</w:t>
            </w:r>
            <w:r>
              <w:rPr>
                <w:spacing w:val="-19"/>
                <w:position w:val="-1"/>
              </w:rPr>
              <w:t xml:space="preserve"> </w:t>
            </w:r>
            <w:r>
              <w:rPr>
                <w:position w:val="-1"/>
              </w:rPr>
              <w:tab/>
            </w:r>
            <w:r>
              <w:rPr>
                <w:rFonts w:ascii="Calibri" w:eastAsia="Calibri" w:hAnsi="Calibri" w:cs="Calibri"/>
                <w:spacing w:val="17"/>
                <w:position w:val="-1"/>
              </w:rPr>
              <w:t>14</w:t>
            </w:r>
          </w:hyperlink>
        </w:p>
        <w:p>
          <w:pPr>
            <w:pStyle w:val="BodyText"/>
            <w:tabs>
              <w:tab w:val="right" w:leader="dot" w:pos="8340"/>
            </w:tabs>
            <w:spacing w:before="341" w:line="181" w:lineRule="auto"/>
            <w:ind w:left="492"/>
            <w:rPr>
              <w:rFonts w:ascii="Calibri" w:eastAsia="Calibri" w:hAnsi="Calibri" w:cs="Calibri"/>
            </w:rPr>
          </w:pPr>
          <w:hyperlink w:anchor="bookmark13" w:history="1">
            <w:r>
              <w:rPr>
                <w:spacing w:val="-3"/>
              </w:rPr>
              <w:t>（1）一线城市租赁价格供需变化</w:t>
            </w:r>
            <w:r>
              <w:rPr>
                <w:spacing w:val="-22"/>
              </w:rPr>
              <w:t xml:space="preserve"> </w:t>
            </w:r>
            <w:r>
              <w:tab/>
            </w:r>
            <w:r>
              <w:rPr>
                <w:rFonts w:ascii="Calibri" w:eastAsia="Calibri" w:hAnsi="Calibri" w:cs="Calibri"/>
                <w:spacing w:val="18"/>
              </w:rPr>
              <w:t>14</w:t>
            </w:r>
          </w:hyperlink>
        </w:p>
        <w:p>
          <w:pPr>
            <w:pStyle w:val="BodyText"/>
            <w:tabs>
              <w:tab w:val="right" w:leader="dot" w:pos="8340"/>
            </w:tabs>
            <w:spacing w:before="314" w:line="181" w:lineRule="auto"/>
            <w:ind w:left="492"/>
            <w:rPr>
              <w:rFonts w:ascii="Calibri" w:eastAsia="Calibri" w:hAnsi="Calibri" w:cs="Calibri"/>
            </w:rPr>
          </w:pPr>
          <w:hyperlink w:anchor="bookmark14" w:history="1">
            <w:r>
              <w:rPr>
                <w:spacing w:val="-3"/>
              </w:rPr>
              <w:t>（2）</w:t>
            </w:r>
            <w:r>
              <w:rPr>
                <w:spacing w:val="55"/>
                <w:w w:val="101"/>
              </w:rPr>
              <w:t xml:space="preserve"> </w:t>
            </w:r>
            <w:r>
              <w:rPr>
                <w:spacing w:val="-3"/>
              </w:rPr>
              <w:t>重点二线城市租赁价格供需变化</w:t>
            </w:r>
            <w:r>
              <w:rPr>
                <w:spacing w:val="-22"/>
              </w:rPr>
              <w:t xml:space="preserve"> </w:t>
            </w:r>
            <w:r>
              <w:tab/>
            </w:r>
            <w:r>
              <w:rPr>
                <w:rFonts w:ascii="Calibri" w:eastAsia="Calibri" w:hAnsi="Calibri" w:cs="Calibri"/>
                <w:spacing w:val="18"/>
              </w:rPr>
              <w:t>14</w:t>
            </w:r>
          </w:hyperlink>
        </w:p>
        <w:p>
          <w:pPr>
            <w:spacing w:line="253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8342"/>
            </w:tabs>
            <w:spacing w:before="103" w:line="239" w:lineRule="exact"/>
            <w:ind w:left="465"/>
            <w:rPr>
              <w:rFonts w:ascii="Calibri" w:eastAsia="Calibri" w:hAnsi="Calibri" w:cs="Calibri"/>
            </w:rPr>
          </w:pPr>
          <w:hyperlink w:anchor="bookmark15" w:history="1">
            <w:r>
              <w:rPr>
                <w:spacing w:val="-3"/>
                <w:position w:val="-1"/>
              </w:rPr>
              <w:t>2、1-2 月重点 10 城租赁户型供需情况</w:t>
            </w:r>
            <w:r>
              <w:rPr>
                <w:spacing w:val="-8"/>
                <w:position w:val="-1"/>
              </w:rPr>
              <w:t xml:space="preserve"> </w:t>
            </w:r>
            <w:r>
              <w:rPr>
                <w:position w:val="-1"/>
              </w:rPr>
              <w:tab/>
            </w:r>
            <w:r>
              <w:rPr>
                <w:rFonts w:ascii="Calibri" w:eastAsia="Calibri" w:hAnsi="Calibri" w:cs="Calibri"/>
                <w:spacing w:val="17"/>
                <w:position w:val="-1"/>
              </w:rPr>
              <w:t>15</w:t>
            </w:r>
          </w:hyperlink>
        </w:p>
        <w:p>
          <w:pPr>
            <w:pStyle w:val="BodyText"/>
            <w:tabs>
              <w:tab w:val="right" w:leader="dot" w:pos="8340"/>
            </w:tabs>
            <w:spacing w:before="341" w:line="181" w:lineRule="auto"/>
            <w:ind w:left="492"/>
            <w:rPr>
              <w:rFonts w:ascii="Calibri" w:eastAsia="Calibri" w:hAnsi="Calibri" w:cs="Calibri"/>
            </w:rPr>
          </w:pPr>
          <w:hyperlink w:anchor="bookmark16" w:history="1">
            <w:r>
              <w:rPr>
                <w:spacing w:val="-4"/>
              </w:rPr>
              <w:t>（1）</w:t>
            </w:r>
            <w:r>
              <w:rPr>
                <w:spacing w:val="64"/>
                <w:w w:val="101"/>
              </w:rPr>
              <w:t xml:space="preserve"> </w:t>
            </w:r>
            <w:r>
              <w:rPr>
                <w:spacing w:val="-4"/>
              </w:rPr>
              <w:t>一线城市租赁户型供需变化</w:t>
            </w:r>
            <w:r>
              <w:rPr>
                <w:spacing w:val="-22"/>
              </w:rPr>
              <w:t xml:space="preserve"> </w:t>
            </w:r>
            <w:r>
              <w:tab/>
            </w:r>
            <w:r>
              <w:rPr>
                <w:rFonts w:ascii="Calibri" w:eastAsia="Calibri" w:hAnsi="Calibri" w:cs="Calibri"/>
                <w:spacing w:val="18"/>
              </w:rPr>
              <w:t>15</w:t>
            </w:r>
          </w:hyperlink>
        </w:p>
        <w:p>
          <w:pPr>
            <w:pStyle w:val="BodyText"/>
            <w:tabs>
              <w:tab w:val="right" w:leader="dot" w:pos="8340"/>
            </w:tabs>
            <w:spacing w:before="314" w:line="221" w:lineRule="auto"/>
            <w:ind w:left="492"/>
            <w:rPr>
              <w:rFonts w:ascii="Calibri" w:eastAsia="Calibri" w:hAnsi="Calibri" w:cs="Calibri"/>
            </w:rPr>
          </w:pPr>
          <w:hyperlink w:anchor="bookmark17" w:history="1">
            <w:r>
              <w:rPr>
                <w:spacing w:val="-3"/>
              </w:rPr>
              <w:t>（2）</w:t>
            </w:r>
            <w:r>
              <w:rPr>
                <w:spacing w:val="55"/>
                <w:w w:val="101"/>
              </w:rPr>
              <w:t xml:space="preserve"> </w:t>
            </w:r>
            <w:r>
              <w:rPr>
                <w:spacing w:val="-3"/>
              </w:rPr>
              <w:t>重点二线城市租赁户型供需变化</w:t>
            </w:r>
            <w:r>
              <w:rPr>
                <w:spacing w:val="-22"/>
              </w:rPr>
              <w:t xml:space="preserve"> </w:t>
            </w:r>
            <w:r>
              <w:tab/>
            </w:r>
            <w:r>
              <w:rPr>
                <w:rFonts w:ascii="Calibri" w:eastAsia="Calibri" w:hAnsi="Calibri" w:cs="Calibri"/>
                <w:spacing w:val="18"/>
              </w:rPr>
              <w:t>16</w:t>
            </w:r>
          </w:hyperlink>
        </w:p>
      </w:sdtContent>
    </w:sdt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  <w:sectPr>
          <w:pgSz w:w="11906" w:h="16839"/>
          <w:pgMar w:top="909" w:right="1691" w:bottom="0" w:left="1766" w:header="0" w:footer="0" w:gutter="0"/>
          <w:cols w:space="708"/>
        </w:sect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pStyle w:val="BodyText"/>
        <w:spacing w:line="331" w:lineRule="exact"/>
      </w:pPr>
      <w:r>
        <w:rPr>
          <w:position w:val="-6"/>
        </w:rPr>
        <w:pict>
          <v:group id="_x0000_i1025" style="width:422.4pt;height:16.6pt;mso-position-horizontal-relative:char;mso-position-vertical-relative:line" coordorigin="0,0" coordsize="8447,332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8447;height:332;position:absolute" filled="f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8487;height:372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1" w:line="226" w:lineRule="auto"/>
                      <w:ind w:left="53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D8D8D8"/>
                        <w:sz w:val="18"/>
                        <w:szCs w:val="18"/>
                      </w:rPr>
                      <w:t>合作洽谈联系方式</w:t>
                    </w:r>
                    <w:r>
                      <w:rPr>
                        <w:rFonts w:ascii="Microsoft YaHei" w:eastAsia="Microsoft YaHei" w:hAnsi="Microsoft YaHei" w:cs="Microsoft YaHei"/>
                        <w:color w:val="D8D8D8"/>
                        <w:spacing w:val="-1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D8D8D8"/>
                        <w:sz w:val="18"/>
                        <w:szCs w:val="18"/>
                      </w:rPr>
                      <w:t xml:space="preserve">：baomei@58.com                                      </w:t>
                    </w:r>
                    <w:r>
                      <w:rPr>
                        <w:rFonts w:ascii="Microsoft YaHei" w:eastAsia="Microsoft YaHei" w:hAnsi="Microsoft YaHei" w:cs="Microsoft YaHei"/>
                        <w:color w:val="D8D8D8"/>
                        <w:spacing w:val="-1"/>
                        <w:sz w:val="18"/>
                        <w:szCs w:val="18"/>
                      </w:rPr>
                      <w:t xml:space="preserve">                                                          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4"/>
                        <w:sz w:val="18"/>
                        <w:szCs w:val="18"/>
                      </w:rPr>
                      <w:t>2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31" w:lineRule="exact"/>
        <w:sectPr>
          <w:type w:val="nextPage"/>
          <w:pgSz w:w="11906" w:h="16839"/>
          <w:pgMar w:top="909" w:right="1691" w:bottom="0" w:left="1766" w:header="0" w:footer="0" w:gutter="0"/>
          <w:pgNumType w:start="2"/>
          <w:cols w:space="708"/>
          <w:titlePg w:val="0"/>
        </w:sectPr>
      </w:pPr>
    </w:p>
    <w:p>
      <w:pPr>
        <w:spacing w:line="472" w:lineRule="exact"/>
        <w:ind w:firstLine="33"/>
      </w:pPr>
      <w:r>
        <w:rPr>
          <w:position w:val="-9"/>
        </w:rPr>
        <w:drawing>
          <wp:inline distT="0" distB="0" distL="0" distR="0">
            <wp:extent cx="5285232" cy="300228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85232" cy="30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24" w:line="187" w:lineRule="auto"/>
        <w:ind w:left="35"/>
        <w:outlineLvl w:val="0"/>
        <w:rPr>
          <w:sz w:val="31"/>
          <w:szCs w:val="31"/>
        </w:rPr>
      </w:pPr>
      <w:bookmarkStart w:id="0" w:name="bookmark1"/>
      <w:bookmarkEnd w:id="0"/>
      <w:r>
        <w:rPr>
          <w:b/>
          <w:bCs/>
          <w:color w:val="207D4F"/>
          <w:spacing w:val="4"/>
          <w:sz w:val="31"/>
          <w:szCs w:val="31"/>
        </w:rPr>
        <w:t>摘要：</w:t>
      </w:r>
    </w:p>
    <w:p>
      <w:pPr>
        <w:spacing w:line="289" w:lineRule="auto"/>
        <w:rPr>
          <w:rFonts w:ascii="Arial"/>
          <w:sz w:val="21"/>
        </w:rPr>
      </w:pPr>
    </w:p>
    <w:p>
      <w:pPr>
        <w:pStyle w:val="BodyText"/>
        <w:spacing w:before="94" w:line="399" w:lineRule="auto"/>
        <w:ind w:left="466" w:right="105" w:hanging="417"/>
        <w:rPr>
          <w:sz w:val="22"/>
          <w:szCs w:val="22"/>
        </w:rPr>
      </w:pPr>
      <w:r>
        <w:rPr>
          <w:rFonts w:ascii="Wingdings" w:eastAsia="Wingdings" w:hAnsi="Wingdings" w:cs="Wingdings"/>
          <w:spacing w:val="-5"/>
          <w:sz w:val="22"/>
          <w:szCs w:val="22"/>
        </w:rPr>
        <w:t xml:space="preserve">. </w:t>
      </w:r>
      <w:r>
        <w:rPr>
          <w:spacing w:val="-5"/>
          <w:sz w:val="22"/>
          <w:szCs w:val="22"/>
        </w:rPr>
        <w:t>根据 1-2 月安居客租赁市场景气度指数显示，进入一季度后，随着市场供</w:t>
      </w:r>
      <w:r>
        <w:rPr>
          <w:spacing w:val="-6"/>
          <w:sz w:val="22"/>
          <w:szCs w:val="22"/>
        </w:rPr>
        <w:t>需的逐步</w:t>
      </w:r>
      <w:r>
        <w:rPr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回升</w:t>
      </w:r>
      <w:r>
        <w:rPr>
          <w:spacing w:val="-3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，市场温度呈现小幅回升趋势。2 月</w:t>
      </w:r>
      <w:r>
        <w:rPr>
          <w:spacing w:val="-3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，全国 40 城租赁市场景气度指数上升至</w:t>
      </w:r>
    </w:p>
    <w:p>
      <w:pPr>
        <w:pStyle w:val="BodyText"/>
        <w:spacing w:line="184" w:lineRule="auto"/>
        <w:ind w:left="464"/>
        <w:rPr>
          <w:sz w:val="22"/>
          <w:szCs w:val="22"/>
        </w:rPr>
      </w:pPr>
      <w:r>
        <w:rPr>
          <w:spacing w:val="-2"/>
          <w:sz w:val="22"/>
          <w:szCs w:val="22"/>
        </w:rPr>
        <w:t>64.6</w:t>
      </w:r>
      <w:r>
        <w:rPr>
          <w:spacing w:val="-3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，但租赁市场整体仍处于冷的区间状态。</w:t>
      </w:r>
    </w:p>
    <w:p>
      <w:pPr>
        <w:pStyle w:val="BodyText"/>
        <w:spacing w:before="326" w:line="390" w:lineRule="auto"/>
        <w:ind w:left="452" w:right="105" w:hanging="403"/>
        <w:rPr>
          <w:sz w:val="22"/>
          <w:szCs w:val="22"/>
        </w:rPr>
      </w:pPr>
      <w:r>
        <w:rPr>
          <w:rFonts w:ascii="Wingdings" w:eastAsia="Wingdings" w:hAnsi="Wingdings" w:cs="Wingdings"/>
          <w:spacing w:val="-6"/>
          <w:sz w:val="22"/>
          <w:szCs w:val="22"/>
        </w:rPr>
        <w:t>.</w:t>
      </w:r>
      <w:r>
        <w:rPr>
          <w:rFonts w:ascii="Wingdings" w:eastAsia="Wingdings" w:hAnsi="Wingdings" w:cs="Wingdings"/>
          <w:spacing w:val="58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>1 月至 2 月，全国 40 城租赁</w:t>
      </w:r>
      <w:r>
        <w:rPr>
          <w:spacing w:val="-7"/>
          <w:sz w:val="22"/>
          <w:szCs w:val="22"/>
        </w:rPr>
        <w:t>市场挂牌价格环比呈现回升态势。根据安居客全国 40</w:t>
      </w:r>
      <w:r>
        <w:rPr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城租赁价格指数显示，2 月有 26 个城市租赁价格指数环比小幅上涨，上涨城市较 1</w:t>
      </w:r>
      <w:r>
        <w:rPr>
          <w:spacing w:val="1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月增加 7 个。</w:t>
      </w:r>
      <w:r>
        <w:rPr>
          <w:spacing w:val="-4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同时</w:t>
      </w:r>
      <w:r>
        <w:rPr>
          <w:spacing w:val="-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，整体价格指数波动幅度收窄</w:t>
      </w:r>
      <w:r>
        <w:rPr>
          <w:spacing w:val="-3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，37 个城市租</w:t>
      </w:r>
      <w:r>
        <w:rPr>
          <w:spacing w:val="-2"/>
          <w:sz w:val="22"/>
          <w:szCs w:val="22"/>
        </w:rPr>
        <w:t>赁价格指数环比波</w:t>
      </w:r>
    </w:p>
    <w:p>
      <w:pPr>
        <w:pStyle w:val="BodyText"/>
        <w:spacing w:before="1" w:line="226" w:lineRule="auto"/>
        <w:ind w:left="455"/>
        <w:rPr>
          <w:sz w:val="22"/>
          <w:szCs w:val="22"/>
        </w:rPr>
      </w:pPr>
      <w:r>
        <w:rPr>
          <w:spacing w:val="-2"/>
          <w:sz w:val="22"/>
          <w:szCs w:val="22"/>
        </w:rPr>
        <w:t>动幅度在 2%以内。</w:t>
      </w:r>
    </w:p>
    <w:p>
      <w:pPr>
        <w:pStyle w:val="BodyText"/>
        <w:spacing w:before="269" w:line="409" w:lineRule="auto"/>
        <w:ind w:left="452" w:right="105" w:hanging="403"/>
        <w:rPr>
          <w:sz w:val="22"/>
          <w:szCs w:val="22"/>
        </w:rPr>
      </w:pPr>
      <w:r>
        <w:rPr>
          <w:rFonts w:ascii="Wingdings" w:eastAsia="Wingdings" w:hAnsi="Wingdings" w:cs="Wingdings"/>
          <w:spacing w:val="-7"/>
          <w:sz w:val="22"/>
          <w:szCs w:val="22"/>
        </w:rPr>
        <w:t>.</w:t>
      </w:r>
      <w:r>
        <w:rPr>
          <w:rFonts w:ascii="Wingdings" w:eastAsia="Wingdings" w:hAnsi="Wingdings" w:cs="Wingdings"/>
          <w:spacing w:val="48"/>
          <w:sz w:val="22"/>
          <w:szCs w:val="22"/>
        </w:rPr>
        <w:t xml:space="preserve"> </w:t>
      </w:r>
      <w:r>
        <w:rPr>
          <w:spacing w:val="-7"/>
          <w:sz w:val="22"/>
          <w:szCs w:val="22"/>
        </w:rPr>
        <w:t>2 月，全国 40 城租赁新增挂牌房源供应量</w:t>
      </w:r>
      <w:r>
        <w:rPr>
          <w:spacing w:val="-8"/>
          <w:sz w:val="22"/>
          <w:szCs w:val="22"/>
        </w:rPr>
        <w:t>环比回升 14.6%，自 23 年下半年以来首</w:t>
      </w:r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次环比回升</w:t>
      </w:r>
      <w:r>
        <w:rPr>
          <w:spacing w:val="-3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，但租赁新增挂牌表现弱于去年同期。根据安居客监测数据显示</w:t>
      </w:r>
      <w:r>
        <w:rPr>
          <w:spacing w:val="-3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，2 月</w:t>
      </w:r>
    </w:p>
    <w:p>
      <w:pPr>
        <w:pStyle w:val="BodyText"/>
        <w:spacing w:line="184" w:lineRule="auto"/>
        <w:ind w:left="466"/>
        <w:rPr>
          <w:sz w:val="22"/>
          <w:szCs w:val="22"/>
        </w:rPr>
      </w:pPr>
      <w:r>
        <w:rPr>
          <w:spacing w:val="-2"/>
          <w:sz w:val="22"/>
          <w:szCs w:val="22"/>
        </w:rPr>
        <w:t>35 个城市租赁新增挂牌供应环比上涨</w:t>
      </w:r>
      <w:r>
        <w:rPr>
          <w:spacing w:val="-3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，仅 5 个城市新增挂牌供</w:t>
      </w:r>
      <w:r>
        <w:rPr>
          <w:spacing w:val="-3"/>
          <w:sz w:val="22"/>
          <w:szCs w:val="22"/>
        </w:rPr>
        <w:t>应环比下跌。</w:t>
      </w:r>
    </w:p>
    <w:p>
      <w:pPr>
        <w:pStyle w:val="BodyText"/>
        <w:spacing w:before="294" w:line="397" w:lineRule="auto"/>
        <w:ind w:left="453" w:right="37" w:hanging="404"/>
        <w:rPr>
          <w:sz w:val="22"/>
          <w:szCs w:val="22"/>
        </w:rPr>
      </w:pPr>
      <w:r>
        <w:rPr>
          <w:rFonts w:ascii="Wingdings" w:eastAsia="Wingdings" w:hAnsi="Wingdings" w:cs="Wingdings"/>
          <w:spacing w:val="-7"/>
          <w:sz w:val="22"/>
          <w:szCs w:val="22"/>
        </w:rPr>
        <w:t>.</w:t>
      </w:r>
      <w:r>
        <w:rPr>
          <w:rFonts w:ascii="Wingdings" w:eastAsia="Wingdings" w:hAnsi="Wingdings" w:cs="Wingdings"/>
          <w:spacing w:val="48"/>
          <w:sz w:val="22"/>
          <w:szCs w:val="22"/>
        </w:rPr>
        <w:t xml:space="preserve"> </w:t>
      </w:r>
      <w:r>
        <w:rPr>
          <w:spacing w:val="-7"/>
          <w:sz w:val="22"/>
          <w:szCs w:val="22"/>
        </w:rPr>
        <w:t>2 月，全国 40 城租赁市场整体需求热度环</w:t>
      </w:r>
      <w:r>
        <w:rPr>
          <w:spacing w:val="-8"/>
          <w:sz w:val="22"/>
          <w:szCs w:val="22"/>
        </w:rPr>
        <w:t>比上涨 46.2%，需求热度环比大幅改善。</w:t>
      </w:r>
      <w:r>
        <w:rPr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根据安居客监测数据显示</w:t>
      </w:r>
      <w:r>
        <w:rPr>
          <w:spacing w:val="-3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，本月 39 个城市需求热度整体均</w:t>
      </w:r>
      <w:r>
        <w:rPr>
          <w:spacing w:val="-2"/>
          <w:sz w:val="22"/>
          <w:szCs w:val="22"/>
        </w:rPr>
        <w:t>呈不同程度的上升</w:t>
      </w:r>
      <w:r>
        <w:rPr>
          <w:spacing w:val="-2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，其</w:t>
      </w:r>
    </w:p>
    <w:p>
      <w:pPr>
        <w:pStyle w:val="BodyText"/>
        <w:spacing w:line="226" w:lineRule="auto"/>
        <w:ind w:left="469"/>
        <w:rPr>
          <w:sz w:val="22"/>
          <w:szCs w:val="22"/>
        </w:rPr>
      </w:pPr>
      <w:r>
        <w:rPr>
          <w:spacing w:val="-3"/>
          <w:sz w:val="22"/>
          <w:szCs w:val="22"/>
        </w:rPr>
        <w:t>中，</w:t>
      </w:r>
      <w:r>
        <w:rPr>
          <w:spacing w:val="-30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19 个城市租赁需求热度环比涨幅超过 50%。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  <w:sectPr>
          <w:pgSz w:w="11906" w:h="16839"/>
          <w:pgMar w:top="909" w:right="1691" w:bottom="0" w:left="1766" w:header="0" w:footer="0" w:gutter="0"/>
          <w:pgNumType w:start="3"/>
          <w:cols w:space="708"/>
        </w:sect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pStyle w:val="BodyText"/>
        <w:spacing w:line="332" w:lineRule="exact"/>
      </w:pPr>
      <w:r>
        <w:rPr>
          <w:position w:val="-6"/>
        </w:rPr>
        <w:pict>
          <v:group id="_x0000_i1028" style="width:422.4pt;height:16.6pt;mso-position-horizontal-relative:char;mso-position-vertical-relative:line" coordorigin="0,0" coordsize="8447,332" filled="f" stroked="f">
            <v:shape id="_x0000_s1029" type="#_x0000_t75" style="width:8447;height:332;position:absolute" filled="f" stroked="f">
              <v:imagedata r:id="rId5" o:title=""/>
            </v:shape>
            <v:shape id="_x0000_s1030" type="#_x0000_t202" style="width:8487;height:372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1" w:line="226" w:lineRule="auto"/>
                      <w:ind w:left="53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D8D8D8"/>
                        <w:sz w:val="18"/>
                        <w:szCs w:val="18"/>
                      </w:rPr>
                      <w:t>合作洽谈联系方式</w:t>
                    </w:r>
                    <w:r>
                      <w:rPr>
                        <w:rFonts w:ascii="Microsoft YaHei" w:eastAsia="Microsoft YaHei" w:hAnsi="Microsoft YaHei" w:cs="Microsoft YaHei"/>
                        <w:color w:val="D8D8D8"/>
                        <w:spacing w:val="-1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D8D8D8"/>
                        <w:sz w:val="18"/>
                        <w:szCs w:val="18"/>
                      </w:rPr>
                      <w:t xml:space="preserve">：baomei@58.com                                     </w:t>
                    </w:r>
                    <w:r>
                      <w:rPr>
                        <w:rFonts w:ascii="Microsoft YaHei" w:eastAsia="Microsoft YaHei" w:hAnsi="Microsoft YaHei" w:cs="Microsoft YaHei"/>
                        <w:color w:val="D8D8D8"/>
                        <w:spacing w:val="-1"/>
                        <w:sz w:val="18"/>
                        <w:szCs w:val="18"/>
                      </w:rPr>
                      <w:t xml:space="preserve">                                                           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4"/>
                        <w:sz w:val="18"/>
                        <w:szCs w:val="18"/>
                      </w:rPr>
                      <w:t>3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32" w:lineRule="exact"/>
        <w:sectPr>
          <w:type w:val="nextPage"/>
          <w:pgSz w:w="11906" w:h="16839"/>
          <w:pgMar w:top="909" w:right="1691" w:bottom="0" w:left="1766" w:header="0" w:footer="0" w:gutter="0"/>
          <w:pgNumType w:start="4"/>
          <w:cols w:space="708"/>
          <w:titlePg w:val="0"/>
        </w:sectPr>
      </w:pPr>
    </w:p>
    <w:p>
      <w:pPr>
        <w:spacing w:line="472" w:lineRule="exact"/>
        <w:ind w:firstLine="33"/>
      </w:pPr>
      <w:r>
        <w:rPr>
          <w:position w:val="-9"/>
        </w:rPr>
        <w:drawing>
          <wp:inline distT="0" distB="0" distL="0" distR="0">
            <wp:extent cx="5285232" cy="300228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85232" cy="30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24" w:line="187" w:lineRule="auto"/>
        <w:ind w:left="40"/>
        <w:outlineLvl w:val="0"/>
        <w:rPr>
          <w:sz w:val="31"/>
          <w:szCs w:val="31"/>
        </w:rPr>
      </w:pPr>
      <w:bookmarkStart w:id="1" w:name="bookmark2"/>
      <w:bookmarkEnd w:id="1"/>
      <w:bookmarkStart w:id="2" w:name="bookmark3"/>
      <w:bookmarkEnd w:id="2"/>
      <w:r>
        <w:rPr>
          <w:b/>
          <w:bCs/>
          <w:color w:val="207D4F"/>
          <w:spacing w:val="8"/>
          <w:sz w:val="31"/>
          <w:szCs w:val="31"/>
        </w:rPr>
        <w:t>一、租赁行业动态</w:t>
      </w: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120" w:line="184" w:lineRule="auto"/>
        <w:ind w:left="57"/>
        <w:outlineLvl w:val="0"/>
        <w:rPr>
          <w:sz w:val="28"/>
          <w:szCs w:val="28"/>
        </w:rPr>
      </w:pPr>
      <w:r>
        <w:rPr>
          <w:b/>
          <w:bCs/>
          <w:color w:val="207D50"/>
          <w:spacing w:val="-4"/>
          <w:sz w:val="28"/>
          <w:szCs w:val="28"/>
        </w:rPr>
        <w:t>1、重点政策解读</w:t>
      </w:r>
    </w:p>
    <w:p>
      <w:pPr>
        <w:spacing w:line="330" w:lineRule="auto"/>
        <w:rPr>
          <w:rFonts w:ascii="Arial"/>
          <w:sz w:val="21"/>
        </w:rPr>
      </w:pPr>
    </w:p>
    <w:p>
      <w:pPr>
        <w:pStyle w:val="BodyText"/>
        <w:spacing w:before="86" w:line="206" w:lineRule="auto"/>
        <w:ind w:left="48"/>
        <w:rPr>
          <w:sz w:val="20"/>
          <w:szCs w:val="20"/>
        </w:rPr>
      </w:pPr>
      <w:r>
        <w:rPr>
          <w:rFonts w:ascii="Wingdings" w:eastAsia="Wingdings" w:hAnsi="Wingdings" w:cs="Wingdings"/>
          <w:spacing w:val="8"/>
          <w:sz w:val="20"/>
          <w:szCs w:val="20"/>
        </w:rPr>
        <w:t>&gt;</w:t>
      </w:r>
      <w:r>
        <w:rPr>
          <w:rFonts w:ascii="Wingdings" w:eastAsia="Wingdings" w:hAnsi="Wingdings" w:cs="Wingdings"/>
          <w:spacing w:val="67"/>
          <w:sz w:val="20"/>
          <w:szCs w:val="20"/>
        </w:rPr>
        <w:t xml:space="preserve"> </w:t>
      </w:r>
      <w:r>
        <w:rPr>
          <w:b/>
          <w:bCs/>
          <w:spacing w:val="8"/>
          <w:sz w:val="20"/>
          <w:szCs w:val="20"/>
        </w:rPr>
        <w:t>中国人民银行、</w:t>
      </w:r>
      <w:r>
        <w:rPr>
          <w:b/>
          <w:bCs/>
          <w:spacing w:val="-37"/>
          <w:sz w:val="20"/>
          <w:szCs w:val="20"/>
        </w:rPr>
        <w:t xml:space="preserve"> </w:t>
      </w:r>
      <w:r>
        <w:rPr>
          <w:b/>
          <w:bCs/>
          <w:spacing w:val="8"/>
          <w:sz w:val="20"/>
          <w:szCs w:val="20"/>
        </w:rPr>
        <w:t>国家金融监督管理总局：推出金融举措支</w:t>
      </w:r>
      <w:r>
        <w:rPr>
          <w:b/>
          <w:bCs/>
          <w:spacing w:val="7"/>
          <w:sz w:val="20"/>
          <w:szCs w:val="20"/>
        </w:rPr>
        <w:t>持住房租赁市场发展</w:t>
      </w:r>
    </w:p>
    <w:p>
      <w:pPr>
        <w:pStyle w:val="BodyText"/>
        <w:spacing w:before="194" w:line="223" w:lineRule="auto"/>
        <w:ind w:left="33" w:right="105" w:firstLine="374"/>
        <w:rPr>
          <w:sz w:val="18"/>
          <w:szCs w:val="18"/>
        </w:rPr>
      </w:pPr>
      <w:r>
        <w:rPr>
          <w:b/>
          <w:bCs/>
          <w:spacing w:val="-1"/>
          <w:sz w:val="18"/>
          <w:szCs w:val="18"/>
        </w:rPr>
        <w:t>1 月 5 日</w:t>
      </w:r>
      <w:r>
        <w:rPr>
          <w:b/>
          <w:bCs/>
          <w:spacing w:val="-30"/>
          <w:sz w:val="18"/>
          <w:szCs w:val="18"/>
        </w:rPr>
        <w:t xml:space="preserve"> </w:t>
      </w:r>
      <w:r>
        <w:rPr>
          <w:b/>
          <w:bCs/>
          <w:spacing w:val="-1"/>
          <w:sz w:val="18"/>
          <w:szCs w:val="18"/>
        </w:rPr>
        <w:t>，中国人民银行、国家金融监督管理总局发文</w:t>
      </w:r>
      <w:r>
        <w:rPr>
          <w:b/>
          <w:bCs/>
          <w:spacing w:val="-30"/>
          <w:sz w:val="18"/>
          <w:szCs w:val="18"/>
        </w:rPr>
        <w:t xml:space="preserve"> </w:t>
      </w:r>
      <w:r>
        <w:rPr>
          <w:b/>
          <w:bCs/>
          <w:spacing w:val="-1"/>
          <w:sz w:val="18"/>
          <w:szCs w:val="18"/>
        </w:rPr>
        <w:t>，从加强住房租赁</w:t>
      </w:r>
      <w:r>
        <w:rPr>
          <w:b/>
          <w:bCs/>
          <w:spacing w:val="-2"/>
          <w:sz w:val="18"/>
          <w:szCs w:val="18"/>
        </w:rPr>
        <w:t>信贷产品和服务模式创新、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spacing w:val="1"/>
          <w:sz w:val="18"/>
          <w:szCs w:val="18"/>
        </w:rPr>
        <w:t>拓宽住房租赁市场多元化投融资渠道、加强和完善住房租赁金融管理等方面推出</w:t>
      </w:r>
      <w:r>
        <w:rPr>
          <w:b/>
          <w:bCs/>
          <w:sz w:val="18"/>
          <w:szCs w:val="18"/>
        </w:rPr>
        <w:t xml:space="preserve"> 17 条举措</w:t>
      </w:r>
      <w:r>
        <w:rPr>
          <w:b/>
          <w:bCs/>
          <w:spacing w:val="-31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，支持住房租 </w:t>
      </w:r>
      <w:r>
        <w:rPr>
          <w:b/>
          <w:bCs/>
          <w:spacing w:val="-3"/>
          <w:sz w:val="18"/>
          <w:szCs w:val="18"/>
        </w:rPr>
        <w:t>赁市场发展。自 2024 年 2 月 5</w:t>
      </w:r>
      <w:r>
        <w:rPr>
          <w:b/>
          <w:bCs/>
          <w:spacing w:val="19"/>
          <w:w w:val="101"/>
          <w:sz w:val="18"/>
          <w:szCs w:val="18"/>
        </w:rPr>
        <w:t xml:space="preserve"> </w:t>
      </w:r>
      <w:r>
        <w:rPr>
          <w:b/>
          <w:bCs/>
          <w:spacing w:val="-3"/>
          <w:sz w:val="18"/>
          <w:szCs w:val="18"/>
        </w:rPr>
        <w:t>日起施行。</w:t>
      </w:r>
    </w:p>
    <w:p>
      <w:pPr>
        <w:pStyle w:val="BodyText"/>
        <w:spacing w:before="42" w:line="236" w:lineRule="auto"/>
        <w:ind w:left="33" w:right="105" w:firstLine="359"/>
        <w:rPr>
          <w:sz w:val="18"/>
          <w:szCs w:val="18"/>
        </w:rPr>
      </w:pPr>
      <w:r>
        <w:rPr>
          <w:b/>
          <w:bCs/>
          <w:sz w:val="18"/>
          <w:szCs w:val="18"/>
        </w:rPr>
        <w:t>《意见》是对 2023 年 2 月央行、银保监会提出的“金融 17 条”（《关于金融支持住房租赁市场发</w:t>
      </w:r>
      <w:r>
        <w:rPr>
          <w:b/>
          <w:bCs/>
          <w:spacing w:val="6"/>
          <w:sz w:val="18"/>
          <w:szCs w:val="18"/>
        </w:rPr>
        <w:t xml:space="preserve"> </w:t>
      </w:r>
      <w:r>
        <w:rPr>
          <w:b/>
          <w:bCs/>
          <w:spacing w:val="1"/>
          <w:sz w:val="18"/>
          <w:szCs w:val="18"/>
        </w:rPr>
        <w:t>展的意见（征求意见稿）》的进一步落实。《意见》对重资产</w:t>
      </w:r>
      <w:r>
        <w:rPr>
          <w:b/>
          <w:bCs/>
          <w:sz w:val="18"/>
          <w:szCs w:val="18"/>
        </w:rPr>
        <w:t xml:space="preserve">、中资产和轻资产模式的住房租赁企业均提 </w:t>
      </w:r>
      <w:r>
        <w:rPr>
          <w:b/>
          <w:bCs/>
          <w:sz w:val="18"/>
          <w:szCs w:val="18"/>
        </w:rPr>
        <w:t>出了明确的信贷支持。在减免了房地产税、增值税的基础上</w:t>
      </w:r>
      <w:r>
        <w:rPr>
          <w:b/>
          <w:bCs/>
          <w:spacing w:val="-27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，进一步为微利运营的住房租赁企业减负。同 </w:t>
      </w:r>
      <w:r>
        <w:rPr>
          <w:b/>
          <w:bCs/>
          <w:sz w:val="18"/>
          <w:szCs w:val="18"/>
        </w:rPr>
        <w:t>时</w:t>
      </w:r>
      <w:r>
        <w:rPr>
          <w:b/>
          <w:bCs/>
          <w:spacing w:val="-30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，《意见》划定了雄安新区、海南、深圳及人口净流入</w:t>
      </w:r>
      <w:r>
        <w:rPr>
          <w:b/>
          <w:bCs/>
          <w:spacing w:val="-1"/>
          <w:sz w:val="18"/>
          <w:szCs w:val="18"/>
        </w:rPr>
        <w:t>的大城市为 REITs试点区域</w:t>
      </w:r>
      <w:r>
        <w:rPr>
          <w:b/>
          <w:bCs/>
          <w:spacing w:val="-30"/>
          <w:sz w:val="18"/>
          <w:szCs w:val="18"/>
        </w:rPr>
        <w:t xml:space="preserve"> </w:t>
      </w:r>
      <w:r>
        <w:rPr>
          <w:b/>
          <w:bCs/>
          <w:spacing w:val="-1"/>
          <w:sz w:val="18"/>
          <w:szCs w:val="18"/>
        </w:rPr>
        <w:t>，明确为利用集体建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spacing w:val="-1"/>
          <w:sz w:val="18"/>
          <w:szCs w:val="18"/>
        </w:rPr>
        <w:t>设用地的长期租赁住房企业提供资金支持。</w:t>
      </w:r>
    </w:p>
    <w:p>
      <w:pPr>
        <w:pStyle w:val="BodyText"/>
        <w:spacing w:before="75" w:line="213" w:lineRule="auto"/>
        <w:ind w:left="33" w:right="105" w:firstLine="360"/>
        <w:rPr>
          <w:sz w:val="18"/>
          <w:szCs w:val="18"/>
        </w:rPr>
      </w:pPr>
      <w:r>
        <w:rPr>
          <w:b/>
          <w:bCs/>
          <w:spacing w:val="-1"/>
          <w:sz w:val="18"/>
          <w:szCs w:val="18"/>
        </w:rPr>
        <w:t>解读</w:t>
      </w:r>
      <w:r>
        <w:rPr>
          <w:b/>
          <w:bCs/>
          <w:spacing w:val="-12"/>
          <w:sz w:val="18"/>
          <w:szCs w:val="18"/>
        </w:rPr>
        <w:t xml:space="preserve"> </w:t>
      </w:r>
      <w:r>
        <w:rPr>
          <w:b/>
          <w:bCs/>
          <w:spacing w:val="-1"/>
          <w:sz w:val="18"/>
          <w:szCs w:val="18"/>
        </w:rPr>
        <w:t>：</w:t>
      </w:r>
      <w:r>
        <w:rPr>
          <w:spacing w:val="-1"/>
          <w:sz w:val="18"/>
          <w:szCs w:val="18"/>
        </w:rPr>
        <w:t>这一系列措施的发布</w:t>
      </w:r>
      <w:r>
        <w:rPr>
          <w:spacing w:val="-23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，反映了政府在住房保障和房地产市场调控方面的新思路。通过这些举措</w:t>
      </w:r>
      <w:r>
        <w:rPr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有助于解决当前租赁市场存在的一些问题</w:t>
      </w:r>
      <w:r>
        <w:rPr>
          <w:spacing w:val="-15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，如供给不足、融资渠道狭窄以及市场监管不完善等。</w:t>
      </w:r>
    </w:p>
    <w:p>
      <w:pPr>
        <w:pStyle w:val="BodyText"/>
        <w:spacing w:before="74" w:line="231" w:lineRule="auto"/>
        <w:ind w:left="32" w:right="55" w:firstLine="363"/>
        <w:rPr>
          <w:sz w:val="18"/>
          <w:szCs w:val="18"/>
        </w:rPr>
      </w:pPr>
      <w:r>
        <w:rPr>
          <w:spacing w:val="-2"/>
          <w:sz w:val="18"/>
          <w:szCs w:val="18"/>
        </w:rPr>
        <w:t>首先，加强住房租赁信贷产品和服务模式创新能够为租赁市场提供更</w:t>
      </w:r>
      <w:r>
        <w:rPr>
          <w:spacing w:val="-3"/>
          <w:sz w:val="18"/>
          <w:szCs w:val="18"/>
        </w:rPr>
        <w:t>加丰富和灵活的金融产品。其次，</w:t>
      </w:r>
      <w:r>
        <w:rPr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拓宽住房租赁市场的多元化投融资渠道，租赁企业可以通过债券发行、</w:t>
      </w:r>
      <w:r>
        <w:rPr>
          <w:spacing w:val="-2"/>
          <w:sz w:val="18"/>
          <w:szCs w:val="18"/>
        </w:rPr>
        <w:t>房地产投资信托基金（REITs）等多</w:t>
      </w:r>
      <w:r>
        <w:rPr>
          <w:sz w:val="18"/>
          <w:szCs w:val="18"/>
        </w:rPr>
        <w:t xml:space="preserve">  </w:t>
      </w:r>
      <w:r>
        <w:rPr>
          <w:spacing w:val="-1"/>
          <w:sz w:val="18"/>
          <w:szCs w:val="18"/>
        </w:rPr>
        <w:t>种方式获得资金支持</w:t>
      </w:r>
      <w:r>
        <w:rPr>
          <w:spacing w:val="-24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，将降低企业的融资成本</w:t>
      </w:r>
      <w:r>
        <w:rPr>
          <w:spacing w:val="-2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，提高资金的使用效率。再者</w:t>
      </w:r>
      <w:r>
        <w:rPr>
          <w:spacing w:val="-23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，</w:t>
      </w:r>
      <w:r>
        <w:rPr>
          <w:spacing w:val="-2"/>
          <w:sz w:val="18"/>
          <w:szCs w:val="18"/>
        </w:rPr>
        <w:t>加强和完善住房租赁金融管</w:t>
      </w:r>
      <w:r>
        <w:rPr>
          <w:sz w:val="18"/>
          <w:szCs w:val="18"/>
        </w:rPr>
        <w:t xml:space="preserve">  </w:t>
      </w:r>
      <w:r>
        <w:rPr>
          <w:spacing w:val="-1"/>
          <w:sz w:val="18"/>
          <w:szCs w:val="18"/>
        </w:rPr>
        <w:t>理</w:t>
      </w:r>
      <w:r>
        <w:rPr>
          <w:spacing w:val="-2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，有助于提升整个行业的透明度和规范性。通过建立健全的监管体系</w:t>
      </w:r>
      <w:r>
        <w:rPr>
          <w:spacing w:val="-2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，可以有效防范金</w:t>
      </w:r>
      <w:r>
        <w:rPr>
          <w:spacing w:val="-2"/>
          <w:sz w:val="18"/>
          <w:szCs w:val="18"/>
        </w:rPr>
        <w:t>融风险</w:t>
      </w:r>
      <w:r>
        <w:rPr>
          <w:spacing w:val="-26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，为租赁</w:t>
      </w:r>
      <w:r>
        <w:rPr>
          <w:sz w:val="18"/>
          <w:szCs w:val="18"/>
        </w:rPr>
        <w:t xml:space="preserve">  </w:t>
      </w:r>
      <w:r>
        <w:rPr>
          <w:spacing w:val="-1"/>
          <w:sz w:val="18"/>
          <w:szCs w:val="18"/>
        </w:rPr>
        <w:t>市场的长期稳定发展奠定坚实的基础。</w:t>
      </w:r>
    </w:p>
    <w:p>
      <w:pPr>
        <w:pStyle w:val="BodyText"/>
        <w:spacing w:before="211" w:line="206" w:lineRule="auto"/>
        <w:ind w:left="48"/>
        <w:rPr>
          <w:sz w:val="20"/>
          <w:szCs w:val="20"/>
        </w:rPr>
      </w:pPr>
      <w:r>
        <w:rPr>
          <w:rFonts w:ascii="Wingdings" w:eastAsia="Wingdings" w:hAnsi="Wingdings" w:cs="Wingdings"/>
          <w:spacing w:val="9"/>
          <w:sz w:val="20"/>
          <w:szCs w:val="20"/>
        </w:rPr>
        <w:t xml:space="preserve">&gt; </w:t>
      </w:r>
      <w:r>
        <w:rPr>
          <w:b/>
          <w:bCs/>
          <w:spacing w:val="9"/>
          <w:sz w:val="20"/>
          <w:szCs w:val="20"/>
        </w:rPr>
        <w:t>住建部：要求各地科学编制住房发展年度计划</w:t>
      </w:r>
      <w:r>
        <w:rPr>
          <w:b/>
          <w:bCs/>
          <w:spacing w:val="-24"/>
          <w:sz w:val="20"/>
          <w:szCs w:val="20"/>
        </w:rPr>
        <w:t xml:space="preserve"> </w:t>
      </w:r>
      <w:r>
        <w:rPr>
          <w:b/>
          <w:bCs/>
          <w:spacing w:val="9"/>
          <w:sz w:val="20"/>
          <w:szCs w:val="20"/>
        </w:rPr>
        <w:t>，完善“保障+市场”的住房供应体系</w:t>
      </w:r>
    </w:p>
    <w:p>
      <w:pPr>
        <w:pStyle w:val="BodyText"/>
        <w:spacing w:before="192" w:line="231" w:lineRule="auto"/>
        <w:ind w:left="32" w:right="51" w:firstLine="368"/>
        <w:rPr>
          <w:sz w:val="18"/>
          <w:szCs w:val="18"/>
        </w:rPr>
      </w:pPr>
      <w:r>
        <w:rPr>
          <w:b/>
          <w:bCs/>
          <w:spacing w:val="-5"/>
          <w:sz w:val="18"/>
          <w:szCs w:val="18"/>
        </w:rPr>
        <w:t>2 月 27</w:t>
      </w:r>
      <w:r>
        <w:rPr>
          <w:b/>
          <w:bCs/>
          <w:spacing w:val="15"/>
          <w:sz w:val="18"/>
          <w:szCs w:val="18"/>
        </w:rPr>
        <w:t xml:space="preserve"> </w:t>
      </w:r>
      <w:r>
        <w:rPr>
          <w:b/>
          <w:bCs/>
          <w:spacing w:val="-5"/>
          <w:sz w:val="18"/>
          <w:szCs w:val="18"/>
        </w:rPr>
        <w:t>日，住房城乡建设部对外发布通知，通知要求各城市要根据当地</w:t>
      </w:r>
      <w:r>
        <w:rPr>
          <w:b/>
          <w:bCs/>
          <w:spacing w:val="-6"/>
          <w:sz w:val="18"/>
          <w:szCs w:val="18"/>
        </w:rPr>
        <w:t>实际情况，准确研判住房需求，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spacing w:val="1"/>
          <w:sz w:val="18"/>
          <w:szCs w:val="18"/>
        </w:rPr>
        <w:t>完善“保障+市场”的住房供应体系</w:t>
      </w:r>
      <w:r>
        <w:rPr>
          <w:b/>
          <w:bCs/>
          <w:spacing w:val="-28"/>
          <w:sz w:val="18"/>
          <w:szCs w:val="18"/>
        </w:rPr>
        <w:t xml:space="preserve"> </w:t>
      </w:r>
      <w:r>
        <w:rPr>
          <w:b/>
          <w:bCs/>
          <w:spacing w:val="1"/>
          <w:sz w:val="18"/>
          <w:szCs w:val="18"/>
        </w:rPr>
        <w:t>，以政府</w:t>
      </w:r>
      <w:r>
        <w:rPr>
          <w:b/>
          <w:bCs/>
          <w:sz w:val="18"/>
          <w:szCs w:val="18"/>
        </w:rPr>
        <w:t>为主保障工薪收入群体刚性住房需求</w:t>
      </w:r>
      <w:r>
        <w:rPr>
          <w:b/>
          <w:bCs/>
          <w:spacing w:val="-28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，以市场为主满足居民  </w:t>
      </w:r>
      <w:r>
        <w:rPr>
          <w:b/>
          <w:bCs/>
          <w:sz w:val="18"/>
          <w:szCs w:val="18"/>
        </w:rPr>
        <w:t>多样化改善性住房需求</w:t>
      </w:r>
      <w:r>
        <w:rPr>
          <w:b/>
          <w:bCs/>
          <w:spacing w:val="-20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，科学编制 2024 年、2025 年住房发展年度计划。通知还要求</w:t>
      </w:r>
      <w:r>
        <w:rPr>
          <w:b/>
          <w:bCs/>
          <w:spacing w:val="-28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，各城市要统筹考  </w:t>
      </w:r>
      <w:r>
        <w:rPr>
          <w:b/>
          <w:bCs/>
          <w:sz w:val="18"/>
          <w:szCs w:val="18"/>
        </w:rPr>
        <w:t>虑当地经济社会发展、人口变化、产业布局、住房供需等方面情况</w:t>
      </w:r>
      <w:r>
        <w:rPr>
          <w:b/>
          <w:bCs/>
          <w:spacing w:val="-25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，结合存量住房和存量土地等潜在供应  </w:t>
      </w:r>
      <w:r>
        <w:rPr>
          <w:b/>
          <w:bCs/>
          <w:spacing w:val="-2"/>
          <w:sz w:val="18"/>
          <w:szCs w:val="18"/>
        </w:rPr>
        <w:t>情况</w:t>
      </w:r>
      <w:r>
        <w:rPr>
          <w:b/>
          <w:bCs/>
          <w:spacing w:val="-22"/>
          <w:sz w:val="18"/>
          <w:szCs w:val="18"/>
        </w:rPr>
        <w:t xml:space="preserve"> </w:t>
      </w:r>
      <w:r>
        <w:rPr>
          <w:b/>
          <w:bCs/>
          <w:spacing w:val="-2"/>
          <w:sz w:val="18"/>
          <w:szCs w:val="18"/>
        </w:rPr>
        <w:t>，提前谋划 2026-2030 年住房发展规划。</w:t>
      </w:r>
    </w:p>
    <w:p>
      <w:pPr>
        <w:pStyle w:val="BodyText"/>
        <w:spacing w:before="75" w:line="223" w:lineRule="auto"/>
        <w:ind w:left="35" w:right="105" w:firstLine="358"/>
        <w:rPr>
          <w:sz w:val="18"/>
          <w:szCs w:val="18"/>
        </w:rPr>
      </w:pPr>
      <w:r>
        <w:rPr>
          <w:b/>
          <w:bCs/>
          <w:spacing w:val="-1"/>
          <w:sz w:val="18"/>
          <w:szCs w:val="18"/>
        </w:rPr>
        <w:t>解读：</w:t>
      </w:r>
      <w:r>
        <w:rPr>
          <w:spacing w:val="-1"/>
          <w:sz w:val="18"/>
          <w:szCs w:val="18"/>
        </w:rPr>
        <w:t>住建部要求各地科学编制 2024 年、2</w:t>
      </w:r>
      <w:r>
        <w:rPr>
          <w:spacing w:val="-2"/>
          <w:sz w:val="18"/>
          <w:szCs w:val="18"/>
        </w:rPr>
        <w:t>025 年住房发展年度计划，体现了我国对房地产市场调控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的持续性和稳定性，</w:t>
      </w:r>
      <w:r>
        <w:rPr>
          <w:spacing w:val="-28"/>
          <w:sz w:val="18"/>
          <w:szCs w:val="18"/>
        </w:rPr>
        <w:t xml:space="preserve"> </w:t>
      </w:r>
      <w:r>
        <w:rPr>
          <w:sz w:val="18"/>
          <w:szCs w:val="18"/>
        </w:rPr>
        <w:t xml:space="preserve">旨在促进房地产市场的健康发展和供需平衡。通过提前规划和预测住房需求、供应及 </w:t>
      </w:r>
      <w:r>
        <w:rPr>
          <w:spacing w:val="-1"/>
          <w:sz w:val="18"/>
          <w:szCs w:val="18"/>
        </w:rPr>
        <w:t>土地供应等关键指标</w:t>
      </w:r>
      <w:r>
        <w:rPr>
          <w:spacing w:val="-2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，地方政府可以更加有针对性地制定政</w:t>
      </w:r>
      <w:r>
        <w:rPr>
          <w:spacing w:val="-2"/>
          <w:sz w:val="18"/>
          <w:szCs w:val="18"/>
        </w:rPr>
        <w:t>策措施</w:t>
      </w:r>
      <w:r>
        <w:rPr>
          <w:spacing w:val="-26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，确保房地产市场的供需平衡。</w:t>
      </w:r>
    </w:p>
    <w:p>
      <w:pPr>
        <w:pStyle w:val="BodyText"/>
        <w:spacing w:before="75" w:line="228" w:lineRule="auto"/>
        <w:ind w:left="32" w:right="105" w:firstLine="373"/>
        <w:rPr>
          <w:sz w:val="18"/>
          <w:szCs w:val="18"/>
        </w:rPr>
      </w:pPr>
      <w:r>
        <w:rPr>
          <w:sz w:val="18"/>
          <w:szCs w:val="18"/>
        </w:rPr>
        <w:t>同时</w:t>
      </w:r>
      <w:r>
        <w:rPr>
          <w:spacing w:val="-24"/>
          <w:sz w:val="18"/>
          <w:szCs w:val="18"/>
        </w:rPr>
        <w:t xml:space="preserve"> </w:t>
      </w:r>
      <w:r>
        <w:rPr>
          <w:sz w:val="18"/>
          <w:szCs w:val="18"/>
        </w:rPr>
        <w:t>，住建部强调以人定房、以房定地、以房定钱的导向。地方政</w:t>
      </w:r>
      <w:r>
        <w:rPr>
          <w:spacing w:val="-1"/>
          <w:sz w:val="18"/>
          <w:szCs w:val="18"/>
        </w:rPr>
        <w:t>府需要充分考虑人口变化、经济社</w:t>
      </w:r>
      <w:r>
        <w:rPr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会发展等因素</w:t>
      </w:r>
      <w:r>
        <w:rPr>
          <w:spacing w:val="-23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，以确保住房供应与人口需求相匹配</w:t>
      </w:r>
      <w:r>
        <w:rPr>
          <w:spacing w:val="-24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，进一步提高土地资</w:t>
      </w:r>
      <w:r>
        <w:rPr>
          <w:spacing w:val="-2"/>
          <w:sz w:val="18"/>
          <w:szCs w:val="18"/>
        </w:rPr>
        <w:t>源利用效率</w:t>
      </w:r>
      <w:r>
        <w:rPr>
          <w:spacing w:val="-24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，合理安排金融资源。</w:t>
      </w:r>
      <w:r>
        <w:rPr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并且</w:t>
      </w:r>
      <w:r>
        <w:rPr>
          <w:spacing w:val="-23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，有助于指导地方政府更加精细化地管理房地产市场</w:t>
      </w:r>
      <w:r>
        <w:rPr>
          <w:spacing w:val="-27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，实现房地产市场的供需</w:t>
      </w:r>
      <w:r>
        <w:rPr>
          <w:spacing w:val="-2"/>
          <w:sz w:val="18"/>
          <w:szCs w:val="18"/>
        </w:rPr>
        <w:t>平衡</w:t>
      </w:r>
      <w:r>
        <w:rPr>
          <w:spacing w:val="-26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，促进房地产市场</w:t>
      </w:r>
      <w:r>
        <w:rPr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的健康发展和可持续发展。</w:t>
      </w:r>
    </w:p>
    <w:p>
      <w:pPr>
        <w:pStyle w:val="BodyText"/>
        <w:spacing w:before="177" w:line="233" w:lineRule="auto"/>
        <w:ind w:left="48"/>
        <w:rPr>
          <w:sz w:val="20"/>
          <w:szCs w:val="20"/>
        </w:rPr>
      </w:pPr>
      <w:r>
        <w:rPr>
          <w:rFonts w:ascii="Wingdings" w:eastAsia="Wingdings" w:hAnsi="Wingdings" w:cs="Wingdings"/>
          <w:spacing w:val="4"/>
          <w:sz w:val="20"/>
          <w:szCs w:val="20"/>
        </w:rPr>
        <w:t>&gt;</w:t>
      </w:r>
      <w:r>
        <w:rPr>
          <w:rFonts w:ascii="Wingdings" w:eastAsia="Wingdings" w:hAnsi="Wingdings" w:cs="Wingdings"/>
          <w:spacing w:val="56"/>
          <w:sz w:val="20"/>
          <w:szCs w:val="20"/>
        </w:rPr>
        <w:t xml:space="preserve"> </w:t>
      </w:r>
      <w:r>
        <w:rPr>
          <w:b/>
          <w:bCs/>
          <w:spacing w:val="4"/>
          <w:sz w:val="20"/>
          <w:szCs w:val="20"/>
        </w:rPr>
        <w:t>深圳：出台《关于积极稳步推进城中村改造实现高质量发展的实施意见</w:t>
      </w:r>
      <w:r>
        <w:rPr>
          <w:b/>
          <w:bCs/>
          <w:spacing w:val="3"/>
          <w:sz w:val="20"/>
          <w:szCs w:val="20"/>
        </w:rPr>
        <w:t>》（征求意见稿）</w:t>
      </w:r>
    </w:p>
    <w:p>
      <w:pPr>
        <w:pStyle w:val="BodyText"/>
        <w:spacing w:before="156" w:line="237" w:lineRule="auto"/>
        <w:ind w:left="33" w:right="16" w:firstLine="367"/>
        <w:jc w:val="both"/>
        <w:rPr>
          <w:sz w:val="18"/>
          <w:szCs w:val="18"/>
        </w:rPr>
      </w:pPr>
      <w:r>
        <w:rPr>
          <w:b/>
          <w:bCs/>
          <w:spacing w:val="-1"/>
          <w:sz w:val="18"/>
          <w:szCs w:val="18"/>
        </w:rPr>
        <w:t>2024 年 1 月 4 日</w:t>
      </w:r>
      <w:r>
        <w:rPr>
          <w:b/>
          <w:bCs/>
          <w:spacing w:val="-18"/>
          <w:sz w:val="18"/>
          <w:szCs w:val="18"/>
        </w:rPr>
        <w:t xml:space="preserve"> </w:t>
      </w:r>
      <w:r>
        <w:rPr>
          <w:b/>
          <w:bCs/>
          <w:spacing w:val="-1"/>
          <w:sz w:val="18"/>
          <w:szCs w:val="18"/>
        </w:rPr>
        <w:t>，由深圳市规划和自然资源局会同深圳市住房和建设局起草的《关于积极稳步推进</w:t>
      </w:r>
      <w:r>
        <w:rPr>
          <w:b/>
          <w:bCs/>
          <w:sz w:val="18"/>
          <w:szCs w:val="18"/>
        </w:rPr>
        <w:t xml:space="preserve">   </w:t>
      </w:r>
      <w:r>
        <w:rPr>
          <w:b/>
          <w:bCs/>
          <w:spacing w:val="-3"/>
          <w:sz w:val="18"/>
          <w:szCs w:val="18"/>
        </w:rPr>
        <w:t>城中村改造实现高质量发展的实施意见》（征求意见稿）发布，于 2 月 4</w:t>
      </w:r>
      <w:r>
        <w:rPr>
          <w:b/>
          <w:bCs/>
          <w:spacing w:val="12"/>
          <w:sz w:val="18"/>
          <w:szCs w:val="18"/>
        </w:rPr>
        <w:t xml:space="preserve"> </w:t>
      </w:r>
      <w:r>
        <w:rPr>
          <w:b/>
          <w:bCs/>
          <w:spacing w:val="-3"/>
          <w:sz w:val="18"/>
          <w:szCs w:val="18"/>
        </w:rPr>
        <w:t>日前向社会征求意见。《意见</w:t>
      </w:r>
      <w:r>
        <w:rPr>
          <w:b/>
          <w:bCs/>
          <w:spacing w:val="-4"/>
          <w:sz w:val="18"/>
          <w:szCs w:val="18"/>
        </w:rPr>
        <w:t>稿》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旨在通过系统性、可持续的工作机制</w:t>
      </w:r>
      <w:r>
        <w:rPr>
          <w:b/>
          <w:bCs/>
          <w:spacing w:val="-28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，解决城中村历史</w:t>
      </w:r>
      <w:r>
        <w:rPr>
          <w:b/>
          <w:bCs/>
          <w:spacing w:val="-1"/>
          <w:sz w:val="18"/>
          <w:szCs w:val="18"/>
        </w:rPr>
        <w:t>遗留问题</w:t>
      </w:r>
      <w:r>
        <w:rPr>
          <w:b/>
          <w:bCs/>
          <w:spacing w:val="-30"/>
          <w:sz w:val="18"/>
          <w:szCs w:val="18"/>
        </w:rPr>
        <w:t xml:space="preserve"> </w:t>
      </w:r>
      <w:r>
        <w:rPr>
          <w:b/>
          <w:bCs/>
          <w:spacing w:val="-1"/>
          <w:sz w:val="18"/>
          <w:szCs w:val="18"/>
        </w:rPr>
        <w:t>，推动城市高质量发展。征求意见稿将城</w:t>
      </w:r>
      <w:r>
        <w:rPr>
          <w:b/>
          <w:bCs/>
          <w:sz w:val="18"/>
          <w:szCs w:val="18"/>
        </w:rPr>
        <w:t xml:space="preserve">   </w:t>
      </w:r>
      <w:r>
        <w:rPr>
          <w:b/>
          <w:bCs/>
          <w:sz w:val="18"/>
          <w:szCs w:val="18"/>
        </w:rPr>
        <w:t>中村改造分为拆除新建、整治提升、拆整结合三类</w:t>
      </w:r>
      <w:r>
        <w:rPr>
          <w:b/>
          <w:bCs/>
          <w:spacing w:val="-26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，根据城中村的实际情况进行分类改造。拆除新建类城   </w:t>
      </w:r>
      <w:r>
        <w:rPr>
          <w:b/>
          <w:bCs/>
          <w:sz w:val="18"/>
          <w:szCs w:val="18"/>
        </w:rPr>
        <w:t>中村改造项目需经物业权利人三分之二以上同意</w:t>
      </w:r>
      <w:r>
        <w:rPr>
          <w:b/>
          <w:bCs/>
          <w:spacing w:val="-26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，并经原农村集体经济组织继受单位同意后方可实施。在   </w:t>
      </w:r>
      <w:r>
        <w:rPr>
          <w:b/>
          <w:bCs/>
          <w:spacing w:val="-1"/>
          <w:sz w:val="18"/>
          <w:szCs w:val="18"/>
        </w:rPr>
        <w:t>满足改造意愿要求且具备可行性的情况下</w:t>
      </w:r>
      <w:r>
        <w:rPr>
          <w:b/>
          <w:bCs/>
          <w:spacing w:val="-15"/>
          <w:sz w:val="18"/>
          <w:szCs w:val="18"/>
        </w:rPr>
        <w:t xml:space="preserve"> </w:t>
      </w:r>
      <w:r>
        <w:rPr>
          <w:b/>
          <w:bCs/>
          <w:spacing w:val="-1"/>
          <w:sz w:val="18"/>
          <w:szCs w:val="18"/>
        </w:rPr>
        <w:t>，由区政府申报纳入拆除新建类城中村改造年度计划。</w:t>
      </w:r>
    </w:p>
    <w:p>
      <w:pPr>
        <w:spacing w:line="358" w:lineRule="auto"/>
        <w:rPr>
          <w:rFonts w:ascii="Arial"/>
          <w:sz w:val="21"/>
        </w:rPr>
        <w:sectPr>
          <w:pgSz w:w="11906" w:h="16839"/>
          <w:pgMar w:top="909" w:right="1691" w:bottom="0" w:left="1766" w:header="0" w:footer="0" w:gutter="0"/>
          <w:pgNumType w:start="5"/>
          <w:cols w:space="708"/>
        </w:sectPr>
      </w:pPr>
    </w:p>
    <w:p>
      <w:pPr>
        <w:pStyle w:val="BodyText"/>
        <w:spacing w:line="331" w:lineRule="exact"/>
      </w:pPr>
      <w:r>
        <w:rPr>
          <w:position w:val="-6"/>
        </w:rPr>
        <w:pict>
          <v:group id="_x0000_i1031" style="width:422.4pt;height:16.6pt;mso-position-horizontal-relative:char;mso-position-vertical-relative:line" coordorigin="0,0" coordsize="8447,332" filled="f" stroked="f">
            <v:shape id="_x0000_s1032" type="#_x0000_t75" style="width:8447;height:332;position:absolute" filled="f" stroked="f">
              <v:imagedata r:id="rId5" o:title=""/>
            </v:shape>
            <v:shape id="_x0000_s1033" type="#_x0000_t202" style="width:8487;height:372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1" w:line="226" w:lineRule="auto"/>
                      <w:ind w:left="53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D8D8D8"/>
                        <w:sz w:val="18"/>
                        <w:szCs w:val="18"/>
                      </w:rPr>
                      <w:t>合作洽谈联系方式</w:t>
                    </w:r>
                    <w:r>
                      <w:rPr>
                        <w:rFonts w:ascii="Microsoft YaHei" w:eastAsia="Microsoft YaHei" w:hAnsi="Microsoft YaHei" w:cs="Microsoft YaHei"/>
                        <w:color w:val="D8D8D8"/>
                        <w:spacing w:val="-1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D8D8D8"/>
                        <w:sz w:val="18"/>
                        <w:szCs w:val="18"/>
                      </w:rPr>
                      <w:t xml:space="preserve">：baomei@58.com                                </w:t>
                    </w:r>
                    <w:r>
                      <w:rPr>
                        <w:rFonts w:ascii="Microsoft YaHei" w:eastAsia="Microsoft YaHei" w:hAnsi="Microsoft YaHei" w:cs="Microsoft YaHei"/>
                        <w:color w:val="D8D8D8"/>
                        <w:spacing w:val="-1"/>
                        <w:sz w:val="18"/>
                        <w:szCs w:val="18"/>
                      </w:rPr>
                      <w:t xml:space="preserve">                                                                 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4"/>
                        <w:sz w:val="18"/>
                        <w:szCs w:val="18"/>
                      </w:rPr>
                      <w:t>4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31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https://d.book118.com/807030133001006052</w:t>
        </w:r>
      </w:hyperlink>
    </w:p>
    <w:p>
      <w:pPr>
        <w:spacing w:line="331" w:lineRule="exact"/>
      </w:pPr>
    </w:p>
    <w:sectPr>
      <w:type w:val="nextPage"/>
      <w:pgSz w:w="11906" w:h="16839"/>
      <w:pgMar w:top="909" w:right="1691" w:bottom="0" w:left="1766" w:header="0" w:footer="0" w:gutter="0"/>
      <w:pgNumType w:start="6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24"/>
      <w:szCs w:val="24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YaHei" w:eastAsia="Microsoft YaHei" w:hAnsi="Microsoft YaHei" w:cs="Microsoft YaHei"/>
      <w:sz w:val="18"/>
      <w:szCs w:val="1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807030133001006052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anjuke</dc:creator>
  <cp:revision>0</cp:revision>
  <dcterms:created xsi:type="dcterms:W3CDTF">2024-03-12T20:35:33Z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2024-03-12T20:45:07Z</vt:filetime>
  </property>
  <property fmtid="{D5CDD505-2E9C-101B-9397-08002B2CF9AE}" pid="3" name="CRO">
    <vt:lpwstr>wqlLaW5nc29mdCBQREYgdG8gV1BTIDkw</vt:lpwstr>
  </property>
</Properties>
</file>