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2015-2023年安徽现代信息工程职业学院高职单招（数学／语文／英语）历年参考题库带答案解析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《麦琪的礼物》运用了哪种结构方法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A.一虚一实，虚实结合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“譬如为山，未成一篑，止，吾止也；譬如平地，虽复一篑，进，吾往也”这段话所用的逻辑论证方法是（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C.类比、归纳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D.对比、类比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孔子认为“大同”“小康”之间最根本的区别是（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A.人事制度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B.物质文明建设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C.所有制形式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D.精神文明建设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梁启超《论毅力》写于（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A.戊戌变法之前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B.戊戌变法失败后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C.五四运动之时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D.五四运动之后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《选择与安排》一文的作者朱光潜是我国著名的（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D.表演艺术家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李白被称为（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A.诗圣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B.诗豪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C.诗鬼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D.诗仙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孔子认为他所生活的时代是（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A.大同时代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B.三代之英的时代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https://d.book118.com/807035110035006045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07035110035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