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spacing w:before="60"/>
        <w:ind w:left="0" w:right="8527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废气处理设备工程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0"/>
        <w:rPr>
          <w:rFonts w:ascii="黑体"/>
          <w:b/>
          <w:sz w:val="36"/>
        </w:rPr>
      </w:pPr>
    </w:p>
    <w:p>
      <w:pPr>
        <w:spacing w:before="1"/>
        <w:ind w:left="0" w:right="8466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可行性报告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9"/>
        <w:rPr>
          <w:rFonts w:ascii="黑体"/>
          <w:b/>
          <w:sz w:val="22"/>
        </w:rPr>
      </w:pPr>
    </w:p>
    <w:p>
      <w:pPr>
        <w:pStyle w:val="Heading2"/>
        <w:ind w:left="4253" w:right="4554"/>
        <w:jc w:val="center"/>
        <w:rPr>
          <w:rFonts w:ascii="黑体" w:eastAsia="黑体" w:hint="eastAsia"/>
        </w:rPr>
      </w:pPr>
      <w:r>
        <w:rPr>
          <w:rFonts w:ascii="黑体" w:eastAsia="黑体" w:hint="eastAsia"/>
          <w:spacing w:val="2"/>
          <w:w w:val="95"/>
        </w:rPr>
        <w:t>规划设计</w:t>
      </w:r>
      <w:r>
        <w:rPr>
          <w:rFonts w:ascii="黑体" w:eastAsia="黑体" w:hint="eastAsia"/>
          <w:w w:val="95"/>
        </w:rPr>
        <w:t>/投资分析/实施方案</w:t>
      </w:r>
    </w:p>
    <w:p>
      <w:pPr>
        <w:spacing w:after="0"/>
        <w:jc w:val="center"/>
        <w:rPr>
          <w:rFonts w:ascii="黑体" w:eastAsia="黑体" w:hint="eastAsia"/>
        </w:rPr>
        <w:sectPr>
          <w:type w:val="continuous"/>
          <w:pgSz w:w="18360" w:h="23760"/>
          <w:pgMar w:top="2300" w:right="1220" w:bottom="280" w:left="1520" w:header="708" w:footer="708"/>
          <w:cols w:space="708"/>
        </w:sectPr>
      </w:pPr>
    </w:p>
    <w:p>
      <w:pPr>
        <w:pStyle w:val="BodyText"/>
        <w:spacing w:before="17"/>
        <w:ind w:left="4253" w:right="4547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摘要</w:t>
      </w:r>
    </w:p>
    <w:p>
      <w:pPr>
        <w:pStyle w:val="BodyText"/>
        <w:spacing w:before="11"/>
        <w:rPr>
          <w:rFonts w:ascii="幼圆"/>
          <w:sz w:val="30"/>
        </w:rPr>
      </w:pPr>
    </w:p>
    <w:p>
      <w:pPr>
        <w:pStyle w:val="BodyText"/>
        <w:spacing w:line="405" w:lineRule="auto"/>
        <w:ind w:left="280" w:right="709" w:firstLine="900"/>
      </w:pPr>
      <w:r>
        <w:rPr>
          <w:spacing w:val="-9"/>
        </w:rPr>
        <w:t xml:space="preserve">该废气处理设备工程打算总投资 </w:t>
      </w:r>
      <w:r>
        <w:rPr>
          <w:spacing w:val="-1"/>
        </w:rPr>
        <w:t>10180.87</w:t>
      </w:r>
      <w:r>
        <w:rPr>
          <w:spacing w:val="-12"/>
        </w:rPr>
        <w:t xml:space="preserve"> 万元，其中：固定资产投资</w:t>
      </w:r>
      <w:r>
        <w:rPr>
          <w:w w:val="95"/>
        </w:rPr>
        <w:t>8712.02</w:t>
      </w:r>
      <w:r>
        <w:rPr>
          <w:spacing w:val="1"/>
          <w:w w:val="95"/>
        </w:rPr>
        <w:t xml:space="preserve"> 万元，占工程总投资的 </w:t>
      </w:r>
      <w:r>
        <w:rPr>
          <w:w w:val="95"/>
        </w:rPr>
        <w:t>85.57%；</w:t>
      </w:r>
      <w:r>
        <w:rPr>
          <w:spacing w:val="3"/>
          <w:w w:val="95"/>
        </w:rPr>
        <w:t xml:space="preserve">流淌资金 </w:t>
      </w:r>
      <w:r>
        <w:rPr>
          <w:w w:val="95"/>
        </w:rPr>
        <w:t>1468.85 万元，占工程</w:t>
      </w:r>
      <w:r>
        <w:rPr>
          <w:spacing w:val="-1"/>
        </w:rPr>
        <w:t>总</w:t>
      </w:r>
      <w:r>
        <w:rPr>
          <w:spacing w:val="-29"/>
        </w:rPr>
        <w:t xml:space="preserve">投资的 </w:t>
      </w:r>
      <w:r>
        <w:t>14.43%。</w:t>
      </w:r>
    </w:p>
    <w:p>
      <w:pPr>
        <w:pStyle w:val="BodyText"/>
        <w:spacing w:line="405" w:lineRule="auto"/>
        <w:ind w:left="280" w:right="708" w:firstLine="900"/>
      </w:pPr>
      <w:r>
        <w:rPr>
          <w:spacing w:val="7"/>
          <w:w w:val="95"/>
        </w:rPr>
        <w:t xml:space="preserve">达产年营业收入 </w:t>
      </w:r>
      <w:r>
        <w:rPr>
          <w:w w:val="95"/>
        </w:rPr>
        <w:t>12423.00</w:t>
      </w:r>
      <w:r>
        <w:rPr>
          <w:spacing w:val="9"/>
          <w:w w:val="95"/>
        </w:rPr>
        <w:t xml:space="preserve"> 万元，总本钱费用 </w:t>
      </w:r>
      <w:r>
        <w:rPr>
          <w:w w:val="95"/>
        </w:rPr>
        <w:t>9907.08</w:t>
      </w:r>
      <w:r>
        <w:rPr>
          <w:spacing w:val="4"/>
          <w:w w:val="95"/>
        </w:rPr>
        <w:t xml:space="preserve"> 万元，税金及附</w:t>
      </w:r>
      <w:r>
        <w:rPr>
          <w:spacing w:val="-55"/>
        </w:rPr>
        <w:t xml:space="preserve">加 </w:t>
      </w:r>
      <w:r>
        <w:rPr>
          <w:spacing w:val="-1"/>
        </w:rPr>
        <w:t>160.21</w:t>
      </w:r>
      <w:r>
        <w:rPr>
          <w:spacing w:val="-28"/>
        </w:rPr>
        <w:t xml:space="preserve"> 万元，利润总额 </w:t>
      </w:r>
      <w:r>
        <w:rPr>
          <w:spacing w:val="-1"/>
        </w:rPr>
        <w:t>2515.92</w:t>
      </w:r>
      <w:r>
        <w:rPr>
          <w:spacing w:val="-27"/>
        </w:rPr>
        <w:t xml:space="preserve"> 万元，利税总额 </w:t>
      </w:r>
      <w:r>
        <w:t>3023.15</w:t>
      </w:r>
      <w:r>
        <w:rPr>
          <w:spacing w:val="-18"/>
        </w:rPr>
        <w:t xml:space="preserve"> 万元，税后净</w:t>
      </w:r>
      <w:r>
        <w:rPr>
          <w:spacing w:val="-10"/>
          <w:w w:val="95"/>
        </w:rPr>
        <w:t xml:space="preserve">利润 </w:t>
      </w:r>
      <w:r>
        <w:rPr>
          <w:w w:val="95"/>
        </w:rPr>
        <w:t>1886.94</w:t>
      </w:r>
      <w:r>
        <w:rPr>
          <w:spacing w:val="-9"/>
          <w:w w:val="95"/>
        </w:rPr>
        <w:t xml:space="preserve"> 万元，达产年纳税总额 </w:t>
      </w:r>
      <w:r>
        <w:rPr>
          <w:w w:val="95"/>
        </w:rPr>
        <w:t>1136.21</w:t>
      </w:r>
      <w:r>
        <w:rPr>
          <w:spacing w:val="-7"/>
          <w:w w:val="95"/>
        </w:rPr>
        <w:t xml:space="preserve"> 万元；达产年投资利润率</w:t>
      </w:r>
      <w:r>
        <w:rPr>
          <w:spacing w:val="-1"/>
        </w:rPr>
        <w:t>24.71%，</w:t>
      </w:r>
      <w:r>
        <w:rPr>
          <w:spacing w:val="-19"/>
        </w:rPr>
        <w:t xml:space="preserve">投资利税率 </w:t>
      </w:r>
      <w:r>
        <w:t>29.69</w:t>
      </w:r>
      <w:r>
        <w:rPr>
          <w:spacing w:val="-14"/>
        </w:rPr>
        <w:t xml:space="preserve">%，投资回报率 </w:t>
      </w:r>
      <w:r>
        <w:t>18.53%，全部投资回收期 6.90</w:t>
      </w:r>
      <w:r>
        <w:rPr>
          <w:spacing w:val="1"/>
        </w:rPr>
        <w:t xml:space="preserve"> </w:t>
      </w:r>
      <w:r>
        <w:rPr>
          <w:spacing w:val="-13"/>
        </w:rPr>
        <w:t xml:space="preserve">年，供给就业职位 </w:t>
      </w:r>
      <w:r>
        <w:t>253</w:t>
      </w:r>
      <w:r>
        <w:rPr>
          <w:spacing w:val="-39"/>
        </w:rPr>
        <w:t xml:space="preserve"> 个。</w:t>
      </w:r>
    </w:p>
    <w:p>
      <w:pPr>
        <w:pStyle w:val="BodyText"/>
        <w:spacing w:line="405" w:lineRule="auto"/>
        <w:ind w:left="280" w:right="489" w:firstLine="900"/>
      </w:pPr>
      <w:r>
        <w:t>坚持“实事求是”原则。工程承办单位的治理决策层要以求实、科学</w:t>
      </w:r>
      <w:r>
        <w:rPr>
          <w:spacing w:val="1"/>
        </w:rPr>
        <w:t xml:space="preserve"> </w:t>
      </w:r>
      <w:r>
        <w:rPr>
          <w:spacing w:val="-1"/>
        </w:rPr>
        <w:t>的态度，严格按国家《建设工程经济评价方法与参数》</w:t>
      </w:r>
      <w:r>
        <w:t>〔第三版〕的要求，</w:t>
      </w:r>
      <w:r>
        <w:rPr>
          <w:spacing w:val="-222"/>
        </w:rPr>
        <w:t xml:space="preserve"> </w:t>
      </w:r>
      <w:r>
        <w:t>在全面完成调查争论根底上，进展细致的论证和比较，做到技术先进、可</w:t>
      </w:r>
      <w:r>
        <w:rPr>
          <w:spacing w:val="1"/>
        </w:rPr>
        <w:t xml:space="preserve"> </w:t>
      </w:r>
      <w:r>
        <w:t>靠、经济合理，为投资决策供给牢靠的依据，同时，以客观公正立场、科</w:t>
      </w:r>
      <w:r>
        <w:rPr>
          <w:spacing w:val="1"/>
        </w:rPr>
        <w:t xml:space="preserve"> </w:t>
      </w:r>
      <w:r>
        <w:t>学严谨的态度对工程的经济效益做出科学的评价。</w:t>
      </w:r>
    </w:p>
    <w:p>
      <w:pPr>
        <w:pStyle w:val="BodyText"/>
        <w:spacing w:line="405" w:lineRule="auto"/>
        <w:ind w:left="280" w:right="489" w:firstLine="900"/>
      </w:pPr>
      <w:r>
        <w:t>烟气处理设备指在国民经济运行中用于由化石原料燃烧产生的粉尘、</w:t>
      </w:r>
      <w:r>
        <w:rPr>
          <w:spacing w:val="1"/>
        </w:rPr>
        <w:t xml:space="preserve"> </w:t>
      </w:r>
      <w:r>
        <w:t>硫氧化合物、氮氧化合物等有毒有害气体处理，使其满足国家大气排放标</w:t>
      </w:r>
      <w:r>
        <w:rPr>
          <w:spacing w:val="1"/>
        </w:rPr>
        <w:t xml:space="preserve"> </w:t>
      </w:r>
      <w:r>
        <w:t>准或对环境无害的环保设施。烟气处理设备行业是指以废气处理设备为中</w:t>
      </w:r>
      <w:r>
        <w:rPr>
          <w:spacing w:val="1"/>
        </w:rPr>
        <w:t xml:space="preserve"> </w:t>
      </w:r>
      <w:r>
        <w:rPr>
          <w:spacing w:val="-1"/>
        </w:rPr>
        <w:t>心，囊括设备制造方、设备需求方、市场监管主体及其他上下游相关企业、</w:t>
      </w:r>
      <w:r>
        <w:t>组织、人员的总成。</w:t>
      </w:r>
    </w:p>
    <w:p>
      <w:pPr>
        <w:spacing w:after="0" w:line="40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https://d.book118.com/807043122132006024</w:t>
        </w:r>
      </w:hyperlink>
    </w:p>
    <w:p>
      <w:pPr>
        <w:spacing w:after="0" w:line="405" w:lineRule="auto"/>
      </w:pPr>
    </w:p>
    <w:sectPr>
      <w:pgSz w:w="18360" w:h="23760"/>
      <w:pgMar w:top="2300" w:right="122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704312213200602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2023-11-05T13:26:16Z</dcterms:created>
  <dcterms:modified xsi:type="dcterms:W3CDTF">2023-11-05T13:26:16Z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2023-05-08T00:00:00Z</vt:filetime>
  </property>
  <property fmtid="{D5CDD505-2E9C-101B-9397-08002B2CF9AE}" pid="3" name="LastSaved">
    <vt:filetime>2023-11-05T00:00:00Z</vt:filetime>
  </property>
</Properties>
</file>