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8"/>
        </w:rPr>
      </w:pPr>
    </w:p>
    <w:p>
      <w:pPr>
        <w:spacing w:before="0" w:line="921" w:lineRule="exact"/>
        <w:ind w:left="0" w:right="101" w:firstLine="0"/>
        <w:jc w:val="center"/>
        <w:rPr>
          <w:sz w:val="72"/>
        </w:rPr>
      </w:pPr>
      <w:bookmarkStart w:id="0" w:name="建设项目环境影响报告表"/>
      <w:bookmarkEnd w:id="0"/>
      <w:r>
        <w:rPr>
          <w:sz w:val="72"/>
        </w:rPr>
        <w:t>建设项目环境影响报告表</w:t>
      </w:r>
    </w:p>
    <w:p>
      <w:pPr>
        <w:spacing w:before="200"/>
        <w:ind w:left="0" w:right="101" w:firstLine="0"/>
        <w:jc w:val="center"/>
        <w:rPr>
          <w:sz w:val="48"/>
        </w:rPr>
      </w:pPr>
      <w:r>
        <w:rPr>
          <w:sz w:val="48"/>
        </w:rPr>
        <w:t>（生态影响类）</w:t>
      </w:r>
    </w:p>
    <w:p>
      <w:pPr>
        <w:pStyle w:val="BodyText"/>
        <w:rPr>
          <w:sz w:val="48"/>
        </w:rPr>
      </w:pPr>
    </w:p>
    <w:p>
      <w:pPr>
        <w:pStyle w:val="BodyText"/>
        <w:rPr>
          <w:sz w:val="48"/>
        </w:rPr>
      </w:pPr>
    </w:p>
    <w:p>
      <w:pPr>
        <w:pStyle w:val="BodyText"/>
        <w:rPr>
          <w:sz w:val="48"/>
        </w:rPr>
      </w:pPr>
    </w:p>
    <w:p>
      <w:pPr>
        <w:pStyle w:val="BodyText"/>
        <w:spacing w:before="3"/>
        <w:rPr>
          <w:sz w:val="61"/>
        </w:rPr>
      </w:pPr>
    </w:p>
    <w:p>
      <w:pPr>
        <w:tabs>
          <w:tab w:val="left" w:pos="3757"/>
        </w:tabs>
        <w:spacing w:before="1"/>
        <w:ind w:left="1237" w:right="0" w:firstLine="0"/>
        <w:jc w:val="left"/>
        <w:rPr>
          <w:sz w:val="36"/>
        </w:rPr>
      </w:pPr>
      <w:r>
        <w:pict>
          <v:group id="_x0000_s1025" style="width:297pt;height:0.85pt;margin-top:19.84pt;margin-left:212.85pt;mso-position-horizontal-relative:page;position:absolute;z-index:-251658240" coordorigin="4257,397" coordsize="5940,17">
            <v:line id="_x0000_s1026" style="position:absolute" from="4257,405" to="4977,405" stroked="t" strokecolor="black" strokeweight="0.84pt">
              <v:stroke dashstyle="solid"/>
            </v:line>
            <v:line id="_x0000_s1027" style="position:absolute" from="4977,405" to="9297,405" stroked="t" strokecolor="red" strokeweight="0.84pt">
              <v:stroke dashstyle="solid"/>
            </v:line>
            <v:line id="_x0000_s1028" style="position:absolute" from="9297,405" to="10197,405" stroked="t" strokecolor="black" strokeweight="0.84pt">
              <v:stroke dashstyle="solid"/>
            </v:line>
          </v:group>
        </w:pict>
      </w:r>
      <w:r>
        <w:rPr>
          <w:sz w:val="36"/>
        </w:rPr>
        <w:t>项目名称：</w:t>
        <w:tab/>
      </w:r>
      <w:r>
        <w:rPr>
          <w:color w:val="FF0000"/>
          <w:sz w:val="36"/>
        </w:rPr>
        <w:t>阜宁县串通河治理工程项目</w:t>
      </w:r>
    </w:p>
    <w:p>
      <w:pPr>
        <w:tabs>
          <w:tab w:val="left" w:pos="5017"/>
          <w:tab w:val="left" w:pos="5557"/>
          <w:tab w:val="left" w:pos="8887"/>
          <w:tab w:val="left" w:pos="8976"/>
        </w:tabs>
        <w:spacing w:before="98" w:line="292" w:lineRule="auto"/>
        <w:ind w:left="1237" w:right="588" w:firstLine="0"/>
        <w:jc w:val="left"/>
        <w:rPr>
          <w:sz w:val="36"/>
        </w:rPr>
      </w:pPr>
      <w:r>
        <w:rPr>
          <w:sz w:val="36"/>
        </w:rPr>
        <w:t>建设单位（盖章）：</w:t>
      </w:r>
      <w:r>
        <w:rPr>
          <w:sz w:val="36"/>
          <w:u w:val="single"/>
        </w:rPr>
        <w:t xml:space="preserve"> </w:t>
        <w:tab/>
        <w:tab/>
        <w:t>阜宁县水务局</w:t>
        <w:tab/>
        <w:tab/>
        <w:t xml:space="preserve"> </w:t>
      </w:r>
      <w:r>
        <w:rPr>
          <w:sz w:val="36"/>
        </w:rPr>
        <w:t>编制日期：</w:t>
      </w:r>
      <w:r>
        <w:rPr>
          <w:sz w:val="36"/>
          <w:u w:val="single"/>
        </w:rPr>
        <w:t xml:space="preserve"> </w:t>
        <w:tab/>
      </w:r>
      <w:r>
        <w:rPr>
          <w:rFonts w:ascii="Times New Roman" w:eastAsia="Times New Roman"/>
          <w:sz w:val="36"/>
          <w:u w:val="single"/>
        </w:rPr>
        <w:t xml:space="preserve">2024 </w:t>
      </w:r>
      <w:r>
        <w:rPr>
          <w:sz w:val="36"/>
          <w:u w:val="single"/>
        </w:rPr>
        <w:t>年</w:t>
      </w:r>
      <w:r>
        <w:rPr>
          <w:spacing w:val="-90"/>
          <w:sz w:val="36"/>
          <w:u w:val="single"/>
        </w:rPr>
        <w:t xml:space="preserve"> </w:t>
      </w:r>
      <w:r>
        <w:rPr>
          <w:rFonts w:ascii="Times New Roman" w:eastAsia="Times New Roman"/>
          <w:sz w:val="36"/>
          <w:u w:val="single"/>
        </w:rPr>
        <w:t xml:space="preserve">2 </w:t>
      </w:r>
      <w:r>
        <w:rPr>
          <w:sz w:val="36"/>
          <w:u w:val="single"/>
        </w:rPr>
        <w:t>月</w:t>
        <w:tab/>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88"/>
        <w:ind w:left="0" w:right="101" w:firstLine="0"/>
        <w:jc w:val="center"/>
        <w:rPr>
          <w:sz w:val="36"/>
        </w:rPr>
      </w:pPr>
      <w:r>
        <w:rPr>
          <w:sz w:val="36"/>
        </w:rPr>
        <w:t>中华人民共和国生态环境部制</w:t>
      </w:r>
    </w:p>
    <w:p>
      <w:pPr>
        <w:spacing w:after="0"/>
        <w:jc w:val="center"/>
        <w:rPr>
          <w:sz w:val="36"/>
        </w:rPr>
        <w:sectPr>
          <w:type w:val="continuous"/>
          <w:pgSz w:w="11910" w:h="16840"/>
          <w:pgMar w:top="1580" w:right="1120" w:bottom="280" w:left="1220" w:header="708" w:footer="708"/>
          <w:cols w:space="708"/>
        </w:sectPr>
      </w:pPr>
    </w:p>
    <w:p>
      <w:pPr>
        <w:spacing w:before="44"/>
        <w:ind w:left="0" w:right="101" w:firstLine="0"/>
        <w:jc w:val="center"/>
        <w:rPr>
          <w:sz w:val="30"/>
        </w:rPr>
      </w:pPr>
      <w:r>
        <w:rPr>
          <w:sz w:val="30"/>
        </w:rPr>
        <w:t>目录</w:t>
      </w:r>
    </w:p>
    <w:sdt>
      <w:sdtPr>
        <w:id w:val="1073085033"/>
        <w:docPartObj>
          <w:docPartGallery w:val="Table of Contents"/>
          <w:docPartUnique/>
        </w:docPartObj>
      </w:sdtPr>
      <w:sdtContent>
        <w:p>
          <w:pPr>
            <w:pStyle w:val="TOC1"/>
            <w:tabs>
              <w:tab w:val="right" w:leader="dot" w:pos="9069"/>
            </w:tabs>
            <w:spacing w:before="196"/>
            <w:rPr>
              <w:rFonts w:ascii="Times New Roman" w:eastAsia="Times New Roman"/>
            </w:rPr>
          </w:pPr>
          <w:hyperlink w:anchor="_TOC_250004" w:history="1">
            <w:r>
              <w:t>一、建设项目基本情况</w:t>
              <w:tab/>
            </w:r>
            <w:r>
              <w:rPr>
                <w:rFonts w:ascii="Times New Roman" w:eastAsia="Times New Roman"/>
              </w:rPr>
              <w:t>1</w:t>
            </w:r>
          </w:hyperlink>
        </w:p>
        <w:p>
          <w:pPr>
            <w:pStyle w:val="TOC1"/>
            <w:tabs>
              <w:tab w:val="right" w:leader="dot" w:pos="9069"/>
            </w:tabs>
            <w:spacing w:before="160"/>
            <w:rPr>
              <w:rFonts w:ascii="Times New Roman" w:eastAsia="Times New Roman"/>
            </w:rPr>
          </w:pPr>
          <w:hyperlink w:anchor="_TOC_250003" w:history="1">
            <w:r>
              <w:t>二、建设内容</w:t>
              <w:tab/>
            </w:r>
            <w:r>
              <w:rPr>
                <w:rFonts w:ascii="Times New Roman" w:eastAsia="Times New Roman"/>
              </w:rPr>
              <w:t>18</w:t>
            </w:r>
          </w:hyperlink>
        </w:p>
        <w:p>
          <w:pPr>
            <w:pStyle w:val="TOC1"/>
            <w:tabs>
              <w:tab w:val="right" w:leader="dot" w:pos="9069"/>
            </w:tabs>
            <w:spacing w:before="159"/>
            <w:rPr>
              <w:rFonts w:ascii="Times New Roman" w:eastAsia="Times New Roman"/>
            </w:rPr>
          </w:pPr>
          <w:r>
            <w:t>三、生态环境现状、环境目标及评价标准</w:t>
            <w:tab/>
          </w:r>
          <w:r>
            <w:rPr>
              <w:rFonts w:ascii="Times New Roman" w:eastAsia="Times New Roman"/>
            </w:rPr>
            <w:t>32</w:t>
          </w:r>
        </w:p>
        <w:p>
          <w:pPr>
            <w:pStyle w:val="TOC1"/>
            <w:tabs>
              <w:tab w:val="right" w:leader="dot" w:pos="9069"/>
            </w:tabs>
            <w:spacing w:before="160"/>
            <w:rPr>
              <w:rFonts w:ascii="Times New Roman" w:eastAsia="Times New Roman"/>
            </w:rPr>
          </w:pPr>
          <w:hyperlink w:anchor="_TOC_250002" w:history="1">
            <w:r>
              <w:t>四、生态环境影响分析</w:t>
              <w:tab/>
            </w:r>
            <w:r>
              <w:rPr>
                <w:rFonts w:ascii="Times New Roman" w:eastAsia="Times New Roman"/>
              </w:rPr>
              <w:t>44</w:t>
            </w:r>
          </w:hyperlink>
        </w:p>
        <w:p>
          <w:pPr>
            <w:pStyle w:val="TOC1"/>
            <w:tabs>
              <w:tab w:val="right" w:leader="dot" w:pos="9069"/>
            </w:tabs>
            <w:rPr>
              <w:rFonts w:ascii="Times New Roman" w:eastAsia="Times New Roman"/>
            </w:rPr>
          </w:pPr>
          <w:hyperlink w:anchor="_TOC_250001" w:history="1">
            <w:r>
              <w:t>五、主要生态环境保护措施</w:t>
              <w:tab/>
            </w:r>
            <w:r>
              <w:rPr>
                <w:rFonts w:ascii="Times New Roman" w:eastAsia="Times New Roman"/>
              </w:rPr>
              <w:t>56</w:t>
            </w:r>
          </w:hyperlink>
        </w:p>
        <w:p>
          <w:pPr>
            <w:pStyle w:val="TOC1"/>
            <w:tabs>
              <w:tab w:val="right" w:leader="dot" w:pos="9069"/>
            </w:tabs>
            <w:spacing w:before="161"/>
            <w:rPr>
              <w:rFonts w:ascii="Times New Roman" w:eastAsia="Times New Roman"/>
            </w:rPr>
          </w:pPr>
          <w:r>
            <w:t>六、生态环境保护措施监督检测清单</w:t>
            <w:tab/>
          </w:r>
          <w:r>
            <w:rPr>
              <w:rFonts w:ascii="Times New Roman" w:eastAsia="Times New Roman"/>
            </w:rPr>
            <w:t>72</w:t>
          </w:r>
        </w:p>
        <w:p>
          <w:pPr>
            <w:pStyle w:val="TOC1"/>
            <w:tabs>
              <w:tab w:val="right" w:leader="dot" w:pos="9069"/>
            </w:tabs>
            <w:rPr>
              <w:rFonts w:ascii="Times New Roman" w:eastAsia="Times New Roman"/>
            </w:rPr>
          </w:pPr>
          <w:hyperlink w:anchor="_TOC_250000" w:history="1">
            <w:r>
              <w:t>七、结论</w:t>
              <w:tab/>
            </w:r>
            <w:r>
              <w:rPr>
                <w:rFonts w:ascii="Times New Roman" w:eastAsia="Times New Roman"/>
              </w:rPr>
              <w:t>75</w:t>
            </w:r>
          </w:hyperlink>
        </w:p>
      </w:sdtContent>
    </w:sdt>
    <w:p>
      <w:pPr>
        <w:pStyle w:val="BodyText"/>
        <w:spacing w:before="160"/>
        <w:ind w:left="198"/>
      </w:pPr>
      <w:r>
        <w:t>附图：</w:t>
      </w:r>
    </w:p>
    <w:p>
      <w:pPr>
        <w:pStyle w:val="BodyText"/>
        <w:tabs>
          <w:tab w:val="left" w:pos="1098"/>
        </w:tabs>
        <w:spacing w:before="158"/>
        <w:ind w:left="198"/>
      </w:pPr>
      <w:r>
        <w:t>附图</w:t>
      </w:r>
      <w:r>
        <w:rPr>
          <w:spacing w:val="-60"/>
        </w:rPr>
        <w:t xml:space="preserve"> </w:t>
      </w:r>
      <w:r>
        <w:rPr>
          <w:rFonts w:ascii="Times New Roman" w:eastAsia="Times New Roman"/>
        </w:rPr>
        <w:t>1</w:t>
        <w:tab/>
      </w:r>
      <w:r>
        <w:t>项目地理位置示意图</w:t>
      </w:r>
    </w:p>
    <w:p>
      <w:pPr>
        <w:pStyle w:val="BodyText"/>
        <w:tabs>
          <w:tab w:val="left" w:pos="1098"/>
        </w:tabs>
        <w:spacing w:before="161"/>
        <w:ind w:left="198"/>
      </w:pPr>
      <w:r>
        <w:t>附图</w:t>
      </w:r>
      <w:r>
        <w:rPr>
          <w:spacing w:val="-60"/>
        </w:rPr>
        <w:t xml:space="preserve"> </w:t>
      </w:r>
      <w:r>
        <w:rPr>
          <w:rFonts w:ascii="Times New Roman" w:eastAsia="Times New Roman"/>
        </w:rPr>
        <w:t>2</w:t>
        <w:tab/>
      </w:r>
      <w:r>
        <w:t>项目工程总体平面布置图</w:t>
      </w:r>
    </w:p>
    <w:p>
      <w:pPr>
        <w:pStyle w:val="BodyText"/>
        <w:tabs>
          <w:tab w:val="left" w:pos="1098"/>
        </w:tabs>
        <w:spacing w:before="160"/>
        <w:ind w:left="198"/>
      </w:pPr>
      <w:r>
        <w:t>附图</w:t>
      </w:r>
      <w:r>
        <w:rPr>
          <w:spacing w:val="-60"/>
        </w:rPr>
        <w:t xml:space="preserve"> </w:t>
      </w:r>
      <w:r>
        <w:rPr>
          <w:rFonts w:ascii="Times New Roman" w:eastAsia="Times New Roman"/>
        </w:rPr>
        <w:t>3</w:t>
        <w:tab/>
      </w:r>
      <w:r>
        <w:t>项目施工总体布置图</w:t>
      </w:r>
    </w:p>
    <w:p>
      <w:pPr>
        <w:pStyle w:val="BodyText"/>
        <w:tabs>
          <w:tab w:val="left" w:pos="1098"/>
        </w:tabs>
        <w:spacing w:before="158"/>
        <w:ind w:left="198"/>
      </w:pPr>
      <w:r>
        <w:t>附图</w:t>
      </w:r>
      <w:r>
        <w:rPr>
          <w:spacing w:val="-60"/>
        </w:rPr>
        <w:t xml:space="preserve"> </w:t>
      </w:r>
      <w:r>
        <w:rPr>
          <w:rFonts w:ascii="Times New Roman" w:eastAsia="Times New Roman"/>
        </w:rPr>
        <w:t>4</w:t>
        <w:tab/>
      </w:r>
      <w:r>
        <w:t>阜宁县生态空间管控区域图</w:t>
      </w:r>
    </w:p>
    <w:p>
      <w:pPr>
        <w:pStyle w:val="BodyText"/>
        <w:tabs>
          <w:tab w:val="left" w:pos="1098"/>
        </w:tabs>
        <w:spacing w:before="221"/>
        <w:ind w:left="198"/>
      </w:pPr>
      <w:r>
        <w:t>附图</w:t>
      </w:r>
      <w:r>
        <w:rPr>
          <w:spacing w:val="-60"/>
        </w:rPr>
        <w:t xml:space="preserve"> </w:t>
      </w:r>
      <w:r>
        <w:rPr>
          <w:rFonts w:ascii="Times New Roman" w:eastAsia="Times New Roman"/>
        </w:rPr>
        <w:t>5</w:t>
        <w:tab/>
      </w:r>
      <w:r>
        <w:t>盐城市环境管控单元图</w:t>
      </w:r>
    </w:p>
    <w:p>
      <w:pPr>
        <w:pStyle w:val="BodyText"/>
        <w:tabs>
          <w:tab w:val="left" w:pos="1098"/>
        </w:tabs>
        <w:spacing w:before="187"/>
        <w:ind w:left="198"/>
      </w:pPr>
      <w:r>
        <w:t>附图</w:t>
      </w:r>
      <w:r>
        <w:rPr>
          <w:spacing w:val="-60"/>
        </w:rPr>
        <w:t xml:space="preserve"> </w:t>
      </w:r>
      <w:r>
        <w:rPr>
          <w:rFonts w:ascii="Times New Roman" w:eastAsia="Times New Roman"/>
        </w:rPr>
        <w:t>6</w:t>
        <w:tab/>
      </w:r>
      <w:r>
        <w:t>江苏省环境管控单元图</w:t>
      </w:r>
    </w:p>
    <w:p>
      <w:pPr>
        <w:pStyle w:val="BodyText"/>
        <w:tabs>
          <w:tab w:val="left" w:pos="1098"/>
        </w:tabs>
        <w:spacing w:before="160"/>
        <w:ind w:left="198"/>
      </w:pPr>
      <w:r>
        <w:t>附图</w:t>
      </w:r>
      <w:r>
        <w:rPr>
          <w:spacing w:val="-60"/>
        </w:rPr>
        <w:t xml:space="preserve"> </w:t>
      </w:r>
      <w:r>
        <w:rPr>
          <w:rFonts w:ascii="Times New Roman" w:eastAsia="Times New Roman"/>
        </w:rPr>
        <w:t>7</w:t>
        <w:tab/>
      </w:r>
      <w:r>
        <w:t>江苏省生态空间保护区域分布示意图</w:t>
      </w:r>
    </w:p>
    <w:p>
      <w:pPr>
        <w:pStyle w:val="BodyText"/>
        <w:tabs>
          <w:tab w:val="left" w:pos="1098"/>
        </w:tabs>
        <w:spacing w:before="158"/>
        <w:ind w:left="198"/>
      </w:pPr>
      <w:r>
        <w:t>附图</w:t>
      </w:r>
      <w:r>
        <w:rPr>
          <w:spacing w:val="-60"/>
        </w:rPr>
        <w:t xml:space="preserve"> </w:t>
      </w:r>
      <w:r>
        <w:rPr>
          <w:rFonts w:ascii="Times New Roman" w:eastAsia="Times New Roman"/>
        </w:rPr>
        <w:t>8</w:t>
        <w:tab/>
      </w:r>
      <w:r>
        <w:t>项目周边水系图</w:t>
      </w:r>
    </w:p>
    <w:p>
      <w:pPr>
        <w:pStyle w:val="BodyText"/>
        <w:tabs>
          <w:tab w:val="left" w:pos="1098"/>
        </w:tabs>
        <w:spacing w:before="161"/>
        <w:ind w:left="198"/>
      </w:pPr>
      <w:r>
        <w:t>附图</w:t>
      </w:r>
      <w:r>
        <w:rPr>
          <w:spacing w:val="-60"/>
        </w:rPr>
        <w:t xml:space="preserve"> </w:t>
      </w:r>
      <w:r>
        <w:rPr>
          <w:rFonts w:ascii="Times New Roman" w:eastAsia="Times New Roman"/>
        </w:rPr>
        <w:t>9</w:t>
        <w:tab/>
      </w:r>
      <w:r>
        <w:t>项目敏感目标位置图</w:t>
      </w:r>
    </w:p>
    <w:p>
      <w:pPr>
        <w:pStyle w:val="BodyText"/>
        <w:tabs>
          <w:tab w:val="left" w:pos="1218"/>
        </w:tabs>
        <w:spacing w:before="158"/>
        <w:ind w:left="198"/>
      </w:pPr>
      <w:r>
        <w:t>附件</w:t>
      </w:r>
      <w:r>
        <w:rPr>
          <w:spacing w:val="-60"/>
        </w:rPr>
        <w:t xml:space="preserve"> </w:t>
      </w:r>
      <w:r>
        <w:rPr>
          <w:rFonts w:ascii="Times New Roman" w:eastAsia="Times New Roman"/>
        </w:rPr>
        <w:t>10</w:t>
        <w:tab/>
      </w:r>
      <w:r>
        <w:t>典型设施设计图</w:t>
      </w:r>
    </w:p>
    <w:p>
      <w:pPr>
        <w:pStyle w:val="BodyText"/>
        <w:spacing w:before="161"/>
        <w:ind w:left="198"/>
      </w:pPr>
      <w:r>
        <w:t xml:space="preserve">附件 </w:t>
      </w:r>
      <w:r>
        <w:rPr>
          <w:rFonts w:ascii="Times New Roman" w:eastAsia="Times New Roman"/>
        </w:rPr>
        <w:t xml:space="preserve">11 </w:t>
      </w:r>
      <w:r>
        <w:t>生态现状检测点位图</w:t>
      </w:r>
    </w:p>
    <w:p>
      <w:pPr>
        <w:pStyle w:val="BodyText"/>
        <w:spacing w:before="158"/>
        <w:ind w:left="198"/>
      </w:pPr>
      <w:r>
        <w:t xml:space="preserve">附图 </w:t>
      </w:r>
      <w:r>
        <w:rPr>
          <w:rFonts w:ascii="Times New Roman" w:eastAsia="Times New Roman"/>
        </w:rPr>
        <w:t xml:space="preserve">12 </w:t>
      </w:r>
      <w:r>
        <w:t>工程师现场照片</w:t>
      </w:r>
    </w:p>
    <w:p>
      <w:pPr>
        <w:pStyle w:val="BodyText"/>
        <w:rPr>
          <w:sz w:val="26"/>
        </w:rPr>
      </w:pPr>
    </w:p>
    <w:p>
      <w:pPr>
        <w:pStyle w:val="BodyText"/>
        <w:spacing w:before="11"/>
        <w:rPr>
          <w:sz w:val="18"/>
        </w:rPr>
      </w:pPr>
    </w:p>
    <w:p>
      <w:pPr>
        <w:pStyle w:val="BodyText"/>
        <w:spacing w:before="1"/>
        <w:ind w:left="198"/>
      </w:pPr>
      <w:r>
        <w:t>附件：</w:t>
      </w:r>
    </w:p>
    <w:p>
      <w:pPr>
        <w:pStyle w:val="BodyText"/>
        <w:tabs>
          <w:tab w:val="left" w:pos="1098"/>
        </w:tabs>
        <w:spacing w:before="158"/>
        <w:ind w:left="198"/>
      </w:pPr>
      <w:r>
        <w:t>附件</w:t>
      </w:r>
      <w:r>
        <w:rPr>
          <w:spacing w:val="-60"/>
        </w:rPr>
        <w:t xml:space="preserve"> </w:t>
      </w:r>
      <w:r>
        <w:rPr>
          <w:rFonts w:ascii="Times New Roman" w:eastAsia="Times New Roman"/>
        </w:rPr>
        <w:t>1</w:t>
        <w:tab/>
      </w:r>
      <w:r>
        <w:t>申请书</w:t>
      </w:r>
    </w:p>
    <w:p>
      <w:pPr>
        <w:pStyle w:val="BodyText"/>
        <w:tabs>
          <w:tab w:val="left" w:pos="1098"/>
        </w:tabs>
        <w:spacing w:before="158"/>
        <w:ind w:left="198"/>
      </w:pPr>
      <w:r>
        <w:t>附件</w:t>
      </w:r>
      <w:r>
        <w:rPr>
          <w:spacing w:val="-60"/>
        </w:rPr>
        <w:t xml:space="preserve"> </w:t>
      </w:r>
      <w:r>
        <w:rPr>
          <w:rFonts w:ascii="Times New Roman" w:eastAsia="Times New Roman"/>
        </w:rPr>
        <w:t>2</w:t>
        <w:tab/>
      </w:r>
      <w:r>
        <w:t>委托书</w:t>
      </w:r>
    </w:p>
    <w:p>
      <w:pPr>
        <w:pStyle w:val="BodyText"/>
        <w:tabs>
          <w:tab w:val="left" w:pos="1098"/>
        </w:tabs>
        <w:spacing w:before="160"/>
        <w:ind w:left="198"/>
      </w:pPr>
      <w:r>
        <w:t>附件</w:t>
      </w:r>
      <w:r>
        <w:rPr>
          <w:spacing w:val="-60"/>
        </w:rPr>
        <w:t xml:space="preserve"> </w:t>
      </w:r>
      <w:r>
        <w:rPr>
          <w:rFonts w:ascii="Times New Roman" w:eastAsia="Times New Roman"/>
        </w:rPr>
        <w:t>3</w:t>
        <w:tab/>
      </w:r>
      <w:r>
        <w:t>承诺书</w:t>
      </w:r>
    </w:p>
    <w:p>
      <w:pPr>
        <w:pStyle w:val="BodyText"/>
        <w:tabs>
          <w:tab w:val="left" w:pos="1098"/>
        </w:tabs>
        <w:spacing w:before="158"/>
        <w:ind w:left="198"/>
      </w:pPr>
      <w:r>
        <w:t>附件</w:t>
      </w:r>
      <w:r>
        <w:rPr>
          <w:spacing w:val="-60"/>
        </w:rPr>
        <w:t xml:space="preserve"> </w:t>
      </w:r>
      <w:r>
        <w:rPr>
          <w:rFonts w:ascii="Times New Roman" w:eastAsia="Times New Roman"/>
        </w:rPr>
        <w:t>4</w:t>
        <w:tab/>
      </w:r>
      <w:r>
        <w:t>法人证件</w:t>
      </w:r>
    </w:p>
    <w:p>
      <w:pPr>
        <w:pStyle w:val="BodyText"/>
        <w:tabs>
          <w:tab w:val="left" w:pos="1098"/>
        </w:tabs>
        <w:spacing w:before="161"/>
        <w:ind w:left="198"/>
      </w:pPr>
      <w:r>
        <w:t>附件</w:t>
      </w:r>
      <w:r>
        <w:rPr>
          <w:spacing w:val="-60"/>
        </w:rPr>
        <w:t xml:space="preserve"> </w:t>
      </w:r>
      <w:r>
        <w:rPr>
          <w:rFonts w:ascii="Times New Roman" w:eastAsia="Times New Roman"/>
        </w:rPr>
        <w:t>5</w:t>
        <w:tab/>
      </w:r>
      <w:r>
        <w:t>阜宁县串通河治理工程项目建议书批复</w:t>
      </w:r>
    </w:p>
    <w:p>
      <w:pPr>
        <w:pStyle w:val="BodyText"/>
        <w:tabs>
          <w:tab w:val="left" w:pos="1098"/>
        </w:tabs>
        <w:spacing w:before="160"/>
        <w:ind w:left="198"/>
      </w:pPr>
      <w:r>
        <w:t>附件</w:t>
      </w:r>
      <w:r>
        <w:rPr>
          <w:spacing w:val="-60"/>
        </w:rPr>
        <w:t xml:space="preserve"> </w:t>
      </w:r>
      <w:r>
        <w:rPr>
          <w:rFonts w:ascii="Times New Roman" w:eastAsia="Times New Roman"/>
        </w:rPr>
        <w:t>6</w:t>
        <w:tab/>
      </w:r>
      <w:r>
        <w:t>江苏省水利厅关于阜宁串通河治理工程设计审查的函</w:t>
      </w:r>
    </w:p>
    <w:p>
      <w:pPr>
        <w:spacing w:after="0"/>
        <w:sectPr>
          <w:pgSz w:w="11910" w:h="16840"/>
          <w:pgMar w:top="1360" w:right="1120" w:bottom="280" w:left="1220" w:header="708" w:footer="708"/>
          <w:pgNumType w:start="2"/>
          <w:cols w:space="708"/>
        </w:sectPr>
      </w:pPr>
    </w:p>
    <w:p>
      <w:pPr>
        <w:pStyle w:val="BodyText"/>
        <w:tabs>
          <w:tab w:val="left" w:pos="1098"/>
        </w:tabs>
        <w:spacing w:before="61"/>
        <w:ind w:left="198"/>
      </w:pPr>
      <w:r>
        <w:t>附件</w:t>
      </w:r>
      <w:r>
        <w:rPr>
          <w:spacing w:val="-60"/>
        </w:rPr>
        <w:t xml:space="preserve"> </w:t>
      </w:r>
      <w:r>
        <w:rPr>
          <w:rFonts w:ascii="Times New Roman" w:eastAsia="Times New Roman"/>
        </w:rPr>
        <w:t>7</w:t>
        <w:tab/>
      </w:r>
      <w:r>
        <w:t>盐城市水利局关于串通河治理工程初步设计的批复</w:t>
      </w:r>
    </w:p>
    <w:p>
      <w:pPr>
        <w:pStyle w:val="BodyText"/>
        <w:tabs>
          <w:tab w:val="left" w:pos="1098"/>
        </w:tabs>
        <w:spacing w:before="158"/>
        <w:ind w:left="198"/>
      </w:pPr>
      <w:r>
        <w:t>附件</w:t>
      </w:r>
      <w:r>
        <w:rPr>
          <w:spacing w:val="-60"/>
        </w:rPr>
        <w:t xml:space="preserve"> </w:t>
      </w:r>
      <w:r>
        <w:rPr>
          <w:rFonts w:ascii="Times New Roman" w:eastAsia="Times New Roman"/>
        </w:rPr>
        <w:t>8</w:t>
        <w:tab/>
      </w:r>
      <w:r>
        <w:t>现状检测报告</w:t>
      </w:r>
    </w:p>
    <w:p>
      <w:pPr>
        <w:pStyle w:val="BodyText"/>
        <w:tabs>
          <w:tab w:val="left" w:pos="1098"/>
        </w:tabs>
        <w:spacing w:before="161"/>
        <w:ind w:left="198"/>
      </w:pPr>
      <w:r>
        <w:t>附件</w:t>
      </w:r>
      <w:r>
        <w:rPr>
          <w:spacing w:val="-60"/>
        </w:rPr>
        <w:t xml:space="preserve"> </w:t>
      </w:r>
      <w:r>
        <w:rPr>
          <w:rFonts w:ascii="Times New Roman" w:eastAsia="Times New Roman"/>
        </w:rPr>
        <w:t>9</w:t>
        <w:tab/>
      </w:r>
      <w:r>
        <w:t>技术服务合同</w:t>
      </w:r>
    </w:p>
    <w:p>
      <w:pPr>
        <w:spacing w:after="0"/>
        <w:sectPr>
          <w:pgSz w:w="11910" w:h="16840"/>
          <w:pgMar w:top="1340" w:right="1120" w:bottom="280" w:left="1220" w:header="708" w:footer="708"/>
          <w:pgNumType w:start="3"/>
          <w:cols w:space="708"/>
        </w:sectPr>
      </w:pPr>
    </w:p>
    <w:p>
      <w:pPr>
        <w:pStyle w:val="BodyText"/>
        <w:rPr>
          <w:sz w:val="20"/>
        </w:rPr>
      </w:pPr>
      <w:r>
        <w:pict>
          <v:shapetype id="_x0000_t202" coordsize="21600,21600" o:spt="202" path="m,l,21600r21600,l21600,xe">
            <v:stroke joinstyle="miter"/>
            <v:path gradientshapeok="t" o:connecttype="rect"/>
          </v:shapetype>
          <v:shape id="_x0000_s1029" type="#_x0000_t202" style="width:453.4pt;height:618.15pt;margin-top:132.5pt;margin-left:76.07pt;mso-position-horizontal-relative:page;mso-position-vertical-relative:page;position:absolute;z-index:251659264" filled="f" stroked="f">
            <v:textbox inset="0,0,0,0">
              <w:txbxContent>
                <w:tbl>
                  <w:tblPr>
                    <w:tblStyle w:val="TableNormal0"/>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2737"/>
                    <w:gridCol w:w="2711"/>
                    <w:gridCol w:w="2547"/>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61"/>
                      <w:jc w:val="left"/>
                    </w:trPr>
                    <w:tc>
                      <w:tcPr>
                        <w:tcW w:w="1044" w:type="dxa"/>
                        <w:tcBorders>
                          <w:bottom w:val="single" w:sz="4" w:space="0" w:color="000000"/>
                          <w:right w:val="single" w:sz="4" w:space="0" w:color="000000"/>
                        </w:tcBorders>
                      </w:tcPr>
                      <w:p>
                        <w:pPr>
                          <w:pStyle w:val="TableParagraph"/>
                          <w:spacing w:before="17" w:line="270" w:lineRule="atLeast"/>
                          <w:ind w:left="311" w:right="88" w:hanging="212"/>
                          <w:rPr>
                            <w:sz w:val="21"/>
                          </w:rPr>
                        </w:pPr>
                        <w:r>
                          <w:rPr>
                            <w:sz w:val="21"/>
                          </w:rPr>
                          <w:t>建设项目名称</w:t>
                        </w:r>
                      </w:p>
                    </w:tc>
                    <w:tc>
                      <w:tcPr>
                        <w:tcW w:w="7995" w:type="dxa"/>
                        <w:gridSpan w:val="3"/>
                        <w:tcBorders>
                          <w:left w:val="single" w:sz="4" w:space="0" w:color="000000"/>
                          <w:bottom w:val="single" w:sz="4" w:space="0" w:color="000000"/>
                        </w:tcBorders>
                      </w:tcPr>
                      <w:p>
                        <w:pPr>
                          <w:pStyle w:val="TableParagraph"/>
                          <w:spacing w:before="152"/>
                          <w:ind w:left="18" w:right="4"/>
                          <w:jc w:val="center"/>
                          <w:rPr>
                            <w:sz w:val="21"/>
                          </w:rPr>
                        </w:pPr>
                        <w:r>
                          <w:rPr>
                            <w:sz w:val="21"/>
                          </w:rPr>
                          <w:t>阜宁县串通河治理工程项目</w:t>
                        </w:r>
                      </w:p>
                    </w:tc>
                  </w:tr>
                  <w:tr>
                    <w:tblPrEx>
                      <w:tblW w:w="0" w:type="auto"/>
                      <w:jc w:val="left"/>
                      <w:tblInd w:w="10" w:type="dxa"/>
                      <w:tblLayout w:type="fixed"/>
                      <w:tblCellMar>
                        <w:top w:w="0" w:type="dxa"/>
                        <w:left w:w="0" w:type="dxa"/>
                        <w:bottom w:w="0" w:type="dxa"/>
                        <w:right w:w="0" w:type="dxa"/>
                      </w:tblCellMar>
                      <w:tblLook w:val="01E0"/>
                    </w:tblPrEx>
                    <w:trPr>
                      <w:trHeight w:val="371"/>
                      <w:jc w:val="left"/>
                    </w:trPr>
                    <w:tc>
                      <w:tcPr>
                        <w:tcW w:w="1044" w:type="dxa"/>
                        <w:tcBorders>
                          <w:top w:val="single" w:sz="4" w:space="0" w:color="000000"/>
                          <w:bottom w:val="single" w:sz="4" w:space="0" w:color="000000"/>
                          <w:right w:val="single" w:sz="4" w:space="0" w:color="000000"/>
                        </w:tcBorders>
                      </w:tcPr>
                      <w:p>
                        <w:pPr>
                          <w:pStyle w:val="TableParagraph"/>
                          <w:spacing w:before="56"/>
                          <w:ind w:left="79" w:right="70"/>
                          <w:jc w:val="center"/>
                          <w:rPr>
                            <w:sz w:val="21"/>
                          </w:rPr>
                        </w:pPr>
                        <w:r>
                          <w:rPr>
                            <w:sz w:val="21"/>
                          </w:rPr>
                          <w:t>项目代码</w:t>
                        </w:r>
                      </w:p>
                    </w:tc>
                    <w:tc>
                      <w:tcPr>
                        <w:tcW w:w="7995" w:type="dxa"/>
                        <w:gridSpan w:val="3"/>
                        <w:tcBorders>
                          <w:top w:val="single" w:sz="4" w:space="0" w:color="000000"/>
                          <w:left w:val="single" w:sz="4" w:space="0" w:color="000000"/>
                          <w:bottom w:val="single" w:sz="4" w:space="0" w:color="000000"/>
                        </w:tcBorders>
                      </w:tcPr>
                      <w:p>
                        <w:pPr>
                          <w:pStyle w:val="TableParagraph"/>
                          <w:spacing w:before="70"/>
                          <w:ind w:left="24" w:right="4"/>
                          <w:jc w:val="center"/>
                          <w:rPr>
                            <w:rFonts w:ascii="Times New Roman"/>
                            <w:sz w:val="21"/>
                          </w:rPr>
                        </w:pPr>
                        <w:r>
                          <w:rPr>
                            <w:rFonts w:ascii="Times New Roman"/>
                            <w:sz w:val="21"/>
                          </w:rPr>
                          <w:t>2308-320923-89-01-483407</w:t>
                        </w:r>
                      </w:p>
                    </w:tc>
                  </w:tr>
                  <w:tr>
                    <w:tblPrEx>
                      <w:tblW w:w="0" w:type="auto"/>
                      <w:jc w:val="left"/>
                      <w:tblInd w:w="10" w:type="dxa"/>
                      <w:tblLayout w:type="fixed"/>
                      <w:tblCellMar>
                        <w:top w:w="0" w:type="dxa"/>
                        <w:left w:w="0" w:type="dxa"/>
                        <w:bottom w:w="0" w:type="dxa"/>
                        <w:right w:w="0" w:type="dxa"/>
                      </w:tblCellMar>
                      <w:tblLook w:val="01E0"/>
                    </w:tblPrEx>
                    <w:trPr>
                      <w:trHeight w:val="560"/>
                      <w:jc w:val="left"/>
                    </w:trPr>
                    <w:tc>
                      <w:tcPr>
                        <w:tcW w:w="1044" w:type="dxa"/>
                        <w:tcBorders>
                          <w:top w:val="single" w:sz="4" w:space="0" w:color="000000"/>
                          <w:bottom w:val="single" w:sz="4" w:space="0" w:color="000000"/>
                          <w:right w:val="single" w:sz="4" w:space="0" w:color="000000"/>
                        </w:tcBorders>
                      </w:tcPr>
                      <w:p>
                        <w:pPr>
                          <w:pStyle w:val="TableParagraph"/>
                          <w:spacing w:before="15" w:line="270" w:lineRule="atLeast"/>
                          <w:ind w:left="206" w:right="88" w:hanging="106"/>
                          <w:rPr>
                            <w:sz w:val="21"/>
                          </w:rPr>
                        </w:pPr>
                        <w:r>
                          <w:rPr>
                            <w:sz w:val="21"/>
                          </w:rPr>
                          <w:t>建设单位联系人</w:t>
                        </w:r>
                      </w:p>
                    </w:tc>
                    <w:tc>
                      <w:tcPr>
                        <w:tcW w:w="2737" w:type="dxa"/>
                        <w:tcBorders>
                          <w:top w:val="single" w:sz="4" w:space="0" w:color="000000"/>
                          <w:left w:val="single" w:sz="4" w:space="0" w:color="000000"/>
                          <w:bottom w:val="single" w:sz="4" w:space="0" w:color="000000"/>
                          <w:right w:val="single" w:sz="4" w:space="0" w:color="000000"/>
                        </w:tcBorders>
                      </w:tcPr>
                      <w:p>
                        <w:pPr>
                          <w:pStyle w:val="TableParagraph"/>
                          <w:spacing w:before="167"/>
                          <w:ind w:left="507" w:right="495"/>
                          <w:jc w:val="center"/>
                          <w:rPr>
                            <w:rFonts w:ascii="Times New Roman"/>
                            <w:sz w:val="21"/>
                          </w:rPr>
                        </w:pPr>
                        <w:r>
                          <w:rPr>
                            <w:rFonts w:ascii="Times New Roman"/>
                            <w:sz w:val="21"/>
                          </w:rPr>
                          <w:t>***</w:t>
                        </w:r>
                      </w:p>
                    </w:tc>
                    <w:tc>
                      <w:tcPr>
                        <w:tcW w:w="2711" w:type="dxa"/>
                        <w:tcBorders>
                          <w:top w:val="single" w:sz="4" w:space="0" w:color="000000"/>
                          <w:left w:val="single" w:sz="4" w:space="0" w:color="000000"/>
                          <w:bottom w:val="single" w:sz="4" w:space="0" w:color="000000"/>
                          <w:right w:val="single" w:sz="4" w:space="0" w:color="000000"/>
                        </w:tcBorders>
                      </w:tcPr>
                      <w:p>
                        <w:pPr>
                          <w:pStyle w:val="TableParagraph"/>
                          <w:spacing w:before="150"/>
                          <w:ind w:left="496" w:right="475"/>
                          <w:jc w:val="center"/>
                          <w:rPr>
                            <w:sz w:val="21"/>
                          </w:rPr>
                        </w:pPr>
                        <w:r>
                          <w:rPr>
                            <w:sz w:val="21"/>
                          </w:rPr>
                          <w:t>联系方式</w:t>
                        </w:r>
                      </w:p>
                    </w:tc>
                    <w:tc>
                      <w:tcPr>
                        <w:tcW w:w="2547" w:type="dxa"/>
                        <w:tcBorders>
                          <w:top w:val="single" w:sz="4" w:space="0" w:color="000000"/>
                          <w:left w:val="single" w:sz="4" w:space="0" w:color="000000"/>
                          <w:bottom w:val="single" w:sz="4" w:space="0" w:color="000000"/>
                        </w:tcBorders>
                      </w:tcPr>
                      <w:p>
                        <w:pPr>
                          <w:pStyle w:val="TableParagraph"/>
                          <w:spacing w:before="167"/>
                          <w:ind w:left="70" w:right="52"/>
                          <w:jc w:val="center"/>
                          <w:rPr>
                            <w:rFonts w:ascii="Times New Roman"/>
                            <w:sz w:val="21"/>
                          </w:rPr>
                        </w:pPr>
                        <w:r>
                          <w:rPr>
                            <w:rFonts w:ascii="Times New Roman"/>
                            <w:sz w:val="21"/>
                          </w:rPr>
                          <w:t>******</w:t>
                        </w:r>
                      </w:p>
                    </w:tc>
                  </w:tr>
                  <w:tr>
                    <w:tblPrEx>
                      <w:tblW w:w="0" w:type="auto"/>
                      <w:jc w:val="left"/>
                      <w:tblInd w:w="10" w:type="dxa"/>
                      <w:tblLayout w:type="fixed"/>
                      <w:tblCellMar>
                        <w:top w:w="0" w:type="dxa"/>
                        <w:left w:w="0" w:type="dxa"/>
                        <w:bottom w:w="0" w:type="dxa"/>
                        <w:right w:w="0" w:type="dxa"/>
                      </w:tblCellMar>
                      <w:tblLook w:val="01E0"/>
                    </w:tblPrEx>
                    <w:trPr>
                      <w:trHeight w:val="377"/>
                      <w:jc w:val="left"/>
                    </w:trPr>
                    <w:tc>
                      <w:tcPr>
                        <w:tcW w:w="1044" w:type="dxa"/>
                        <w:tcBorders>
                          <w:top w:val="single" w:sz="4" w:space="0" w:color="000000"/>
                          <w:bottom w:val="single" w:sz="4" w:space="0" w:color="000000"/>
                          <w:right w:val="single" w:sz="4" w:space="0" w:color="000000"/>
                        </w:tcBorders>
                      </w:tcPr>
                      <w:p>
                        <w:pPr>
                          <w:pStyle w:val="TableParagraph"/>
                          <w:spacing w:before="60"/>
                          <w:ind w:left="79" w:right="70"/>
                          <w:jc w:val="center"/>
                          <w:rPr>
                            <w:sz w:val="21"/>
                          </w:rPr>
                        </w:pPr>
                        <w:r>
                          <w:rPr>
                            <w:sz w:val="21"/>
                          </w:rPr>
                          <w:t>建设地点</w:t>
                        </w:r>
                      </w:p>
                    </w:tc>
                    <w:tc>
                      <w:tcPr>
                        <w:tcW w:w="7995" w:type="dxa"/>
                        <w:gridSpan w:val="3"/>
                        <w:tcBorders>
                          <w:top w:val="single" w:sz="4" w:space="0" w:color="000000"/>
                          <w:left w:val="single" w:sz="4" w:space="0" w:color="000000"/>
                          <w:bottom w:val="single" w:sz="4" w:space="0" w:color="000000"/>
                        </w:tcBorders>
                      </w:tcPr>
                      <w:p>
                        <w:pPr>
                          <w:pStyle w:val="TableParagraph"/>
                          <w:tabs>
                            <w:tab w:val="left" w:pos="4943"/>
                            <w:tab w:val="left" w:pos="6469"/>
                          </w:tabs>
                          <w:spacing w:before="60"/>
                          <w:ind w:left="265"/>
                          <w:rPr>
                            <w:sz w:val="21"/>
                          </w:rPr>
                        </w:pPr>
                        <w:r>
                          <w:rPr>
                            <w:rFonts w:ascii="Times New Roman" w:eastAsia="Times New Roman"/>
                            <w:w w:val="99"/>
                            <w:sz w:val="21"/>
                            <w:u w:val="single"/>
                          </w:rPr>
                          <w:t xml:space="preserve"> </w:t>
                        </w:r>
                        <w:r>
                          <w:rPr>
                            <w:rFonts w:ascii="Times New Roman" w:eastAsia="Times New Roman"/>
                            <w:spacing w:val="-1"/>
                            <w:sz w:val="21"/>
                            <w:u w:val="single"/>
                          </w:rPr>
                          <w:t xml:space="preserve"> </w:t>
                        </w:r>
                        <w:r>
                          <w:rPr>
                            <w:sz w:val="21"/>
                            <w:u w:val="single"/>
                          </w:rPr>
                          <w:t>江苏</w:t>
                        </w:r>
                        <w:r>
                          <w:rPr>
                            <w:spacing w:val="-1"/>
                            <w:sz w:val="21"/>
                            <w:u w:val="single"/>
                          </w:rPr>
                          <w:t xml:space="preserve"> </w:t>
                        </w:r>
                        <w:r>
                          <w:rPr>
                            <w:sz w:val="21"/>
                          </w:rPr>
                          <w:t xml:space="preserve">省（自治区） </w:t>
                        </w:r>
                        <w:r>
                          <w:rPr>
                            <w:sz w:val="21"/>
                            <w:u w:val="single"/>
                          </w:rPr>
                          <w:t xml:space="preserve">盐城 </w:t>
                        </w:r>
                        <w:r>
                          <w:rPr>
                            <w:sz w:val="21"/>
                          </w:rPr>
                          <w:t>市</w:t>
                        </w:r>
                        <w:r>
                          <w:rPr>
                            <w:spacing w:val="-2"/>
                            <w:sz w:val="21"/>
                          </w:rPr>
                          <w:t xml:space="preserve"> </w:t>
                        </w:r>
                        <w:r>
                          <w:rPr>
                            <w:sz w:val="21"/>
                            <w:u w:val="single"/>
                          </w:rPr>
                          <w:t xml:space="preserve">阜宁 </w:t>
                        </w:r>
                        <w:r>
                          <w:rPr>
                            <w:sz w:val="21"/>
                          </w:rPr>
                          <w:t>县（区）</w:t>
                        </w:r>
                        <w:r>
                          <w:rPr>
                            <w:spacing w:val="99"/>
                            <w:sz w:val="21"/>
                            <w:u w:val="single"/>
                          </w:rPr>
                          <w:t xml:space="preserve"> </w:t>
                        </w:r>
                        <w:r>
                          <w:rPr>
                            <w:rFonts w:ascii="Times New Roman" w:eastAsia="Times New Roman"/>
                            <w:sz w:val="21"/>
                            <w:u w:val="single"/>
                          </w:rPr>
                          <w:t>/</w:t>
                          <w:tab/>
                        </w:r>
                        <w:r>
                          <w:rPr>
                            <w:sz w:val="21"/>
                          </w:rPr>
                          <w:t>乡（街道）</w:t>
                        </w:r>
                        <w:r>
                          <w:rPr>
                            <w:spacing w:val="103"/>
                            <w:sz w:val="21"/>
                            <w:u w:val="single"/>
                          </w:rPr>
                          <w:t xml:space="preserve"> </w:t>
                        </w:r>
                        <w:r>
                          <w:rPr>
                            <w:rFonts w:ascii="Times New Roman" w:eastAsia="Times New Roman"/>
                            <w:sz w:val="21"/>
                            <w:u w:val="single"/>
                          </w:rPr>
                          <w:t>/</w:t>
                          <w:tab/>
                        </w:r>
                        <w:r>
                          <w:rPr>
                            <w:sz w:val="21"/>
                          </w:rPr>
                          <w:t>（具体地址）</w:t>
                        </w:r>
                      </w:p>
                    </w:tc>
                  </w:tr>
                  <w:tr>
                    <w:tblPrEx>
                      <w:tblW w:w="0" w:type="auto"/>
                      <w:jc w:val="left"/>
                      <w:tblInd w:w="10" w:type="dxa"/>
                      <w:tblLayout w:type="fixed"/>
                      <w:tblCellMar>
                        <w:top w:w="0" w:type="dxa"/>
                        <w:left w:w="0" w:type="dxa"/>
                        <w:bottom w:w="0" w:type="dxa"/>
                        <w:right w:w="0" w:type="dxa"/>
                      </w:tblCellMar>
                      <w:tblLook w:val="01E0"/>
                    </w:tblPrEx>
                    <w:trPr>
                      <w:trHeight w:val="561"/>
                      <w:jc w:val="left"/>
                    </w:trPr>
                    <w:tc>
                      <w:tcPr>
                        <w:tcW w:w="1044" w:type="dxa"/>
                        <w:tcBorders>
                          <w:top w:val="single" w:sz="4" w:space="0" w:color="000000"/>
                          <w:bottom w:val="single" w:sz="4" w:space="0" w:color="000000"/>
                          <w:right w:val="single" w:sz="4" w:space="0" w:color="000000"/>
                        </w:tcBorders>
                      </w:tcPr>
                      <w:p>
                        <w:pPr>
                          <w:pStyle w:val="TableParagraph"/>
                          <w:spacing w:before="152"/>
                          <w:ind w:left="79" w:right="70"/>
                          <w:jc w:val="center"/>
                          <w:rPr>
                            <w:sz w:val="21"/>
                          </w:rPr>
                        </w:pPr>
                        <w:r>
                          <w:rPr>
                            <w:sz w:val="21"/>
                          </w:rPr>
                          <w:t>地理坐标</w:t>
                        </w:r>
                      </w:p>
                    </w:tc>
                    <w:tc>
                      <w:tcPr>
                        <w:tcW w:w="7995" w:type="dxa"/>
                        <w:gridSpan w:val="3"/>
                        <w:tcBorders>
                          <w:top w:val="single" w:sz="4" w:space="0" w:color="000000"/>
                          <w:left w:val="single" w:sz="4" w:space="0" w:color="000000"/>
                          <w:bottom w:val="single" w:sz="4" w:space="0" w:color="000000"/>
                        </w:tcBorders>
                      </w:tcPr>
                      <w:p>
                        <w:pPr>
                          <w:pStyle w:val="TableParagraph"/>
                          <w:spacing w:before="15" w:line="270" w:lineRule="atLeast"/>
                          <w:ind w:left="1850" w:right="1710" w:hanging="80"/>
                          <w:rPr>
                            <w:sz w:val="21"/>
                          </w:rPr>
                        </w:pPr>
                        <w:r>
                          <w:rPr>
                            <w:sz w:val="21"/>
                          </w:rPr>
                          <w:t>（起点：</w:t>
                        </w:r>
                        <w:r>
                          <w:rPr>
                            <w:rFonts w:ascii="Times New Roman" w:eastAsia="Times New Roman" w:hAnsi="Times New Roman"/>
                            <w:sz w:val="21"/>
                          </w:rPr>
                          <w:t>119</w:t>
                        </w:r>
                        <w:r>
                          <w:rPr>
                            <w:sz w:val="21"/>
                          </w:rPr>
                          <w:t>°</w:t>
                        </w:r>
                        <w:r>
                          <w:rPr>
                            <w:rFonts w:ascii="Times New Roman" w:eastAsia="Times New Roman" w:hAnsi="Times New Roman"/>
                            <w:sz w:val="21"/>
                          </w:rPr>
                          <w:t>51</w:t>
                        </w:r>
                        <w:r>
                          <w:rPr>
                            <w:sz w:val="21"/>
                          </w:rPr>
                          <w:t>′</w:t>
                        </w:r>
                        <w:r>
                          <w:rPr>
                            <w:rFonts w:ascii="Times New Roman" w:eastAsia="Times New Roman" w:hAnsi="Times New Roman"/>
                            <w:sz w:val="21"/>
                          </w:rPr>
                          <w:t xml:space="preserve">49.696 </w:t>
                        </w:r>
                        <w:r>
                          <w:rPr>
                            <w:sz w:val="21"/>
                          </w:rPr>
                          <w:t>秒，</w:t>
                        </w:r>
                        <w:r>
                          <w:rPr>
                            <w:rFonts w:ascii="Times New Roman" w:eastAsia="Times New Roman" w:hAnsi="Times New Roman"/>
                            <w:sz w:val="21"/>
                          </w:rPr>
                          <w:t>42</w:t>
                        </w:r>
                        <w:r>
                          <w:rPr>
                            <w:sz w:val="21"/>
                          </w:rPr>
                          <w:t>°</w:t>
                        </w:r>
                        <w:r>
                          <w:rPr>
                            <w:rFonts w:ascii="Times New Roman" w:eastAsia="Times New Roman" w:hAnsi="Times New Roman"/>
                            <w:sz w:val="21"/>
                          </w:rPr>
                          <w:t>48</w:t>
                        </w:r>
                        <w:r>
                          <w:rPr>
                            <w:sz w:val="21"/>
                          </w:rPr>
                          <w:t>′</w:t>
                        </w:r>
                        <w:r>
                          <w:rPr>
                            <w:rFonts w:ascii="Times New Roman" w:eastAsia="Times New Roman" w:hAnsi="Times New Roman"/>
                            <w:sz w:val="21"/>
                          </w:rPr>
                          <w:t>84.899</w:t>
                        </w:r>
                        <w:r>
                          <w:rPr>
                            <w:sz w:val="21"/>
                          </w:rPr>
                          <w:t>″ 终点：</w:t>
                        </w:r>
                        <w:r>
                          <w:rPr>
                            <w:rFonts w:ascii="Times New Roman" w:eastAsia="Times New Roman" w:hAnsi="Times New Roman"/>
                            <w:sz w:val="21"/>
                          </w:rPr>
                          <w:t>119</w:t>
                        </w:r>
                        <w:r>
                          <w:rPr>
                            <w:sz w:val="21"/>
                          </w:rPr>
                          <w:t>°</w:t>
                        </w:r>
                        <w:r>
                          <w:rPr>
                            <w:rFonts w:ascii="Times New Roman" w:eastAsia="Times New Roman" w:hAnsi="Times New Roman"/>
                            <w:sz w:val="21"/>
                          </w:rPr>
                          <w:t>57</w:t>
                        </w:r>
                        <w:r>
                          <w:rPr>
                            <w:sz w:val="21"/>
                          </w:rPr>
                          <w:t>′</w:t>
                        </w:r>
                        <w:r>
                          <w:rPr>
                            <w:rFonts w:ascii="Times New Roman" w:eastAsia="Times New Roman" w:hAnsi="Times New Roman"/>
                            <w:sz w:val="21"/>
                          </w:rPr>
                          <w:t>3.031</w:t>
                        </w:r>
                        <w:r>
                          <w:rPr>
                            <w:sz w:val="21"/>
                          </w:rPr>
                          <w:t>″，</w:t>
                        </w:r>
                        <w:r>
                          <w:rPr>
                            <w:rFonts w:ascii="Times New Roman" w:eastAsia="Times New Roman" w:hAnsi="Times New Roman"/>
                            <w:sz w:val="21"/>
                          </w:rPr>
                          <w:t>33</w:t>
                        </w:r>
                        <w:r>
                          <w:rPr>
                            <w:sz w:val="21"/>
                          </w:rPr>
                          <w:t>°</w:t>
                        </w:r>
                        <w:r>
                          <w:rPr>
                            <w:rFonts w:ascii="Times New Roman" w:eastAsia="Times New Roman" w:hAnsi="Times New Roman"/>
                            <w:sz w:val="21"/>
                          </w:rPr>
                          <w:t>46</w:t>
                        </w:r>
                        <w:r>
                          <w:rPr>
                            <w:sz w:val="21"/>
                          </w:rPr>
                          <w:t>′</w:t>
                        </w:r>
                        <w:r>
                          <w:rPr>
                            <w:rFonts w:ascii="Times New Roman" w:eastAsia="Times New Roman" w:hAnsi="Times New Roman"/>
                            <w:sz w:val="21"/>
                          </w:rPr>
                          <w:t>19.097</w:t>
                        </w:r>
                        <w:r>
                          <w:rPr>
                            <w:sz w:val="21"/>
                          </w:rPr>
                          <w:t>″）</w:t>
                        </w:r>
                      </w:p>
                    </w:tc>
                  </w:tr>
                  <w:tr>
                    <w:tblPrEx>
                      <w:tblW w:w="0" w:type="auto"/>
                      <w:jc w:val="left"/>
                      <w:tblInd w:w="10" w:type="dxa"/>
                      <w:tblLayout w:type="fixed"/>
                      <w:tblCellMar>
                        <w:top w:w="0" w:type="dxa"/>
                        <w:left w:w="0" w:type="dxa"/>
                        <w:bottom w:w="0" w:type="dxa"/>
                        <w:right w:w="0" w:type="dxa"/>
                      </w:tblCellMar>
                      <w:tblLook w:val="01E0"/>
                    </w:tblPrEx>
                    <w:trPr>
                      <w:trHeight w:val="832"/>
                      <w:jc w:val="left"/>
                    </w:trPr>
                    <w:tc>
                      <w:tcPr>
                        <w:tcW w:w="1044" w:type="dxa"/>
                        <w:tcBorders>
                          <w:top w:val="single" w:sz="4" w:space="0" w:color="000000"/>
                          <w:bottom w:val="single" w:sz="4" w:space="0" w:color="000000"/>
                          <w:right w:val="single" w:sz="4" w:space="0" w:color="000000"/>
                        </w:tcBorders>
                      </w:tcPr>
                      <w:p>
                        <w:pPr>
                          <w:pStyle w:val="TableParagraph"/>
                          <w:spacing w:before="153" w:line="242" w:lineRule="auto"/>
                          <w:ind w:left="100" w:right="88"/>
                          <w:rPr>
                            <w:sz w:val="21"/>
                          </w:rPr>
                        </w:pPr>
                        <w:r>
                          <w:rPr>
                            <w:sz w:val="21"/>
                          </w:rPr>
                          <w:t>建设项目行业类别</w:t>
                        </w:r>
                      </w:p>
                    </w:tc>
                    <w:tc>
                      <w:tcPr>
                        <w:tcW w:w="2737" w:type="dxa"/>
                        <w:tcBorders>
                          <w:top w:val="single" w:sz="4" w:space="0" w:color="000000"/>
                          <w:left w:val="single" w:sz="4" w:space="0" w:color="000000"/>
                          <w:bottom w:val="single" w:sz="4" w:space="0" w:color="000000"/>
                          <w:right w:val="single" w:sz="4" w:space="0" w:color="000000"/>
                        </w:tcBorders>
                      </w:tcPr>
                      <w:p>
                        <w:pPr>
                          <w:pStyle w:val="TableParagraph"/>
                          <w:spacing w:before="16"/>
                          <w:ind w:left="9" w:right="-15" w:firstLine="50"/>
                          <w:rPr>
                            <w:sz w:val="21"/>
                          </w:rPr>
                        </w:pPr>
                        <w:r>
                          <w:rPr>
                            <w:sz w:val="21"/>
                          </w:rPr>
                          <w:t>“五十一、水利”中“</w:t>
                        </w:r>
                        <w:r>
                          <w:rPr>
                            <w:rFonts w:ascii="Times New Roman" w:eastAsia="Times New Roman" w:hAnsi="Times New Roman"/>
                            <w:sz w:val="21"/>
                          </w:rPr>
                          <w:t>128</w:t>
                        </w:r>
                        <w:r>
                          <w:rPr>
                            <w:sz w:val="21"/>
                          </w:rPr>
                          <w:t>、</w:t>
                        </w:r>
                      </w:p>
                      <w:p>
                        <w:pPr>
                          <w:pStyle w:val="TableParagraph"/>
                          <w:spacing w:before="4" w:line="270" w:lineRule="atLeast"/>
                          <w:ind w:left="1058" w:right="-15" w:hanging="1049"/>
                          <w:rPr>
                            <w:sz w:val="21"/>
                          </w:rPr>
                        </w:pPr>
                        <w:r>
                          <w:rPr>
                            <w:w w:val="95"/>
                            <w:sz w:val="21"/>
                          </w:rPr>
                          <w:t>河湖整治（不含农村塘堰、水</w:t>
                        </w:r>
                        <w:r>
                          <w:rPr>
                            <w:sz w:val="21"/>
                          </w:rPr>
                          <w:t>渠）”</w:t>
                        </w:r>
                      </w:p>
                    </w:tc>
                    <w:tc>
                      <w:tcPr>
                        <w:tcW w:w="2711" w:type="dxa"/>
                        <w:tcBorders>
                          <w:top w:val="single" w:sz="4" w:space="0" w:color="000000"/>
                          <w:left w:val="single" w:sz="4" w:space="0" w:color="000000"/>
                          <w:bottom w:val="single" w:sz="4" w:space="0" w:color="000000"/>
                          <w:right w:val="single" w:sz="4" w:space="0" w:color="000000"/>
                        </w:tcBorders>
                      </w:tcPr>
                      <w:p>
                        <w:pPr>
                          <w:pStyle w:val="TableParagraph"/>
                          <w:spacing w:before="153" w:line="242" w:lineRule="auto"/>
                          <w:ind w:left="908" w:right="44" w:hanging="852"/>
                          <w:rPr>
                            <w:sz w:val="21"/>
                          </w:rPr>
                        </w:pPr>
                        <w:r>
                          <w:rPr>
                            <w:sz w:val="21"/>
                          </w:rPr>
                          <w:t>用地（用海）面积（</w:t>
                        </w:r>
                        <w:r>
                          <w:rPr>
                            <w:rFonts w:ascii="Times New Roman" w:eastAsia="Times New Roman"/>
                            <w:sz w:val="21"/>
                          </w:rPr>
                          <w:t>m</w:t>
                        </w:r>
                        <w:r>
                          <w:rPr>
                            <w:rFonts w:ascii="Times New Roman" w:eastAsia="Times New Roman"/>
                            <w:position w:val="7"/>
                            <w:sz w:val="13"/>
                          </w:rPr>
                          <w:t>2</w:t>
                        </w:r>
                        <w:r>
                          <w:rPr>
                            <w:sz w:val="21"/>
                          </w:rPr>
                          <w:t>）</w:t>
                        </w:r>
                        <w:r>
                          <w:rPr>
                            <w:rFonts w:ascii="Times New Roman" w:eastAsia="Times New Roman"/>
                            <w:sz w:val="21"/>
                          </w:rPr>
                          <w:t>/</w:t>
                        </w:r>
                        <w:r>
                          <w:rPr>
                            <w:sz w:val="21"/>
                          </w:rPr>
                          <w:t>长度（</w:t>
                        </w:r>
                        <w:r>
                          <w:rPr>
                            <w:rFonts w:ascii="Times New Roman" w:eastAsia="Times New Roman"/>
                            <w:sz w:val="21"/>
                          </w:rPr>
                          <w:t>km</w:t>
                        </w:r>
                        <w:r>
                          <w:rPr>
                            <w:sz w:val="21"/>
                          </w:rPr>
                          <w:t>）</w:t>
                        </w:r>
                      </w:p>
                    </w:tc>
                    <w:tc>
                      <w:tcPr>
                        <w:tcW w:w="2547" w:type="dxa"/>
                        <w:tcBorders>
                          <w:top w:val="single" w:sz="4" w:space="0" w:color="000000"/>
                          <w:left w:val="single" w:sz="4" w:space="0" w:color="000000"/>
                          <w:bottom w:val="single" w:sz="4" w:space="0" w:color="000000"/>
                        </w:tcBorders>
                      </w:tcPr>
                      <w:p>
                        <w:pPr>
                          <w:pStyle w:val="TableParagraph"/>
                          <w:spacing w:before="153" w:line="242" w:lineRule="auto"/>
                          <w:ind w:left="88" w:right="26" w:hanging="51"/>
                          <w:rPr>
                            <w:rFonts w:ascii="Times New Roman" w:eastAsia="Times New Roman"/>
                            <w:sz w:val="21"/>
                          </w:rPr>
                        </w:pPr>
                        <w:r>
                          <w:rPr>
                            <w:spacing w:val="-11"/>
                            <w:sz w:val="21"/>
                          </w:rPr>
                          <w:t xml:space="preserve">永久占地 </w:t>
                        </w:r>
                        <w:r>
                          <w:rPr>
                            <w:rFonts w:ascii="Times New Roman" w:eastAsia="Times New Roman"/>
                            <w:sz w:val="21"/>
                          </w:rPr>
                          <w:t xml:space="preserve">68.31 </w:t>
                        </w:r>
                        <w:r>
                          <w:rPr>
                            <w:spacing w:val="-3"/>
                            <w:sz w:val="21"/>
                          </w:rPr>
                          <w:t>亩，临时占</w:t>
                        </w:r>
                        <w:r>
                          <w:rPr>
                            <w:spacing w:val="-30"/>
                            <w:sz w:val="21"/>
                          </w:rPr>
                          <w:t xml:space="preserve">地 </w:t>
                        </w:r>
                        <w:r>
                          <w:rPr>
                            <w:rFonts w:ascii="Times New Roman" w:eastAsia="Times New Roman"/>
                            <w:sz w:val="21"/>
                          </w:rPr>
                          <w:t xml:space="preserve">254.19 </w:t>
                        </w:r>
                        <w:r>
                          <w:rPr>
                            <w:sz w:val="21"/>
                          </w:rPr>
                          <w:t>亩</w:t>
                        </w:r>
                        <w:r>
                          <w:rPr>
                            <w:rFonts w:ascii="Times New Roman" w:eastAsia="Times New Roman"/>
                            <w:sz w:val="21"/>
                          </w:rPr>
                          <w:t>/</w:t>
                        </w:r>
                        <w:r>
                          <w:rPr>
                            <w:spacing w:val="-19"/>
                            <w:sz w:val="21"/>
                          </w:rPr>
                          <w:t xml:space="preserve">长度 </w:t>
                        </w:r>
                        <w:r>
                          <w:rPr>
                            <w:rFonts w:ascii="Times New Roman" w:eastAsia="Times New Roman"/>
                            <w:sz w:val="21"/>
                          </w:rPr>
                          <w:t>11.51km</w:t>
                        </w:r>
                      </w:p>
                    </w:tc>
                  </w:tr>
                  <w:tr>
                    <w:tblPrEx>
                      <w:tblW w:w="0" w:type="auto"/>
                      <w:jc w:val="left"/>
                      <w:tblInd w:w="10" w:type="dxa"/>
                      <w:tblLayout w:type="fixed"/>
                      <w:tblCellMar>
                        <w:top w:w="0" w:type="dxa"/>
                        <w:left w:w="0" w:type="dxa"/>
                        <w:bottom w:w="0" w:type="dxa"/>
                        <w:right w:w="0" w:type="dxa"/>
                      </w:tblCellMar>
                      <w:tblLook w:val="01E0"/>
                    </w:tblPrEx>
                    <w:trPr>
                      <w:trHeight w:val="1106"/>
                      <w:jc w:val="left"/>
                    </w:trPr>
                    <w:tc>
                      <w:tcPr>
                        <w:tcW w:w="1044" w:type="dxa"/>
                        <w:tcBorders>
                          <w:top w:val="single" w:sz="4" w:space="0" w:color="000000"/>
                          <w:bottom w:val="single" w:sz="4" w:space="0" w:color="000000"/>
                          <w:right w:val="single" w:sz="4" w:space="0" w:color="000000"/>
                        </w:tcBorders>
                      </w:tcPr>
                      <w:p>
                        <w:pPr>
                          <w:pStyle w:val="TableParagraph"/>
                          <w:rPr>
                            <w:sz w:val="20"/>
                          </w:rPr>
                        </w:pPr>
                      </w:p>
                      <w:p>
                        <w:pPr>
                          <w:pStyle w:val="TableParagraph"/>
                          <w:spacing w:before="169"/>
                          <w:ind w:left="79" w:right="70"/>
                          <w:jc w:val="center"/>
                          <w:rPr>
                            <w:sz w:val="21"/>
                          </w:rPr>
                        </w:pPr>
                        <w:r>
                          <w:rPr>
                            <w:sz w:val="21"/>
                          </w:rPr>
                          <w:t>建设性质</w:t>
                        </w:r>
                      </w:p>
                    </w:tc>
                    <w:tc>
                      <w:tcPr>
                        <w:tcW w:w="2737" w:type="dxa"/>
                        <w:tcBorders>
                          <w:top w:val="single" w:sz="4" w:space="0" w:color="000000"/>
                          <w:left w:val="single" w:sz="4" w:space="0" w:color="000000"/>
                          <w:bottom w:val="single" w:sz="4" w:space="0" w:color="000000"/>
                          <w:right w:val="single" w:sz="4" w:space="0" w:color="000000"/>
                        </w:tcBorders>
                      </w:tcPr>
                      <w:p>
                        <w:pPr>
                          <w:pStyle w:val="TableParagraph"/>
                          <w:spacing w:before="18"/>
                          <w:ind w:left="9"/>
                          <w:rPr>
                            <w:sz w:val="21"/>
                          </w:rPr>
                        </w:pPr>
                        <w:r>
                          <w:rPr>
                            <w:rFonts w:ascii="MS UI Gothic" w:eastAsia="MS UI Gothic" w:hAnsi="MS UI Gothic" w:hint="eastAsia"/>
                            <w:sz w:val="21"/>
                          </w:rPr>
                          <w:t>☑</w:t>
                        </w:r>
                        <w:r>
                          <w:rPr>
                            <w:sz w:val="21"/>
                          </w:rPr>
                          <w:t>新建（迁建）</w:t>
                        </w:r>
                      </w:p>
                      <w:p>
                        <w:pPr>
                          <w:pStyle w:val="TableParagraph"/>
                          <w:spacing w:before="2"/>
                          <w:ind w:left="9"/>
                          <w:rPr>
                            <w:sz w:val="21"/>
                          </w:rPr>
                        </w:pPr>
                        <w:r>
                          <w:rPr>
                            <w:spacing w:val="-1"/>
                            <w:w w:val="95"/>
                            <w:sz w:val="21"/>
                          </w:rPr>
                          <w:t>□改建</w:t>
                        </w:r>
                      </w:p>
                      <w:p>
                        <w:pPr>
                          <w:pStyle w:val="TableParagraph"/>
                          <w:spacing w:before="2"/>
                          <w:ind w:left="9"/>
                          <w:rPr>
                            <w:sz w:val="21"/>
                          </w:rPr>
                        </w:pPr>
                        <w:r>
                          <w:rPr>
                            <w:spacing w:val="-1"/>
                            <w:w w:val="95"/>
                            <w:sz w:val="21"/>
                          </w:rPr>
                          <w:t>□扩建</w:t>
                        </w:r>
                      </w:p>
                      <w:p>
                        <w:pPr>
                          <w:pStyle w:val="TableParagraph"/>
                          <w:spacing w:before="5" w:line="252" w:lineRule="exact"/>
                          <w:ind w:left="9"/>
                          <w:rPr>
                            <w:sz w:val="21"/>
                          </w:rPr>
                        </w:pPr>
                        <w:r>
                          <w:rPr>
                            <w:sz w:val="21"/>
                          </w:rPr>
                          <w:t>□技术改造</w:t>
                        </w:r>
                      </w:p>
                    </w:tc>
                    <w:tc>
                      <w:tcPr>
                        <w:tcW w:w="2711" w:type="dxa"/>
                        <w:tcBorders>
                          <w:top w:val="single" w:sz="4" w:space="0" w:color="000000"/>
                          <w:left w:val="single" w:sz="4" w:space="0" w:color="000000"/>
                          <w:bottom w:val="single" w:sz="4" w:space="0" w:color="000000"/>
                          <w:right w:val="single" w:sz="4" w:space="0" w:color="000000"/>
                        </w:tcBorders>
                      </w:tcPr>
                      <w:p>
                        <w:pPr>
                          <w:pStyle w:val="TableParagraph"/>
                          <w:spacing w:before="7"/>
                          <w:rPr>
                            <w:sz w:val="22"/>
                          </w:rPr>
                        </w:pPr>
                      </w:p>
                      <w:p>
                        <w:pPr>
                          <w:pStyle w:val="TableParagraph"/>
                          <w:spacing w:line="242" w:lineRule="auto"/>
                          <w:ind w:left="937" w:right="923"/>
                          <w:jc w:val="center"/>
                          <w:rPr>
                            <w:sz w:val="21"/>
                          </w:rPr>
                        </w:pPr>
                        <w:r>
                          <w:rPr>
                            <w:sz w:val="21"/>
                          </w:rPr>
                          <w:t>建设项目申报情形</w:t>
                        </w:r>
                      </w:p>
                    </w:tc>
                    <w:tc>
                      <w:tcPr>
                        <w:tcW w:w="2547" w:type="dxa"/>
                        <w:tcBorders>
                          <w:top w:val="single" w:sz="4" w:space="0" w:color="000000"/>
                          <w:left w:val="single" w:sz="4" w:space="0" w:color="000000"/>
                          <w:bottom w:val="single" w:sz="4" w:space="0" w:color="000000"/>
                        </w:tcBorders>
                      </w:tcPr>
                      <w:p>
                        <w:pPr>
                          <w:pStyle w:val="TableParagraph"/>
                          <w:spacing w:before="18"/>
                          <w:ind w:left="4"/>
                          <w:rPr>
                            <w:sz w:val="21"/>
                          </w:rPr>
                        </w:pPr>
                        <w:r>
                          <w:rPr>
                            <w:rFonts w:ascii="MS UI Gothic" w:eastAsia="MS UI Gothic" w:hAnsi="MS UI Gothic" w:hint="eastAsia"/>
                            <w:sz w:val="21"/>
                          </w:rPr>
                          <w:t>☑</w:t>
                        </w:r>
                        <w:r>
                          <w:rPr>
                            <w:sz w:val="21"/>
                          </w:rPr>
                          <w:t>首次申报项目</w:t>
                        </w:r>
                      </w:p>
                      <w:p>
                        <w:pPr>
                          <w:pStyle w:val="TableParagraph"/>
                          <w:spacing w:before="2"/>
                          <w:ind w:left="4"/>
                          <w:rPr>
                            <w:sz w:val="21"/>
                          </w:rPr>
                        </w:pPr>
                        <w:r>
                          <w:rPr>
                            <w:sz w:val="21"/>
                          </w:rPr>
                          <w:t>□不予批准后再次申报项目</w:t>
                        </w:r>
                      </w:p>
                      <w:p>
                        <w:pPr>
                          <w:pStyle w:val="TableParagraph"/>
                          <w:spacing w:before="2"/>
                          <w:ind w:left="4"/>
                          <w:rPr>
                            <w:sz w:val="21"/>
                          </w:rPr>
                        </w:pPr>
                        <w:r>
                          <w:rPr>
                            <w:sz w:val="21"/>
                          </w:rPr>
                          <w:t>□超五年重新审核项目</w:t>
                        </w:r>
                      </w:p>
                      <w:p>
                        <w:pPr>
                          <w:pStyle w:val="TableParagraph"/>
                          <w:spacing w:before="5" w:line="252" w:lineRule="exact"/>
                          <w:ind w:left="4"/>
                          <w:rPr>
                            <w:sz w:val="21"/>
                          </w:rPr>
                        </w:pPr>
                        <w:r>
                          <w:rPr>
                            <w:sz w:val="21"/>
                          </w:rPr>
                          <w:t>□重大变动重新报批项目</w:t>
                        </w:r>
                      </w:p>
                    </w:tc>
                  </w:tr>
                  <w:tr>
                    <w:tblPrEx>
                      <w:tblW w:w="0" w:type="auto"/>
                      <w:jc w:val="left"/>
                      <w:tblInd w:w="10" w:type="dxa"/>
                      <w:tblLayout w:type="fixed"/>
                      <w:tblCellMar>
                        <w:top w:w="0" w:type="dxa"/>
                        <w:left w:w="0" w:type="dxa"/>
                        <w:bottom w:w="0" w:type="dxa"/>
                        <w:right w:w="0" w:type="dxa"/>
                      </w:tblCellMar>
                      <w:tblLook w:val="01E0"/>
                    </w:tblPrEx>
                    <w:trPr>
                      <w:trHeight w:val="1105"/>
                      <w:jc w:val="left"/>
                    </w:trPr>
                    <w:tc>
                      <w:tcPr>
                        <w:tcW w:w="1044" w:type="dxa"/>
                        <w:tcBorders>
                          <w:top w:val="single" w:sz="4" w:space="0" w:color="000000"/>
                          <w:bottom w:val="single" w:sz="4" w:space="0" w:color="000000"/>
                          <w:right w:val="single" w:sz="4" w:space="0" w:color="000000"/>
                        </w:tcBorders>
                      </w:tcPr>
                      <w:p>
                        <w:pPr>
                          <w:pStyle w:val="TableParagraph"/>
                          <w:spacing w:before="15"/>
                          <w:ind w:left="100"/>
                          <w:rPr>
                            <w:sz w:val="21"/>
                          </w:rPr>
                        </w:pPr>
                        <w:r>
                          <w:rPr>
                            <w:sz w:val="21"/>
                          </w:rPr>
                          <w:t>项目审批</w:t>
                        </w:r>
                      </w:p>
                      <w:p>
                        <w:pPr>
                          <w:pStyle w:val="TableParagraph"/>
                          <w:spacing w:before="5" w:line="242" w:lineRule="auto"/>
                          <w:ind w:left="16" w:right="2" w:firstLine="160"/>
                          <w:rPr>
                            <w:sz w:val="21"/>
                          </w:rPr>
                        </w:pPr>
                        <w:r>
                          <w:rPr>
                            <w:sz w:val="21"/>
                          </w:rPr>
                          <w:t>（核准</w:t>
                        </w:r>
                        <w:r>
                          <w:rPr>
                            <w:rFonts w:ascii="Times New Roman" w:eastAsia="Times New Roman"/>
                            <w:sz w:val="21"/>
                          </w:rPr>
                          <w:t xml:space="preserve">/ </w:t>
                        </w:r>
                        <w:r>
                          <w:rPr>
                            <w:w w:val="95"/>
                            <w:sz w:val="21"/>
                          </w:rPr>
                          <w:t>备案</w:t>
                        </w:r>
                        <w:r>
                          <w:rPr>
                            <w:spacing w:val="-39"/>
                            <w:w w:val="95"/>
                            <w:sz w:val="21"/>
                          </w:rPr>
                          <w:t>）</w:t>
                        </w:r>
                        <w:r>
                          <w:rPr>
                            <w:spacing w:val="-8"/>
                            <w:w w:val="95"/>
                            <w:sz w:val="21"/>
                          </w:rPr>
                          <w:t>部门</w:t>
                        </w:r>
                      </w:p>
                      <w:p>
                        <w:pPr>
                          <w:pStyle w:val="TableParagraph"/>
                          <w:spacing w:before="1" w:line="251" w:lineRule="exact"/>
                          <w:ind w:left="100"/>
                          <w:rPr>
                            <w:sz w:val="21"/>
                          </w:rPr>
                        </w:pPr>
                        <w:r>
                          <w:rPr>
                            <w:w w:val="95"/>
                            <w:sz w:val="21"/>
                          </w:rPr>
                          <w:t>（选填）</w:t>
                        </w:r>
                      </w:p>
                    </w:tc>
                    <w:tc>
                      <w:tcPr>
                        <w:tcW w:w="2737"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67"/>
                          <w:ind w:left="511" w:right="495"/>
                          <w:jc w:val="center"/>
                          <w:rPr>
                            <w:sz w:val="21"/>
                          </w:rPr>
                        </w:pPr>
                        <w:r>
                          <w:rPr>
                            <w:sz w:val="21"/>
                          </w:rPr>
                          <w:t>阜宁县行政审批局</w:t>
                        </w:r>
                      </w:p>
                    </w:tc>
                    <w:tc>
                      <w:tcPr>
                        <w:tcW w:w="2711" w:type="dxa"/>
                        <w:tcBorders>
                          <w:top w:val="single" w:sz="4" w:space="0" w:color="000000"/>
                          <w:left w:val="single" w:sz="4" w:space="0" w:color="000000"/>
                          <w:bottom w:val="single" w:sz="4" w:space="0" w:color="000000"/>
                          <w:right w:val="single" w:sz="4" w:space="0" w:color="000000"/>
                        </w:tcBorders>
                      </w:tcPr>
                      <w:p>
                        <w:pPr>
                          <w:pStyle w:val="TableParagraph"/>
                          <w:spacing w:before="7"/>
                          <w:rPr>
                            <w:sz w:val="22"/>
                          </w:rPr>
                        </w:pPr>
                      </w:p>
                      <w:p>
                        <w:pPr>
                          <w:pStyle w:val="TableParagraph"/>
                          <w:spacing w:line="242" w:lineRule="auto"/>
                          <w:ind w:left="411" w:right="398" w:firstLine="182"/>
                          <w:rPr>
                            <w:sz w:val="21"/>
                          </w:rPr>
                        </w:pPr>
                        <w:r>
                          <w:rPr>
                            <w:sz w:val="21"/>
                          </w:rPr>
                          <w:t>项目审批（核准</w:t>
                        </w:r>
                        <w:r>
                          <w:rPr>
                            <w:rFonts w:ascii="Times New Roman" w:eastAsia="Times New Roman"/>
                            <w:sz w:val="21"/>
                          </w:rPr>
                          <w:t xml:space="preserve">/ </w:t>
                        </w:r>
                        <w:r>
                          <w:rPr>
                            <w:sz w:val="21"/>
                          </w:rPr>
                          <w:t>备案）文号（选填）</w:t>
                        </w:r>
                      </w:p>
                    </w:tc>
                    <w:tc>
                      <w:tcPr>
                        <w:tcW w:w="2547" w:type="dxa"/>
                        <w:tcBorders>
                          <w:top w:val="single" w:sz="4" w:space="0" w:color="000000"/>
                          <w:left w:val="single" w:sz="4" w:space="0" w:color="000000"/>
                          <w:bottom w:val="single" w:sz="4" w:space="0" w:color="000000"/>
                        </w:tcBorders>
                      </w:tcPr>
                      <w:p>
                        <w:pPr>
                          <w:pStyle w:val="TableParagraph"/>
                          <w:rPr>
                            <w:sz w:val="22"/>
                          </w:rPr>
                        </w:pPr>
                      </w:p>
                      <w:p>
                        <w:pPr>
                          <w:pStyle w:val="TableParagraph"/>
                          <w:spacing w:before="141"/>
                          <w:ind w:left="70" w:right="58"/>
                          <w:jc w:val="center"/>
                          <w:rPr>
                            <w:sz w:val="21"/>
                          </w:rPr>
                        </w:pPr>
                        <w:r>
                          <w:rPr>
                            <w:sz w:val="21"/>
                          </w:rPr>
                          <w:t>阜行审投资〔</w:t>
                        </w:r>
                        <w:r>
                          <w:rPr>
                            <w:rFonts w:ascii="Times New Roman" w:eastAsia="Times New Roman"/>
                            <w:sz w:val="21"/>
                          </w:rPr>
                          <w:t>2023</w:t>
                        </w:r>
                        <w:r>
                          <w:rPr>
                            <w:sz w:val="21"/>
                          </w:rPr>
                          <w:t>〕</w:t>
                        </w:r>
                        <w:r>
                          <w:rPr>
                            <w:rFonts w:ascii="Times New Roman" w:eastAsia="Times New Roman"/>
                            <w:sz w:val="21"/>
                          </w:rPr>
                          <w:t xml:space="preserve">87 </w:t>
                        </w:r>
                        <w:r>
                          <w:rPr>
                            <w:sz w:val="21"/>
                          </w:rPr>
                          <w:t>号</w:t>
                        </w:r>
                      </w:p>
                    </w:tc>
                  </w:tr>
                  <w:tr>
                    <w:tblPrEx>
                      <w:tblW w:w="0" w:type="auto"/>
                      <w:jc w:val="left"/>
                      <w:tblInd w:w="10" w:type="dxa"/>
                      <w:tblLayout w:type="fixed"/>
                      <w:tblCellMar>
                        <w:top w:w="0" w:type="dxa"/>
                        <w:left w:w="0" w:type="dxa"/>
                        <w:bottom w:w="0" w:type="dxa"/>
                        <w:right w:w="0" w:type="dxa"/>
                      </w:tblCellMar>
                      <w:tblLook w:val="01E0"/>
                    </w:tblPrEx>
                    <w:trPr>
                      <w:trHeight w:val="561"/>
                      <w:jc w:val="left"/>
                    </w:trPr>
                    <w:tc>
                      <w:tcPr>
                        <w:tcW w:w="1044" w:type="dxa"/>
                        <w:tcBorders>
                          <w:top w:val="single" w:sz="4" w:space="0" w:color="000000"/>
                          <w:bottom w:val="single" w:sz="4" w:space="0" w:color="000000"/>
                          <w:right w:val="single" w:sz="4" w:space="0" w:color="000000"/>
                        </w:tcBorders>
                      </w:tcPr>
                      <w:p>
                        <w:pPr>
                          <w:pStyle w:val="TableParagraph"/>
                          <w:spacing w:before="15" w:line="270" w:lineRule="atLeast"/>
                          <w:ind w:left="311" w:right="1" w:hanging="296"/>
                          <w:rPr>
                            <w:sz w:val="21"/>
                          </w:rPr>
                        </w:pPr>
                        <w:r>
                          <w:rPr>
                            <w:spacing w:val="-13"/>
                            <w:sz w:val="21"/>
                          </w:rPr>
                          <w:t>总投资</w:t>
                        </w:r>
                        <w:r>
                          <w:rPr>
                            <w:sz w:val="21"/>
                          </w:rPr>
                          <w:t>（</w:t>
                        </w:r>
                        <w:r>
                          <w:rPr>
                            <w:spacing w:val="-16"/>
                            <w:sz w:val="21"/>
                          </w:rPr>
                          <w:t>万</w:t>
                        </w:r>
                        <w:r>
                          <w:rPr>
                            <w:sz w:val="21"/>
                          </w:rPr>
                          <w:t>元）</w:t>
                        </w:r>
                      </w:p>
                    </w:tc>
                    <w:tc>
                      <w:tcPr>
                        <w:tcW w:w="2737" w:type="dxa"/>
                        <w:tcBorders>
                          <w:top w:val="single" w:sz="4" w:space="0" w:color="000000"/>
                          <w:left w:val="single" w:sz="4" w:space="0" w:color="000000"/>
                          <w:bottom w:val="single" w:sz="4" w:space="0" w:color="000000"/>
                          <w:right w:val="single" w:sz="4" w:space="0" w:color="000000"/>
                        </w:tcBorders>
                      </w:tcPr>
                      <w:p>
                        <w:pPr>
                          <w:pStyle w:val="TableParagraph"/>
                          <w:spacing w:before="165"/>
                          <w:ind w:left="511" w:right="494"/>
                          <w:jc w:val="center"/>
                          <w:rPr>
                            <w:rFonts w:ascii="Times New Roman"/>
                            <w:sz w:val="21"/>
                          </w:rPr>
                        </w:pPr>
                        <w:r>
                          <w:rPr>
                            <w:rFonts w:ascii="Times New Roman"/>
                            <w:sz w:val="21"/>
                          </w:rPr>
                          <w:t>7018</w:t>
                        </w:r>
                      </w:p>
                    </w:tc>
                    <w:tc>
                      <w:tcPr>
                        <w:tcW w:w="2711" w:type="dxa"/>
                        <w:tcBorders>
                          <w:top w:val="single" w:sz="4" w:space="0" w:color="000000"/>
                          <w:left w:val="single" w:sz="4" w:space="0" w:color="000000"/>
                          <w:bottom w:val="single" w:sz="4" w:space="0" w:color="000000"/>
                          <w:right w:val="single" w:sz="4" w:space="0" w:color="000000"/>
                        </w:tcBorders>
                      </w:tcPr>
                      <w:p>
                        <w:pPr>
                          <w:pStyle w:val="TableParagraph"/>
                          <w:spacing w:before="151"/>
                          <w:ind w:left="496" w:right="485"/>
                          <w:jc w:val="center"/>
                          <w:rPr>
                            <w:sz w:val="21"/>
                          </w:rPr>
                        </w:pPr>
                        <w:r>
                          <w:rPr>
                            <w:sz w:val="21"/>
                          </w:rPr>
                          <w:t>环保投资（万元）</w:t>
                        </w:r>
                      </w:p>
                    </w:tc>
                    <w:tc>
                      <w:tcPr>
                        <w:tcW w:w="2547" w:type="dxa"/>
                        <w:tcBorders>
                          <w:top w:val="single" w:sz="4" w:space="0" w:color="000000"/>
                          <w:left w:val="single" w:sz="4" w:space="0" w:color="000000"/>
                          <w:bottom w:val="single" w:sz="4" w:space="0" w:color="000000"/>
                        </w:tcBorders>
                      </w:tcPr>
                      <w:p>
                        <w:pPr>
                          <w:pStyle w:val="TableParagraph"/>
                          <w:spacing w:before="165"/>
                          <w:ind w:left="68" w:right="58"/>
                          <w:jc w:val="center"/>
                          <w:rPr>
                            <w:rFonts w:ascii="Times New Roman"/>
                            <w:sz w:val="21"/>
                          </w:rPr>
                        </w:pPr>
                        <w:r>
                          <w:rPr>
                            <w:rFonts w:ascii="Times New Roman"/>
                            <w:sz w:val="21"/>
                          </w:rPr>
                          <w:t>311.21</w:t>
                        </w:r>
                      </w:p>
                    </w:tc>
                  </w:tr>
                  <w:tr>
                    <w:tblPrEx>
                      <w:tblW w:w="0" w:type="auto"/>
                      <w:jc w:val="left"/>
                      <w:tblInd w:w="10" w:type="dxa"/>
                      <w:tblLayout w:type="fixed"/>
                      <w:tblCellMar>
                        <w:top w:w="0" w:type="dxa"/>
                        <w:left w:w="0" w:type="dxa"/>
                        <w:bottom w:w="0" w:type="dxa"/>
                        <w:right w:w="0" w:type="dxa"/>
                      </w:tblCellMar>
                      <w:tblLook w:val="01E0"/>
                    </w:tblPrEx>
                    <w:trPr>
                      <w:trHeight w:val="560"/>
                      <w:jc w:val="left"/>
                    </w:trPr>
                    <w:tc>
                      <w:tcPr>
                        <w:tcW w:w="1044" w:type="dxa"/>
                        <w:tcBorders>
                          <w:top w:val="single" w:sz="4" w:space="0" w:color="000000"/>
                          <w:bottom w:val="single" w:sz="4" w:space="0" w:color="000000"/>
                          <w:right w:val="single" w:sz="4" w:space="0" w:color="000000"/>
                        </w:tcBorders>
                      </w:tcPr>
                      <w:p>
                        <w:pPr>
                          <w:pStyle w:val="TableParagraph"/>
                          <w:spacing w:before="16" w:line="270" w:lineRule="atLeast"/>
                          <w:ind w:left="16" w:right="-15" w:firstLine="84"/>
                          <w:rPr>
                            <w:sz w:val="21"/>
                          </w:rPr>
                        </w:pPr>
                        <w:r>
                          <w:rPr>
                            <w:sz w:val="21"/>
                          </w:rPr>
                          <w:t>环保投资占比（</w:t>
                        </w:r>
                        <w:r>
                          <w:rPr>
                            <w:rFonts w:ascii="Times New Roman" w:eastAsia="Times New Roman"/>
                            <w:sz w:val="21"/>
                          </w:rPr>
                          <w:t>%</w:t>
                        </w:r>
                        <w:r>
                          <w:rPr>
                            <w:sz w:val="21"/>
                          </w:rPr>
                          <w:t>）</w:t>
                        </w:r>
                      </w:p>
                    </w:tc>
                    <w:tc>
                      <w:tcPr>
                        <w:tcW w:w="2737" w:type="dxa"/>
                        <w:tcBorders>
                          <w:top w:val="single" w:sz="4" w:space="0" w:color="000000"/>
                          <w:left w:val="single" w:sz="4" w:space="0" w:color="000000"/>
                          <w:bottom w:val="single" w:sz="4" w:space="0" w:color="000000"/>
                          <w:right w:val="single" w:sz="4" w:space="0" w:color="000000"/>
                        </w:tcBorders>
                      </w:tcPr>
                      <w:p>
                        <w:pPr>
                          <w:pStyle w:val="TableParagraph"/>
                          <w:spacing w:before="165"/>
                          <w:ind w:left="511" w:right="494"/>
                          <w:jc w:val="center"/>
                          <w:rPr>
                            <w:rFonts w:ascii="Times New Roman"/>
                            <w:sz w:val="21"/>
                          </w:rPr>
                        </w:pPr>
                        <w:r>
                          <w:rPr>
                            <w:rFonts w:ascii="Times New Roman"/>
                            <w:sz w:val="21"/>
                          </w:rPr>
                          <w:t>4.43</w:t>
                        </w:r>
                      </w:p>
                    </w:tc>
                    <w:tc>
                      <w:tcPr>
                        <w:tcW w:w="2711" w:type="dxa"/>
                        <w:tcBorders>
                          <w:top w:val="single" w:sz="4" w:space="0" w:color="000000"/>
                          <w:left w:val="single" w:sz="4" w:space="0" w:color="000000"/>
                          <w:bottom w:val="single" w:sz="4" w:space="0" w:color="000000"/>
                          <w:right w:val="single" w:sz="4" w:space="0" w:color="000000"/>
                        </w:tcBorders>
                      </w:tcPr>
                      <w:p>
                        <w:pPr>
                          <w:pStyle w:val="TableParagraph"/>
                          <w:spacing w:before="151"/>
                          <w:ind w:left="496" w:right="485"/>
                          <w:jc w:val="center"/>
                          <w:rPr>
                            <w:sz w:val="21"/>
                          </w:rPr>
                        </w:pPr>
                        <w:r>
                          <w:rPr>
                            <w:sz w:val="21"/>
                          </w:rPr>
                          <w:t>施工工期</w:t>
                        </w:r>
                      </w:p>
                    </w:tc>
                    <w:tc>
                      <w:tcPr>
                        <w:tcW w:w="2547" w:type="dxa"/>
                        <w:tcBorders>
                          <w:top w:val="single" w:sz="4" w:space="0" w:color="000000"/>
                          <w:left w:val="single" w:sz="4" w:space="0" w:color="000000"/>
                          <w:bottom w:val="single" w:sz="4" w:space="0" w:color="000000"/>
                        </w:tcBorders>
                      </w:tcPr>
                      <w:p>
                        <w:pPr>
                          <w:pStyle w:val="TableParagraph"/>
                          <w:spacing w:before="151"/>
                          <w:ind w:left="67" w:right="58"/>
                          <w:jc w:val="center"/>
                          <w:rPr>
                            <w:sz w:val="21"/>
                          </w:rPr>
                        </w:pPr>
                        <w:r>
                          <w:rPr>
                            <w:rFonts w:ascii="Times New Roman" w:eastAsia="Times New Roman"/>
                            <w:sz w:val="21"/>
                          </w:rPr>
                          <w:t xml:space="preserve">12 </w:t>
                        </w:r>
                        <w:r>
                          <w:rPr>
                            <w:sz w:val="21"/>
                          </w:rPr>
                          <w:t>个月</w:t>
                        </w:r>
                      </w:p>
                    </w:tc>
                  </w:tr>
                  <w:tr>
                    <w:tblPrEx>
                      <w:tblW w:w="0" w:type="auto"/>
                      <w:jc w:val="left"/>
                      <w:tblInd w:w="10" w:type="dxa"/>
                      <w:tblLayout w:type="fixed"/>
                      <w:tblCellMar>
                        <w:top w:w="0" w:type="dxa"/>
                        <w:left w:w="0" w:type="dxa"/>
                        <w:bottom w:w="0" w:type="dxa"/>
                        <w:right w:w="0" w:type="dxa"/>
                      </w:tblCellMar>
                      <w:tblLook w:val="01E0"/>
                    </w:tblPrEx>
                    <w:trPr>
                      <w:trHeight w:val="926"/>
                      <w:jc w:val="left"/>
                    </w:trPr>
                    <w:tc>
                      <w:tcPr>
                        <w:tcW w:w="1044" w:type="dxa"/>
                        <w:tcBorders>
                          <w:top w:val="single" w:sz="4" w:space="0" w:color="000000"/>
                          <w:bottom w:val="single" w:sz="4" w:space="0" w:color="000000"/>
                          <w:right w:val="single" w:sz="4" w:space="0" w:color="000000"/>
                        </w:tcBorders>
                      </w:tcPr>
                      <w:p>
                        <w:pPr>
                          <w:pStyle w:val="TableParagraph"/>
                          <w:spacing w:before="8"/>
                          <w:rPr>
                            <w:sz w:val="15"/>
                          </w:rPr>
                        </w:pPr>
                      </w:p>
                      <w:p>
                        <w:pPr>
                          <w:pStyle w:val="TableParagraph"/>
                          <w:spacing w:line="242" w:lineRule="auto"/>
                          <w:ind w:left="311" w:right="88" w:hanging="212"/>
                          <w:rPr>
                            <w:sz w:val="21"/>
                          </w:rPr>
                        </w:pPr>
                        <w:r>
                          <w:rPr>
                            <w:sz w:val="21"/>
                          </w:rPr>
                          <w:t>是否开工建设</w:t>
                        </w:r>
                      </w:p>
                    </w:tc>
                    <w:tc>
                      <w:tcPr>
                        <w:tcW w:w="7995" w:type="dxa"/>
                        <w:gridSpan w:val="3"/>
                        <w:tcBorders>
                          <w:top w:val="single" w:sz="4" w:space="0" w:color="000000"/>
                          <w:left w:val="single" w:sz="4" w:space="0" w:color="000000"/>
                          <w:bottom w:val="single" w:sz="4" w:space="0" w:color="000000"/>
                        </w:tcBorders>
                      </w:tcPr>
                      <w:p>
                        <w:pPr>
                          <w:pStyle w:val="TableParagraph"/>
                          <w:spacing w:before="8"/>
                          <w:rPr>
                            <w:sz w:val="15"/>
                          </w:rPr>
                        </w:pPr>
                      </w:p>
                      <w:p>
                        <w:pPr>
                          <w:pStyle w:val="TableParagraph"/>
                          <w:ind w:left="115"/>
                          <w:rPr>
                            <w:sz w:val="21"/>
                          </w:rPr>
                        </w:pPr>
                        <w:r>
                          <w:rPr>
                            <w:rFonts w:ascii="MS UI Gothic" w:eastAsia="MS UI Gothic" w:hAnsi="MS UI Gothic" w:hint="eastAsia"/>
                            <w:sz w:val="21"/>
                          </w:rPr>
                          <w:t>☑</w:t>
                        </w:r>
                        <w:r>
                          <w:rPr>
                            <w:sz w:val="21"/>
                          </w:rPr>
                          <w:t>否</w:t>
                        </w:r>
                      </w:p>
                      <w:p>
                        <w:pPr>
                          <w:pStyle w:val="TableParagraph"/>
                          <w:tabs>
                            <w:tab w:val="left" w:pos="3829"/>
                          </w:tabs>
                          <w:spacing w:before="2"/>
                          <w:ind w:left="100"/>
                          <w:rPr>
                            <w:rFonts w:ascii="Times New Roman" w:eastAsia="Times New Roman" w:hAnsi="Times New Roman"/>
                            <w:sz w:val="21"/>
                          </w:rPr>
                        </w:pPr>
                        <w:r>
                          <w:rPr>
                            <w:w w:val="95"/>
                            <w:sz w:val="21"/>
                          </w:rPr>
                          <w:t>□是：</w:t>
                        </w:r>
                        <w:r>
                          <w:rPr>
                            <w:rFonts w:ascii="Times New Roman" w:eastAsia="Times New Roman" w:hAnsi="Times New Roman"/>
                            <w:w w:val="95"/>
                            <w:sz w:val="21"/>
                            <w:u w:val="single"/>
                          </w:rPr>
                          <w:t xml:space="preserve"> </w:t>
                        </w:r>
                        <w:r>
                          <w:rPr>
                            <w:rFonts w:ascii="Times New Roman" w:eastAsia="Times New Roman" w:hAnsi="Times New Roman"/>
                            <w:sz w:val="21"/>
                            <w:u w:val="single"/>
                          </w:rPr>
                          <w:tab/>
                        </w:r>
                      </w:p>
                    </w:tc>
                  </w:tr>
                  <w:tr>
                    <w:tblPrEx>
                      <w:tblW w:w="0" w:type="auto"/>
                      <w:jc w:val="left"/>
                      <w:tblInd w:w="10" w:type="dxa"/>
                      <w:tblLayout w:type="fixed"/>
                      <w:tblCellMar>
                        <w:top w:w="0" w:type="dxa"/>
                        <w:left w:w="0" w:type="dxa"/>
                        <w:bottom w:w="0" w:type="dxa"/>
                        <w:right w:w="0" w:type="dxa"/>
                      </w:tblCellMar>
                      <w:tblLook w:val="01E0"/>
                    </w:tblPrEx>
                    <w:trPr>
                      <w:trHeight w:val="927"/>
                      <w:jc w:val="left"/>
                    </w:trPr>
                    <w:tc>
                      <w:tcPr>
                        <w:tcW w:w="1044" w:type="dxa"/>
                        <w:tcBorders>
                          <w:top w:val="single" w:sz="4" w:space="0" w:color="000000"/>
                          <w:bottom w:val="single" w:sz="4" w:space="0" w:color="000000"/>
                          <w:right w:val="single" w:sz="4" w:space="0" w:color="000000"/>
                        </w:tcBorders>
                      </w:tcPr>
                      <w:p>
                        <w:pPr>
                          <w:pStyle w:val="TableParagraph"/>
                          <w:spacing w:before="7"/>
                          <w:rPr>
                            <w:sz w:val="15"/>
                          </w:rPr>
                        </w:pPr>
                      </w:p>
                      <w:p>
                        <w:pPr>
                          <w:pStyle w:val="TableParagraph"/>
                          <w:spacing w:line="244" w:lineRule="auto"/>
                          <w:ind w:left="100" w:right="88"/>
                          <w:rPr>
                            <w:sz w:val="21"/>
                          </w:rPr>
                        </w:pPr>
                        <w:r>
                          <w:rPr>
                            <w:sz w:val="21"/>
                          </w:rPr>
                          <w:t>专项评价设置情况</w:t>
                        </w:r>
                      </w:p>
                    </w:tc>
                    <w:tc>
                      <w:tcPr>
                        <w:tcW w:w="7995" w:type="dxa"/>
                        <w:gridSpan w:val="3"/>
                        <w:tcBorders>
                          <w:top w:val="single" w:sz="4" w:space="0" w:color="000000"/>
                          <w:left w:val="single" w:sz="4" w:space="0" w:color="000000"/>
                          <w:bottom w:val="single" w:sz="4" w:space="0" w:color="000000"/>
                        </w:tcBorders>
                      </w:tcPr>
                      <w:p>
                        <w:pPr>
                          <w:pStyle w:val="TableParagraph"/>
                          <w:spacing w:before="3"/>
                          <w:rPr>
                            <w:sz w:val="26"/>
                          </w:rPr>
                        </w:pPr>
                      </w:p>
                      <w:p>
                        <w:pPr>
                          <w:pStyle w:val="TableParagraph"/>
                          <w:ind w:left="24"/>
                          <w:jc w:val="center"/>
                          <w:rPr>
                            <w:sz w:val="21"/>
                          </w:rPr>
                        </w:pPr>
                        <w:r>
                          <w:rPr>
                            <w:w w:val="99"/>
                            <w:sz w:val="21"/>
                          </w:rPr>
                          <w:t>无</w:t>
                        </w:r>
                      </w:p>
                    </w:tc>
                  </w:tr>
                  <w:tr>
                    <w:tblPrEx>
                      <w:tblW w:w="0" w:type="auto"/>
                      <w:jc w:val="left"/>
                      <w:tblInd w:w="10" w:type="dxa"/>
                      <w:tblLayout w:type="fixed"/>
                      <w:tblCellMar>
                        <w:top w:w="0" w:type="dxa"/>
                        <w:left w:w="0" w:type="dxa"/>
                        <w:bottom w:w="0" w:type="dxa"/>
                        <w:right w:w="0" w:type="dxa"/>
                      </w:tblCellMar>
                      <w:tblLook w:val="01E0"/>
                    </w:tblPrEx>
                    <w:trPr>
                      <w:trHeight w:val="2817"/>
                      <w:jc w:val="left"/>
                    </w:trPr>
                    <w:tc>
                      <w:tcPr>
                        <w:tcW w:w="1044" w:type="dxa"/>
                        <w:tcBorders>
                          <w:top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19"/>
                          </w:rPr>
                        </w:pPr>
                      </w:p>
                      <w:p>
                        <w:pPr>
                          <w:pStyle w:val="TableParagraph"/>
                          <w:ind w:left="79" w:right="70"/>
                          <w:jc w:val="center"/>
                          <w:rPr>
                            <w:sz w:val="21"/>
                          </w:rPr>
                        </w:pPr>
                        <w:r>
                          <w:rPr>
                            <w:sz w:val="21"/>
                          </w:rPr>
                          <w:t>规划情况</w:t>
                        </w:r>
                      </w:p>
                    </w:tc>
                    <w:tc>
                      <w:tcPr>
                        <w:tcW w:w="7995" w:type="dxa"/>
                        <w:gridSpan w:val="3"/>
                        <w:tcBorders>
                          <w:top w:val="single" w:sz="4" w:space="0" w:color="000000"/>
                          <w:left w:val="single" w:sz="4" w:space="0" w:color="000000"/>
                          <w:bottom w:val="single" w:sz="4" w:space="0" w:color="000000"/>
                        </w:tcBorders>
                      </w:tcPr>
                      <w:p>
                        <w:pPr>
                          <w:pStyle w:val="TableParagraph"/>
                          <w:spacing w:before="17"/>
                          <w:ind w:left="21"/>
                          <w:rPr>
                            <w:sz w:val="24"/>
                          </w:rPr>
                        </w:pPr>
                        <w:r>
                          <w:rPr>
                            <w:rFonts w:ascii="Times New Roman" w:eastAsia="Times New Roman"/>
                            <w:sz w:val="24"/>
                          </w:rPr>
                          <w:t>1</w:t>
                        </w:r>
                        <w:r>
                          <w:rPr>
                            <w:sz w:val="24"/>
                          </w:rPr>
                          <w:t>、《淮河流域综合规划（</w:t>
                        </w:r>
                        <w:r>
                          <w:rPr>
                            <w:rFonts w:ascii="Times New Roman" w:eastAsia="Times New Roman"/>
                            <w:sz w:val="24"/>
                          </w:rPr>
                          <w:t>2012-2030</w:t>
                        </w:r>
                        <w:r>
                          <w:rPr>
                            <w:sz w:val="24"/>
                          </w:rPr>
                          <w:t>）》（国务院，国函〔</w:t>
                        </w:r>
                        <w:r>
                          <w:rPr>
                            <w:rFonts w:ascii="Times New Roman" w:eastAsia="Times New Roman"/>
                            <w:sz w:val="24"/>
                          </w:rPr>
                          <w:t>2013</w:t>
                        </w:r>
                        <w:r>
                          <w:rPr>
                            <w:sz w:val="24"/>
                          </w:rPr>
                          <w:t>〕</w:t>
                        </w:r>
                        <w:r>
                          <w:rPr>
                            <w:rFonts w:ascii="Times New Roman" w:eastAsia="Times New Roman"/>
                            <w:sz w:val="24"/>
                          </w:rPr>
                          <w:t>35</w:t>
                        </w:r>
                        <w:r>
                          <w:rPr>
                            <w:sz w:val="24"/>
                          </w:rPr>
                          <w:t>号）</w:t>
                        </w:r>
                      </w:p>
                      <w:p>
                        <w:pPr>
                          <w:pStyle w:val="TableParagraph"/>
                          <w:spacing w:before="160"/>
                          <w:ind w:left="21"/>
                          <w:rPr>
                            <w:rFonts w:ascii="Times New Roman" w:eastAsia="Times New Roman" w:hAnsi="Times New Roman"/>
                            <w:sz w:val="24"/>
                          </w:rPr>
                        </w:pPr>
                        <w:r>
                          <w:rPr>
                            <w:rFonts w:ascii="Times New Roman" w:eastAsia="Times New Roman" w:hAnsi="Times New Roman"/>
                            <w:sz w:val="24"/>
                          </w:rPr>
                          <w:t>2</w:t>
                        </w:r>
                        <w:r>
                          <w:rPr>
                            <w:spacing w:val="-27"/>
                            <w:sz w:val="24"/>
                          </w:rPr>
                          <w:t>、《江苏省“十四五”水利发展规划》江苏省人民政府办公厅</w:t>
                        </w:r>
                        <w:r>
                          <w:rPr>
                            <w:spacing w:val="-5"/>
                            <w:sz w:val="24"/>
                          </w:rPr>
                          <w:t>（</w:t>
                        </w:r>
                        <w:r>
                          <w:rPr>
                            <w:spacing w:val="-20"/>
                            <w:sz w:val="24"/>
                          </w:rPr>
                          <w:t>苏政办发〔</w:t>
                        </w:r>
                        <w:r>
                          <w:rPr>
                            <w:rFonts w:ascii="Times New Roman" w:eastAsia="Times New Roman" w:hAnsi="Times New Roman"/>
                            <w:sz w:val="24"/>
                          </w:rPr>
                          <w:t>2021</w:t>
                        </w:r>
                      </w:p>
                      <w:p>
                        <w:pPr>
                          <w:pStyle w:val="TableParagraph"/>
                          <w:spacing w:before="159"/>
                          <w:ind w:left="21"/>
                          <w:rPr>
                            <w:sz w:val="24"/>
                          </w:rPr>
                        </w:pPr>
                        <w:r>
                          <w:rPr>
                            <w:rFonts w:ascii="Times New Roman" w:eastAsia="Times New Roman"/>
                            <w:sz w:val="24"/>
                          </w:rPr>
                          <w:t>53</w:t>
                        </w:r>
                        <w:r>
                          <w:rPr>
                            <w:sz w:val="24"/>
                          </w:rPr>
                          <w:t>号）</w:t>
                        </w:r>
                      </w:p>
                      <w:p>
                        <w:pPr>
                          <w:pStyle w:val="TableParagraph"/>
                          <w:spacing w:before="160"/>
                          <w:ind w:left="21"/>
                          <w:rPr>
                            <w:sz w:val="24"/>
                          </w:rPr>
                        </w:pPr>
                        <w:r>
                          <w:rPr>
                            <w:rFonts w:ascii="Times New Roman" w:eastAsia="Times New Roman"/>
                            <w:sz w:val="24"/>
                          </w:rPr>
                          <w:t>3</w:t>
                        </w:r>
                        <w:r>
                          <w:rPr>
                            <w:sz w:val="24"/>
                          </w:rPr>
                          <w:t>、《江苏省里下河区水利治理规划》</w:t>
                        </w:r>
                      </w:p>
                      <w:p>
                        <w:pPr>
                          <w:pStyle w:val="TableParagraph"/>
                          <w:spacing w:before="158"/>
                          <w:ind w:left="21"/>
                          <w:rPr>
                            <w:sz w:val="24"/>
                          </w:rPr>
                        </w:pPr>
                        <w:r>
                          <w:rPr>
                            <w:rFonts w:ascii="Times New Roman" w:eastAsia="Times New Roman" w:hAnsi="Times New Roman"/>
                            <w:sz w:val="24"/>
                          </w:rPr>
                          <w:t>4</w:t>
                        </w:r>
                        <w:r>
                          <w:rPr>
                            <w:spacing w:val="-15"/>
                            <w:sz w:val="24"/>
                          </w:rPr>
                          <w:t>、《盐城市人民政府办公室关于印发盐城市“十四五”水利发展规划的通知</w:t>
                        </w:r>
                      </w:p>
                      <w:p>
                        <w:pPr>
                          <w:pStyle w:val="TableParagraph"/>
                          <w:spacing w:before="161"/>
                          <w:ind w:left="21"/>
                          <w:rPr>
                            <w:sz w:val="24"/>
                          </w:rPr>
                        </w:pPr>
                        <w:r>
                          <w:rPr>
                            <w:sz w:val="24"/>
                          </w:rPr>
                          <w:t>（盐政办发〔</w:t>
                        </w:r>
                        <w:r>
                          <w:rPr>
                            <w:rFonts w:ascii="Times New Roman" w:eastAsia="Times New Roman"/>
                            <w:sz w:val="24"/>
                          </w:rPr>
                          <w:t>2021</w:t>
                        </w:r>
                        <w:r>
                          <w:rPr>
                            <w:sz w:val="24"/>
                          </w:rPr>
                          <w:t>〕</w:t>
                        </w:r>
                        <w:r>
                          <w:rPr>
                            <w:rFonts w:ascii="Times New Roman" w:eastAsia="Times New Roman"/>
                            <w:sz w:val="24"/>
                          </w:rPr>
                          <w:t>69</w:t>
                        </w:r>
                        <w:r>
                          <w:rPr>
                            <w:sz w:val="24"/>
                          </w:rPr>
                          <w:t>号）。</w:t>
                        </w:r>
                      </w:p>
                    </w:tc>
                  </w:tr>
                  <w:tr>
                    <w:tblPrEx>
                      <w:tblW w:w="0" w:type="auto"/>
                      <w:jc w:val="left"/>
                      <w:tblInd w:w="10" w:type="dxa"/>
                      <w:tblLayout w:type="fixed"/>
                      <w:tblCellMar>
                        <w:top w:w="0" w:type="dxa"/>
                        <w:left w:w="0" w:type="dxa"/>
                        <w:bottom w:w="0" w:type="dxa"/>
                        <w:right w:w="0" w:type="dxa"/>
                      </w:tblCellMar>
                      <w:tblLook w:val="01E0"/>
                    </w:tblPrEx>
                    <w:trPr>
                      <w:trHeight w:val="924"/>
                      <w:jc w:val="left"/>
                    </w:trPr>
                    <w:tc>
                      <w:tcPr>
                        <w:tcW w:w="1044" w:type="dxa"/>
                        <w:tcBorders>
                          <w:top w:val="single" w:sz="4" w:space="0" w:color="000000"/>
                          <w:right w:val="single" w:sz="4" w:space="0" w:color="000000"/>
                        </w:tcBorders>
                      </w:tcPr>
                      <w:p>
                        <w:pPr>
                          <w:pStyle w:val="TableParagraph"/>
                          <w:spacing w:before="63" w:line="242" w:lineRule="auto"/>
                          <w:ind w:left="311" w:right="88" w:hanging="212"/>
                          <w:rPr>
                            <w:sz w:val="21"/>
                          </w:rPr>
                        </w:pPr>
                        <w:r>
                          <w:rPr>
                            <w:sz w:val="21"/>
                          </w:rPr>
                          <w:t>规划环境影响</w:t>
                        </w:r>
                      </w:p>
                      <w:p>
                        <w:pPr>
                          <w:pStyle w:val="TableParagraph"/>
                          <w:spacing w:line="268" w:lineRule="exact"/>
                          <w:ind w:left="100"/>
                          <w:rPr>
                            <w:sz w:val="21"/>
                          </w:rPr>
                        </w:pPr>
                        <w:r>
                          <w:rPr>
                            <w:sz w:val="21"/>
                          </w:rPr>
                          <w:t>评价情况</w:t>
                        </w:r>
                      </w:p>
                    </w:tc>
                    <w:tc>
                      <w:tcPr>
                        <w:tcW w:w="7995" w:type="dxa"/>
                        <w:gridSpan w:val="3"/>
                        <w:tcBorders>
                          <w:top w:val="single" w:sz="4" w:space="0" w:color="000000"/>
                          <w:left w:val="single" w:sz="4" w:space="0" w:color="000000"/>
                        </w:tcBorders>
                      </w:tcPr>
                      <w:p>
                        <w:pPr>
                          <w:pStyle w:val="TableParagraph"/>
                          <w:spacing w:before="8"/>
                          <w:rPr>
                            <w:sz w:val="24"/>
                          </w:rPr>
                        </w:pPr>
                      </w:p>
                      <w:p>
                        <w:pPr>
                          <w:pStyle w:val="TableParagraph"/>
                          <w:spacing w:before="1"/>
                          <w:ind w:left="21"/>
                          <w:jc w:val="center"/>
                          <w:rPr>
                            <w:sz w:val="24"/>
                          </w:rPr>
                        </w:pPr>
                        <w:r>
                          <w:rPr>
                            <w:sz w:val="24"/>
                          </w:rPr>
                          <w:t>无</w:t>
                        </w:r>
                      </w:p>
                    </w:tc>
                  </w:tr>
                </w:tbl>
                <w:p>
                  <w:pPr>
                    <w:pStyle w:val="BodyText"/>
                  </w:pPr>
                </w:p>
              </w:txbxContent>
            </v:textbox>
          </v:shape>
        </w:pict>
      </w:r>
    </w:p>
    <w:p>
      <w:pPr>
        <w:pStyle w:val="BodyText"/>
        <w:spacing w:before="3"/>
      </w:pPr>
    </w:p>
    <w:p>
      <w:pPr>
        <w:pStyle w:val="Heading1"/>
      </w:pPr>
      <w:bookmarkStart w:id="1" w:name="_TOC_250004"/>
      <w:bookmarkEnd w:id="1"/>
      <w:r>
        <w:t>一、建设项目基本情况</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4"/>
        <w:rPr>
          <w:sz w:val="40"/>
        </w:rPr>
      </w:pPr>
    </w:p>
    <w:p>
      <w:pPr>
        <w:pStyle w:val="BodyText"/>
        <w:ind w:left="9212"/>
      </w:pPr>
      <w:r>
        <w:t>〕</w:t>
      </w:r>
    </w:p>
    <w:p>
      <w:pPr>
        <w:pStyle w:val="BodyText"/>
      </w:pPr>
    </w:p>
    <w:p>
      <w:pPr>
        <w:pStyle w:val="BodyText"/>
      </w:pPr>
    </w:p>
    <w:p>
      <w:pPr>
        <w:pStyle w:val="BodyText"/>
      </w:pPr>
    </w:p>
    <w:p>
      <w:pPr>
        <w:pStyle w:val="BodyText"/>
        <w:spacing w:before="170"/>
        <w:ind w:left="9212"/>
      </w:pPr>
      <w:r>
        <w:t>》</w:t>
      </w:r>
    </w:p>
    <w:p>
      <w:pPr>
        <w:spacing w:after="0"/>
        <w:sectPr>
          <w:headerReference w:type="default" r:id="rId4"/>
          <w:footerReference w:type="default" r:id="rId5"/>
          <w:pgSz w:w="11910" w:h="16840"/>
          <w:pgMar w:top="1340" w:right="1120" w:bottom="1160" w:left="1220" w:header="891" w:footer="969"/>
          <w:pgNumType w:start="1"/>
          <w:cols w:space="708"/>
        </w:sectPr>
      </w:pPr>
    </w:p>
    <w:p>
      <w:pPr>
        <w:pStyle w:val="BodyText"/>
        <w:spacing w:before="12"/>
        <w:rPr>
          <w:sz w:val="23"/>
        </w:rPr>
      </w:pPr>
    </w:p>
    <w:p>
      <w:pPr>
        <w:spacing w:after="0"/>
        <w:rPr>
          <w:sz w:val="23"/>
        </w:rPr>
        <w:sectPr>
          <w:headerReference w:type="default" r:id="rId6"/>
          <w:footerReference w:type="default" r:id="rId7"/>
          <w:pgSz w:w="11910" w:h="16840"/>
          <w:pgMar w:top="1340" w:right="1120" w:bottom="1240" w:left="1220" w:header="891" w:footer="969"/>
          <w:pgNumType w:start="2"/>
          <w:cols w:space="708"/>
        </w:sectPr>
      </w:pPr>
    </w:p>
    <w:p>
      <w:pPr>
        <w:pStyle w:val="BodyText"/>
        <w:rPr>
          <w:sz w:val="20"/>
        </w:rPr>
      </w:pPr>
      <w:r>
        <w:pict>
          <v:group id="_x0000_s1030" style="width:452.95pt;height:656.35pt;margin-top:85.05pt;margin-left:76.07pt;mso-position-horizontal-relative:page;mso-position-vertical-relative:page;position:absolute;z-index:-251656192" coordorigin="1521,1701" coordsize="9059,13127">
            <v:shape id="_x0000_s1031" style="width:9059;height:13127;left:1521;position:absolute;top:2010" coordorigin="1521,2011" coordsize="9059,13127" path="m1521,1711l10580,1711m1521,14818l10580,14818m1531,1701l1531,14827m10570,1720l10570,14827e" filled="f" stroked="t" strokecolor="black" strokeweight="0.96pt">
              <v:stroke dashstyle="solid"/>
              <v:path arrowok="t"/>
            </v:shape>
            <v:line id="_x0000_s1032" style="position:absolute" from="2575,1720" to="2575,14808" stroked="t" strokecolor="black" strokeweight="0.48pt">
              <v:stroke dashstyle="solid"/>
            </v:li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69" w:line="242" w:lineRule="auto"/>
        <w:ind w:left="411" w:right="0" w:firstLine="0"/>
        <w:jc w:val="both"/>
        <w:rPr>
          <w:sz w:val="21"/>
        </w:rPr>
      </w:pPr>
      <w:r>
        <w:rPr>
          <w:sz w:val="21"/>
        </w:rPr>
        <w:t>规划及规划环境影响评价符合性分析</w:t>
      </w:r>
    </w:p>
    <w:p>
      <w:pPr>
        <w:pStyle w:val="Heading2"/>
        <w:spacing w:before="74"/>
      </w:pPr>
      <w:r>
        <w:rPr>
          <w:b w:val="0"/>
        </w:rPr>
        <w:br w:type="column"/>
      </w:r>
      <w:r>
        <w:rPr>
          <w:rFonts w:ascii="Times New Roman" w:eastAsia="Times New Roman"/>
        </w:rPr>
        <w:t>1</w:t>
      </w:r>
      <w:r>
        <w:t>、与《淮河流域综合规划（</w:t>
      </w:r>
      <w:r>
        <w:rPr>
          <w:rFonts w:ascii="Times New Roman" w:eastAsia="Times New Roman"/>
        </w:rPr>
        <w:t>2012-2030</w:t>
      </w:r>
      <w:r>
        <w:t>）》符合性分析</w:t>
      </w:r>
    </w:p>
    <w:p>
      <w:pPr>
        <w:pStyle w:val="BodyText"/>
        <w:spacing w:before="158" w:line="364" w:lineRule="auto"/>
        <w:ind w:left="79" w:right="273" w:firstLine="480"/>
        <w:jc w:val="both"/>
      </w:pPr>
      <w:r>
        <w:rPr>
          <w:spacing w:val="-5"/>
        </w:rPr>
        <w:t>国务院以国函〔</w:t>
      </w:r>
      <w:r>
        <w:rPr>
          <w:rFonts w:ascii="Times New Roman" w:eastAsia="Times New Roman"/>
        </w:rPr>
        <w:t>2013</w:t>
      </w:r>
      <w:r>
        <w:rPr>
          <w:spacing w:val="-20"/>
        </w:rPr>
        <w:t>〕</w:t>
      </w:r>
      <w:r>
        <w:rPr>
          <w:rFonts w:ascii="Times New Roman" w:eastAsia="Times New Roman"/>
        </w:rPr>
        <w:t>35</w:t>
      </w:r>
      <w:r>
        <w:rPr>
          <w:spacing w:val="-6"/>
        </w:rPr>
        <w:t>号批复了《淮河流域综合规划</w:t>
      </w:r>
      <w:r>
        <w:t>（</w:t>
      </w:r>
      <w:r>
        <w:rPr>
          <w:rFonts w:ascii="Times New Roman" w:eastAsia="Times New Roman"/>
        </w:rPr>
        <w:t>2012-2030</w:t>
      </w:r>
      <w:r>
        <w:t>）》根据规划，到</w:t>
      </w:r>
      <w:r>
        <w:rPr>
          <w:rFonts w:ascii="Times New Roman" w:eastAsia="Times New Roman"/>
        </w:rPr>
        <w:t>2020</w:t>
      </w:r>
      <w:r>
        <w:rPr>
          <w:spacing w:val="-1"/>
        </w:rPr>
        <w:t>年，建成较为完善的防洪除涝减灾体系，进一步控制山丘区洪水，重点平原洼地的除涝能力明显提高；重要支流得到进一步治理。到</w:t>
      </w:r>
      <w:r>
        <w:rPr>
          <w:rFonts w:ascii="Times New Roman" w:eastAsia="Times New Roman"/>
        </w:rPr>
        <w:t>2030</w:t>
      </w:r>
      <w:r>
        <w:rPr>
          <w:spacing w:val="-1"/>
        </w:rPr>
        <w:t>年，建成适应流域经济社会可持续发展、维护良好水生态的整体协调的水利体系。建成完善的流域防洪除涝减灾体系，各类防洪保护区的防洪标准</w:t>
      </w:r>
      <w:r>
        <w:t>达到国家规定的要求，除涝能力进一步加强。</w:t>
      </w:r>
    </w:p>
    <w:p>
      <w:pPr>
        <w:pStyle w:val="BodyText"/>
        <w:spacing w:line="362" w:lineRule="auto"/>
        <w:ind w:left="79" w:right="273" w:firstLine="480"/>
      </w:pPr>
      <w:r>
        <w:t>本项目串通河整治工程建设后使区域的防洪除涝能力明显提高，设计防洪标准为</w:t>
      </w:r>
      <w:r>
        <w:rPr>
          <w:rFonts w:ascii="Times New Roman" w:eastAsia="Times New Roman"/>
        </w:rPr>
        <w:t>20</w:t>
      </w:r>
      <w:r>
        <w:t>年一遇，设计排涝标准为</w:t>
      </w:r>
      <w:r>
        <w:rPr>
          <w:rFonts w:ascii="Times New Roman" w:eastAsia="Times New Roman"/>
        </w:rPr>
        <w:t>10</w:t>
      </w:r>
      <w:r>
        <w:t>年一遇，符合规划要求。</w:t>
      </w:r>
    </w:p>
    <w:p>
      <w:pPr>
        <w:pStyle w:val="Heading2"/>
        <w:spacing w:before="3"/>
      </w:pPr>
      <w:r>
        <w:rPr>
          <w:rFonts w:ascii="Times New Roman" w:eastAsia="Times New Roman" w:hAnsi="Times New Roman"/>
        </w:rPr>
        <w:t>2</w:t>
      </w:r>
      <w:r>
        <w:t>、与《江苏省“十四五”水利发展规划》符合性分析</w:t>
      </w:r>
    </w:p>
    <w:p>
      <w:pPr>
        <w:pStyle w:val="BodyText"/>
        <w:spacing w:before="159" w:line="364" w:lineRule="auto"/>
        <w:ind w:left="79" w:right="111" w:firstLine="480"/>
      </w:pPr>
      <w:r>
        <w:rPr>
          <w:spacing w:val="-4"/>
        </w:rPr>
        <w:t>江苏省人民政府办公厅以苏政办发〔</w:t>
      </w:r>
      <w:r>
        <w:rPr>
          <w:rFonts w:ascii="Times New Roman" w:eastAsia="Times New Roman" w:hAnsi="Times New Roman"/>
        </w:rPr>
        <w:t>2021</w:t>
      </w:r>
      <w:r>
        <w:rPr>
          <w:spacing w:val="-51"/>
        </w:rPr>
        <w:t>〕</w:t>
      </w:r>
      <w:r>
        <w:rPr>
          <w:rFonts w:ascii="Times New Roman" w:eastAsia="Times New Roman" w:hAnsi="Times New Roman"/>
        </w:rPr>
        <w:t>53</w:t>
      </w:r>
      <w:r>
        <w:rPr>
          <w:spacing w:val="-11"/>
        </w:rPr>
        <w:t>号文件发布了《江苏省“十四五”水利发展规划》（下称“《规划》”）。根据规划，</w:t>
      </w:r>
      <w:r>
        <w:rPr>
          <w:rFonts w:ascii="Times New Roman" w:eastAsia="Times New Roman" w:hAnsi="Times New Roman"/>
          <w:spacing w:val="-11"/>
        </w:rPr>
        <w:t>2025</w:t>
      </w:r>
      <w:r>
        <w:rPr>
          <w:spacing w:val="-11"/>
        </w:rPr>
        <w:t xml:space="preserve">年目标为初步构建标准较高、功能齐全、节约高效、保障有力的现代水安全保障体系， </w:t>
      </w:r>
      <w:r>
        <w:rPr>
          <w:spacing w:val="-16"/>
        </w:rPr>
        <w:t xml:space="preserve">进一步提升防洪保安能力、水资源保障能力、生态保护能力和系统治水能力， </w:t>
      </w:r>
      <w:r>
        <w:t>为江苏现代化建设与高质量发展强化水利保障，为美丽江苏建设增添水韵成色。区域骨干河道防洪标准基本达到</w:t>
      </w:r>
      <w:r>
        <w:rPr>
          <w:rFonts w:ascii="Times New Roman" w:eastAsia="Times New Roman" w:hAnsi="Times New Roman"/>
        </w:rPr>
        <w:t>20</w:t>
      </w:r>
      <w:r>
        <w:t>年一遇，除涝标准，淮河流域片区域达到</w:t>
      </w:r>
      <w:r>
        <w:rPr>
          <w:rFonts w:ascii="Times New Roman" w:eastAsia="Times New Roman" w:hAnsi="Times New Roman"/>
        </w:rPr>
        <w:t>5</w:t>
      </w:r>
      <w:r>
        <w:t>－</w:t>
      </w:r>
      <w:r>
        <w:rPr>
          <w:rFonts w:ascii="Times New Roman" w:eastAsia="Times New Roman" w:hAnsi="Times New Roman"/>
        </w:rPr>
        <w:t>10</w:t>
      </w:r>
      <w:r>
        <w:rPr>
          <w:spacing w:val="-8"/>
        </w:rPr>
        <w:t>年一遇，长江、太湖流域片达到</w:t>
      </w:r>
      <w:r>
        <w:rPr>
          <w:rFonts w:ascii="Times New Roman" w:eastAsia="Times New Roman" w:hAnsi="Times New Roman"/>
        </w:rPr>
        <w:t>10</w:t>
      </w:r>
      <w:r>
        <w:t>－</w:t>
      </w:r>
      <w:r>
        <w:rPr>
          <w:rFonts w:ascii="Times New Roman" w:eastAsia="Times New Roman" w:hAnsi="Times New Roman"/>
        </w:rPr>
        <w:t>20</w:t>
      </w:r>
      <w:r>
        <w:rPr>
          <w:spacing w:val="-5"/>
        </w:rPr>
        <w:t>年一遇。各级城市防洪达到国家规定的防洪标准，重要河道达到</w:t>
      </w:r>
      <w:r>
        <w:rPr>
          <w:rFonts w:ascii="Times New Roman" w:eastAsia="Times New Roman" w:hAnsi="Times New Roman"/>
          <w:spacing w:val="-5"/>
        </w:rPr>
        <w:t>20</w:t>
      </w:r>
      <w:r>
        <w:rPr>
          <w:spacing w:val="-5"/>
        </w:rPr>
        <w:t>年一遇排涝标准。全省江河堤防达标率达到</w:t>
      </w:r>
      <w:r>
        <w:rPr>
          <w:rFonts w:ascii="Times New Roman" w:eastAsia="Times New Roman" w:hAnsi="Times New Roman"/>
          <w:spacing w:val="-5"/>
        </w:rPr>
        <w:t>86%</w:t>
      </w:r>
      <w:r>
        <w:rPr>
          <w:spacing w:val="-5"/>
        </w:rPr>
        <w:t>以上。</w:t>
      </w:r>
    </w:p>
    <w:p>
      <w:pPr>
        <w:pStyle w:val="BodyText"/>
        <w:spacing w:line="364" w:lineRule="auto"/>
        <w:ind w:left="79" w:right="154" w:firstLine="480"/>
      </w:pPr>
      <w:r>
        <w:t>本项目所在的串通河在《江苏省骨干河道名录（</w:t>
      </w:r>
      <w:r>
        <w:rPr>
          <w:rFonts w:ascii="Times New Roman" w:eastAsia="Times New Roman" w:hAnsi="Times New Roman"/>
        </w:rPr>
        <w:t>2018</w:t>
      </w:r>
      <w:r>
        <w:t>年修订）》中属于“跨县重要河道”中淮河流域内</w:t>
      </w:r>
      <w:r>
        <w:rPr>
          <w:rFonts w:ascii="Times New Roman" w:eastAsia="Times New Roman" w:hAnsi="Times New Roman"/>
        </w:rPr>
        <w:t>118</w:t>
      </w:r>
      <w:r>
        <w:t>号，故属于区域性骨干河道，串通河设计排涝标准为</w:t>
      </w:r>
      <w:r>
        <w:rPr>
          <w:rFonts w:ascii="Times New Roman" w:eastAsia="Times New Roman" w:hAnsi="Times New Roman"/>
        </w:rPr>
        <w:t>10</w:t>
      </w:r>
      <w:r>
        <w:t>年一遇，防洪标准为</w:t>
      </w:r>
      <w:r>
        <w:rPr>
          <w:rFonts w:ascii="Times New Roman" w:eastAsia="Times New Roman" w:hAnsi="Times New Roman"/>
        </w:rPr>
        <w:t>20</w:t>
      </w:r>
      <w:r>
        <w:t>年一遇。排涝满足淮河流域片区域</w:t>
      </w:r>
      <w:r>
        <w:rPr>
          <w:rFonts w:ascii="Times New Roman" w:eastAsia="Times New Roman" w:hAnsi="Times New Roman"/>
        </w:rPr>
        <w:t xml:space="preserve">5-10 </w:t>
      </w:r>
      <w:r>
        <w:t>年一遇标准要求；防洪满足作为区域骨干河道的防洪标准即</w:t>
      </w:r>
      <w:r>
        <w:rPr>
          <w:rFonts w:ascii="Times New Roman" w:eastAsia="Times New Roman" w:hAnsi="Times New Roman"/>
        </w:rPr>
        <w:t>20</w:t>
      </w:r>
      <w:r>
        <w:t>年一遇要求。故本建设符合《江苏省“十四五”水利发展规划》。</w:t>
      </w:r>
    </w:p>
    <w:p>
      <w:pPr>
        <w:pStyle w:val="Heading2"/>
        <w:spacing w:line="306" w:lineRule="exact"/>
      </w:pPr>
      <w:r>
        <w:rPr>
          <w:rFonts w:ascii="Times New Roman" w:eastAsia="Times New Roman"/>
        </w:rPr>
        <w:t>3</w:t>
      </w:r>
      <w:r>
        <w:t>、与《江苏省里下河区水利治理规划》符合性分析</w:t>
      </w:r>
    </w:p>
    <w:p>
      <w:pPr>
        <w:pStyle w:val="BodyText"/>
        <w:spacing w:before="153" w:line="364" w:lineRule="auto"/>
        <w:ind w:left="79" w:right="273" w:firstLine="480"/>
        <w:jc w:val="both"/>
      </w:pPr>
      <w:r>
        <w:t>根据《江苏省里下河区水利治理规划》，里下河腹部地区及斗北区坚持“上抽、中滞、下排”的治理方针，巩固、扩大、延伸骨干自排入海通道， 提高下排能力和受益范围；重点推进腹部退圩还湖工程，恢复、巩固湖荡滞</w:t>
      </w:r>
    </w:p>
    <w:p>
      <w:pPr>
        <w:spacing w:after="0" w:line="364" w:lineRule="auto"/>
        <w:jc w:val="both"/>
        <w:sectPr>
          <w:headerReference w:type="default" r:id="rId8"/>
          <w:footerReference w:type="default" r:id="rId9"/>
          <w:type w:val="continuous"/>
          <w:pgSz w:w="11910" w:h="16840"/>
          <w:pgMar w:top="1580" w:right="1120" w:bottom="280" w:left="1220" w:header="708" w:footer="708"/>
          <w:pgNumType w:start="3"/>
          <w:cols w:num="2" w:space="708" w:equalWidth="0">
            <w:col w:w="1253" w:space="40"/>
            <w:col w:w="8277" w:space="0"/>
          </w:cols>
        </w:sectPr>
      </w:pPr>
    </w:p>
    <w:p>
      <w:pPr>
        <w:pStyle w:val="BodyText"/>
        <w:rPr>
          <w:sz w:val="20"/>
        </w:rPr>
      </w:pPr>
      <w:r>
        <w:pict>
          <v:shape id="_x0000_s1033" type="#_x0000_t202" style="width:453.4pt;height:636.8pt;margin-top:85.05pt;margin-left:76.07pt;mso-position-horizontal-relative:page;mso-position-vertical-relative:page;position:absolute;z-index:251661312" filled="f" stroked="f">
            <v:textbox inset="0,0,0,0">
              <w:txbxContent>
                <w:tbl>
                  <w:tblPr>
                    <w:tblStyle w:val="TableNormal1"/>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00"/>
                    <w:gridCol w:w="809"/>
                    <w:gridCol w:w="3391"/>
                    <w:gridCol w:w="2383"/>
                    <w:gridCol w:w="812"/>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085"/>
                      <w:jc w:val="left"/>
                    </w:trPr>
                    <w:tc>
                      <w:tcPr>
                        <w:tcW w:w="1044" w:type="dxa"/>
                        <w:tcBorders>
                          <w:bottom w:val="single" w:sz="4" w:space="0" w:color="000000"/>
                          <w:right w:val="single" w:sz="4" w:space="0" w:color="000000"/>
                        </w:tcBorders>
                      </w:tcPr>
                      <w:p>
                        <w:pPr>
                          <w:pStyle w:val="TableParagraph"/>
                          <w:rPr>
                            <w:rFonts w:ascii="Times New Roman"/>
                            <w:sz w:val="22"/>
                          </w:rPr>
                        </w:pPr>
                      </w:p>
                    </w:tc>
                    <w:tc>
                      <w:tcPr>
                        <w:tcW w:w="7995" w:type="dxa"/>
                        <w:gridSpan w:val="5"/>
                        <w:tcBorders>
                          <w:left w:val="single" w:sz="4" w:space="0" w:color="000000"/>
                          <w:bottom w:val="single" w:sz="4" w:space="0" w:color="000000"/>
                        </w:tcBorders>
                      </w:tcPr>
                      <w:p>
                        <w:pPr>
                          <w:pStyle w:val="TableParagraph"/>
                          <w:spacing w:before="18" w:line="364" w:lineRule="auto"/>
                          <w:ind w:left="21" w:right="36"/>
                          <w:jc w:val="both"/>
                          <w:rPr>
                            <w:sz w:val="24"/>
                          </w:rPr>
                        </w:pPr>
                        <w:r>
                          <w:rPr>
                            <w:sz w:val="24"/>
                          </w:rPr>
                          <w:t>蓄能力；新辟北部快速排水通道和下移挡潮闸，改善自排区中下游围水区排水条件；结合区域供水建设周边排水泵站，加强圩区建设与管理，遇超标准洪水实施圩区限排调度，并利用部分低洼圩区滞蓄；畅通内部河网，提高调度能力。</w:t>
                        </w:r>
                      </w:p>
                      <w:p>
                        <w:pPr>
                          <w:pStyle w:val="TableParagraph"/>
                          <w:spacing w:line="364" w:lineRule="auto"/>
                          <w:ind w:left="21" w:right="36" w:firstLine="480"/>
                          <w:rPr>
                            <w:sz w:val="24"/>
                          </w:rPr>
                        </w:pPr>
                        <w:r>
                          <w:rPr>
                            <w:spacing w:val="-7"/>
                            <w:sz w:val="24"/>
                          </w:rPr>
                          <w:t>本项目属于河湖整治工程，项目建设完成后能够提高里下河区排涝标准</w:t>
                        </w:r>
                        <w:r>
                          <w:rPr>
                            <w:spacing w:val="-8"/>
                            <w:sz w:val="24"/>
                          </w:rPr>
                          <w:t>改善区域防治治理能力，保障河道之间排水通畅性。因此，本项目符合《江</w:t>
                        </w:r>
                        <w:r>
                          <w:rPr>
                            <w:sz w:val="24"/>
                          </w:rPr>
                          <w:t>苏省里下河区水利治理规划》中相关要求。</w:t>
                        </w:r>
                      </w:p>
                      <w:p>
                        <w:pPr>
                          <w:pStyle w:val="TableParagraph"/>
                          <w:spacing w:line="307" w:lineRule="exact"/>
                          <w:ind w:left="501"/>
                          <w:rPr>
                            <w:b/>
                            <w:sz w:val="24"/>
                          </w:rPr>
                        </w:pPr>
                        <w:r>
                          <w:rPr>
                            <w:rFonts w:ascii="Times New Roman" w:eastAsia="Times New Roman" w:hAnsi="Times New Roman"/>
                            <w:b/>
                            <w:sz w:val="24"/>
                          </w:rPr>
                          <w:t>4</w:t>
                        </w:r>
                        <w:r>
                          <w:rPr>
                            <w:b/>
                            <w:sz w:val="24"/>
                          </w:rPr>
                          <w:t>、本项目与《盐城市“十四五”水利发展规划》相符性分析</w:t>
                        </w:r>
                      </w:p>
                      <w:p>
                        <w:pPr>
                          <w:pStyle w:val="TableParagraph"/>
                          <w:spacing w:before="155" w:line="364" w:lineRule="auto"/>
                          <w:ind w:left="21" w:right="36" w:firstLine="480"/>
                          <w:rPr>
                            <w:sz w:val="24"/>
                          </w:rPr>
                        </w:pPr>
                        <w:r>
                          <w:rPr>
                            <w:sz w:val="24"/>
                          </w:rPr>
                          <w:t>对照《盐城市“十四五”水利发展规划》，规划重点工程为：水安全保障工程、水资源支撑工程、水生态保护工程、水利管理与服务体系建设工程</w:t>
                        </w:r>
                      </w:p>
                      <w:p>
                        <w:pPr>
                          <w:pStyle w:val="TableParagraph"/>
                          <w:spacing w:line="306" w:lineRule="exact"/>
                          <w:ind w:left="21" w:firstLine="480"/>
                          <w:rPr>
                            <w:sz w:val="24"/>
                          </w:rPr>
                        </w:pPr>
                        <w:r>
                          <w:rPr>
                            <w:sz w:val="24"/>
                          </w:rPr>
                          <w:t>本项目为串通河综合治理工程，属于水安全保障工程中的区域骨干道河</w:t>
                        </w:r>
                      </w:p>
                      <w:p>
                        <w:pPr>
                          <w:pStyle w:val="TableParagraph"/>
                          <w:spacing w:before="8" w:line="460" w:lineRule="atLeast"/>
                          <w:ind w:left="21" w:right="36"/>
                          <w:rPr>
                            <w:sz w:val="24"/>
                          </w:rPr>
                        </w:pPr>
                        <w:r>
                          <w:rPr>
                            <w:sz w:val="24"/>
                          </w:rPr>
                          <w:t>道治理工程；本项目的实施可提升串通河水环境质量，进一步提高串通河区域灌排标准，符合《盐城市“十四五”水利发展规划》要求。</w:t>
                        </w:r>
                      </w:p>
                    </w:tc>
                  </w:tr>
                  <w:tr>
                    <w:tblPrEx>
                      <w:tblW w:w="0" w:type="auto"/>
                      <w:jc w:val="left"/>
                      <w:tblInd w:w="10" w:type="dxa"/>
                      <w:tblLayout w:type="fixed"/>
                      <w:tblCellMar>
                        <w:top w:w="0" w:type="dxa"/>
                        <w:left w:w="0" w:type="dxa"/>
                        <w:bottom w:w="0" w:type="dxa"/>
                        <w:right w:w="0" w:type="dxa"/>
                      </w:tblCellMar>
                      <w:tblLook w:val="01E0"/>
                    </w:tblPrEx>
                    <w:trPr>
                      <w:trHeight w:val="3091"/>
                      <w:jc w:val="left"/>
                    </w:trPr>
                    <w:tc>
                      <w:tcPr>
                        <w:tcW w:w="1044" w:type="dxa"/>
                        <w:vMerge w:val="restart"/>
                        <w:tcBorders>
                          <w:top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16"/>
                          </w:rPr>
                        </w:pPr>
                      </w:p>
                      <w:p>
                        <w:pPr>
                          <w:pStyle w:val="TableParagraph"/>
                          <w:spacing w:line="244" w:lineRule="auto"/>
                          <w:ind w:left="206" w:right="88" w:hanging="106"/>
                          <w:rPr>
                            <w:sz w:val="21"/>
                          </w:rPr>
                        </w:pPr>
                        <w:r>
                          <w:rPr>
                            <w:sz w:val="21"/>
                          </w:rPr>
                          <w:t>其他符合性分析</w:t>
                        </w:r>
                      </w:p>
                    </w:tc>
                    <w:tc>
                      <w:tcPr>
                        <w:tcW w:w="7995" w:type="dxa"/>
                        <w:gridSpan w:val="5"/>
                        <w:tcBorders>
                          <w:top w:val="single" w:sz="4" w:space="0" w:color="000000"/>
                          <w:left w:val="single" w:sz="4" w:space="0" w:color="000000"/>
                          <w:bottom w:val="single" w:sz="4" w:space="0" w:color="000000"/>
                        </w:tcBorders>
                      </w:tcPr>
                      <w:p>
                        <w:pPr>
                          <w:pStyle w:val="TableParagraph"/>
                          <w:spacing w:before="129"/>
                          <w:ind w:left="501"/>
                          <w:rPr>
                            <w:b/>
                            <w:sz w:val="24"/>
                          </w:rPr>
                        </w:pPr>
                        <w:r>
                          <w:rPr>
                            <w:rFonts w:ascii="Times New Roman" w:eastAsia="Times New Roman" w:hAnsi="Times New Roman"/>
                            <w:b/>
                            <w:sz w:val="24"/>
                          </w:rPr>
                          <w:t>1</w:t>
                        </w:r>
                        <w:r>
                          <w:rPr>
                            <w:b/>
                            <w:sz w:val="24"/>
                          </w:rPr>
                          <w:t>、</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p>
                        <w:pPr>
                          <w:pStyle w:val="TableParagraph"/>
                          <w:spacing w:before="132"/>
                          <w:ind w:left="501"/>
                          <w:rPr>
                            <w:sz w:val="24"/>
                          </w:rPr>
                        </w:pPr>
                        <w:r>
                          <w:rPr>
                            <w:sz w:val="24"/>
                          </w:rPr>
                          <w:t>（</w:t>
                        </w:r>
                        <w:r>
                          <w:rPr>
                            <w:rFonts w:ascii="Times New Roman" w:eastAsia="Times New Roman"/>
                            <w:sz w:val="24"/>
                          </w:rPr>
                          <w:t>1</w:t>
                        </w:r>
                        <w:r>
                          <w:rPr>
                            <w:sz w:val="24"/>
                          </w:rPr>
                          <w:t>）与生态红线相符性分析</w:t>
                        </w:r>
                      </w:p>
                      <w:p>
                        <w:pPr>
                          <w:pStyle w:val="TableParagraph"/>
                          <w:spacing w:before="134" w:line="343" w:lineRule="auto"/>
                          <w:ind w:left="21" w:right="36" w:firstLine="480"/>
                          <w:rPr>
                            <w:sz w:val="24"/>
                          </w:rPr>
                        </w:pPr>
                        <w:r>
                          <w:rPr>
                            <w:sz w:val="24"/>
                          </w:rPr>
                          <w:t>对照《省政府关于印发江苏省国家级生态保护红线规划的通知》（</w:t>
                        </w:r>
                        <w:r>
                          <w:rPr>
                            <w:spacing w:val="-9"/>
                            <w:sz w:val="24"/>
                          </w:rPr>
                          <w:t>苏政</w:t>
                        </w:r>
                        <w:r>
                          <w:rPr>
                            <w:spacing w:val="-15"/>
                            <w:sz w:val="24"/>
                          </w:rPr>
                          <w:t>发〔</w:t>
                        </w:r>
                        <w:r>
                          <w:rPr>
                            <w:rFonts w:ascii="Times New Roman" w:eastAsia="Times New Roman"/>
                            <w:sz w:val="24"/>
                          </w:rPr>
                          <w:t>2018</w:t>
                        </w:r>
                        <w:r>
                          <w:rPr>
                            <w:spacing w:val="-27"/>
                            <w:sz w:val="24"/>
                          </w:rPr>
                          <w:t>〕</w:t>
                        </w:r>
                        <w:r>
                          <w:rPr>
                            <w:rFonts w:ascii="Times New Roman" w:eastAsia="Times New Roman"/>
                            <w:sz w:val="24"/>
                          </w:rPr>
                          <w:t xml:space="preserve">74 </w:t>
                        </w:r>
                        <w:r>
                          <w:rPr>
                            <w:sz w:val="24"/>
                          </w:rPr>
                          <w:t>号</w:t>
                        </w:r>
                        <w:r>
                          <w:rPr>
                            <w:spacing w:val="-29"/>
                            <w:sz w:val="24"/>
                          </w:rPr>
                          <w:t>）</w:t>
                        </w:r>
                        <w:r>
                          <w:rPr>
                            <w:spacing w:val="-8"/>
                            <w:sz w:val="24"/>
                          </w:rPr>
                          <w:t>、《省政府关于印发江苏省生态空间管控区域规划的通知</w:t>
                        </w:r>
                      </w:p>
                      <w:p>
                        <w:pPr>
                          <w:pStyle w:val="TableParagraph"/>
                          <w:spacing w:line="345" w:lineRule="auto"/>
                          <w:ind w:left="21" w:right="96"/>
                          <w:rPr>
                            <w:sz w:val="24"/>
                          </w:rPr>
                        </w:pPr>
                        <w:r>
                          <w:rPr>
                            <w:sz w:val="24"/>
                          </w:rPr>
                          <w:t>（苏政发〔</w:t>
                        </w:r>
                        <w:r>
                          <w:rPr>
                            <w:rFonts w:ascii="Times New Roman" w:eastAsia="Times New Roman"/>
                            <w:sz w:val="24"/>
                          </w:rPr>
                          <w:t>2020</w:t>
                        </w:r>
                        <w:r>
                          <w:rPr>
                            <w:sz w:val="24"/>
                          </w:rPr>
                          <w:t>〕</w:t>
                        </w:r>
                        <w:r>
                          <w:rPr>
                            <w:rFonts w:ascii="Times New Roman" w:eastAsia="Times New Roman"/>
                            <w:sz w:val="24"/>
                          </w:rPr>
                          <w:t xml:space="preserve">1 </w:t>
                        </w:r>
                        <w:r>
                          <w:rPr>
                            <w:sz w:val="24"/>
                          </w:rPr>
                          <w:t>号），距离项目生态空间管控区域具体位置分布详见附图。项目周边生态红线情况详见下表。</w:t>
                        </w:r>
                      </w:p>
                      <w:p>
                        <w:pPr>
                          <w:pStyle w:val="TableParagraph"/>
                          <w:tabs>
                            <w:tab w:val="left" w:pos="3105"/>
                          </w:tabs>
                          <w:spacing w:line="297" w:lineRule="exact"/>
                          <w:ind w:left="2246"/>
                          <w:rPr>
                            <w:b/>
                            <w:sz w:val="24"/>
                          </w:rPr>
                        </w:pPr>
                        <w:r>
                          <w:rPr>
                            <w:b/>
                            <w:sz w:val="24"/>
                          </w:rPr>
                          <w:t>表</w:t>
                        </w:r>
                        <w:r>
                          <w:rPr>
                            <w:b/>
                            <w:spacing w:val="-62"/>
                            <w:sz w:val="24"/>
                          </w:rPr>
                          <w:t xml:space="preserve"> </w:t>
                        </w:r>
                        <w:r>
                          <w:rPr>
                            <w:rFonts w:ascii="Times New Roman" w:eastAsia="Times New Roman"/>
                            <w:b/>
                            <w:sz w:val="24"/>
                          </w:rPr>
                          <w:t>1-1</w:t>
                          <w:tab/>
                        </w:r>
                        <w:r>
                          <w:rPr>
                            <w:b/>
                            <w:sz w:val="24"/>
                          </w:rPr>
                          <w:t>项目周边生态红线一览表</w:t>
                        </w:r>
                      </w:p>
                    </w:tc>
                  </w:tr>
                  <w:tr>
                    <w:tblPrEx>
                      <w:tblW w:w="0" w:type="auto"/>
                      <w:jc w:val="left"/>
                      <w:tblInd w:w="10" w:type="dxa"/>
                      <w:tblLayout w:type="fixed"/>
                      <w:tblCellMar>
                        <w:top w:w="0" w:type="dxa"/>
                        <w:left w:w="0" w:type="dxa"/>
                        <w:bottom w:w="0" w:type="dxa"/>
                        <w:right w:w="0" w:type="dxa"/>
                      </w:tblCellMar>
                      <w:tblLook w:val="01E0"/>
                    </w:tblPrEx>
                    <w:trPr>
                      <w:trHeight w:val="328"/>
                      <w:jc w:val="left"/>
                    </w:trPr>
                    <w:tc>
                      <w:tcPr>
                        <w:tcW w:w="1044" w:type="dxa"/>
                        <w:vMerge/>
                        <w:tcBorders>
                          <w:top w:val="nil"/>
                          <w:right w:val="single" w:sz="4" w:space="0" w:color="000000"/>
                        </w:tcBorders>
                      </w:tcPr>
                      <w:p>
                        <w:pPr>
                          <w:rPr>
                            <w:sz w:val="2"/>
                            <w:szCs w:val="2"/>
                          </w:rPr>
                        </w:pPr>
                      </w:p>
                    </w:tc>
                    <w:tc>
                      <w:tcPr>
                        <w:tcW w:w="600" w:type="dxa"/>
                        <w:vMerge w:val="restart"/>
                        <w:tcBorders>
                          <w:top w:val="single" w:sz="4" w:space="0" w:color="000000"/>
                          <w:left w:val="single" w:sz="4" w:space="0" w:color="000000"/>
                          <w:bottom w:val="single" w:sz="6" w:space="0" w:color="000000"/>
                          <w:right w:val="single" w:sz="6" w:space="0" w:color="000000"/>
                        </w:tcBorders>
                      </w:tcPr>
                      <w:p>
                        <w:pPr>
                          <w:pStyle w:val="TableParagraph"/>
                          <w:spacing w:before="36" w:line="249" w:lineRule="auto"/>
                          <w:ind w:left="103" w:right="62"/>
                          <w:jc w:val="both"/>
                          <w:rPr>
                            <w:b/>
                            <w:sz w:val="21"/>
                          </w:rPr>
                        </w:pPr>
                        <w:r>
                          <w:rPr>
                            <w:b/>
                            <w:sz w:val="21"/>
                          </w:rPr>
                          <w:t>生态空间保护区域</w:t>
                        </w:r>
                      </w:p>
                      <w:p>
                        <w:pPr>
                          <w:pStyle w:val="TableParagraph"/>
                          <w:spacing w:before="1"/>
                          <w:ind w:left="208"/>
                          <w:rPr>
                            <w:b/>
                            <w:sz w:val="21"/>
                          </w:rPr>
                        </w:pPr>
                        <w:r>
                          <w:rPr>
                            <w:b/>
                            <w:w w:val="99"/>
                            <w:sz w:val="21"/>
                          </w:rPr>
                          <w:t>名</w:t>
                        </w:r>
                      </w:p>
                    </w:tc>
                    <w:tc>
                      <w:tcPr>
                        <w:tcW w:w="809" w:type="dxa"/>
                        <w:vMerge w:val="restart"/>
                        <w:tcBorders>
                          <w:top w:val="single" w:sz="4" w:space="0" w:color="000000"/>
                          <w:left w:val="single" w:sz="6" w:space="0" w:color="000000"/>
                          <w:bottom w:val="single" w:sz="6" w:space="0" w:color="000000"/>
                          <w:right w:val="single" w:sz="6" w:space="0" w:color="000000"/>
                        </w:tcBorders>
                      </w:tcPr>
                      <w:p>
                        <w:pPr>
                          <w:pStyle w:val="TableParagraph"/>
                          <w:rPr>
                            <w:sz w:val="20"/>
                          </w:rPr>
                        </w:pPr>
                      </w:p>
                      <w:p>
                        <w:pPr>
                          <w:pStyle w:val="TableParagraph"/>
                          <w:spacing w:before="7"/>
                          <w:rPr>
                            <w:sz w:val="15"/>
                          </w:rPr>
                        </w:pPr>
                      </w:p>
                      <w:p>
                        <w:pPr>
                          <w:pStyle w:val="TableParagraph"/>
                          <w:spacing w:line="249" w:lineRule="auto"/>
                          <w:ind w:left="91" w:right="69"/>
                          <w:rPr>
                            <w:b/>
                            <w:sz w:val="21"/>
                          </w:rPr>
                        </w:pPr>
                        <w:r>
                          <w:rPr>
                            <w:b/>
                            <w:sz w:val="21"/>
                          </w:rPr>
                          <w:t>主导生态功能</w:t>
                        </w:r>
                      </w:p>
                    </w:tc>
                    <w:tc>
                      <w:tcPr>
                        <w:tcW w:w="5774" w:type="dxa"/>
                        <w:gridSpan w:val="2"/>
                        <w:tcBorders>
                          <w:top w:val="single" w:sz="4" w:space="0" w:color="000000"/>
                          <w:left w:val="single" w:sz="6" w:space="0" w:color="000000"/>
                          <w:bottom w:val="single" w:sz="6" w:space="0" w:color="000000"/>
                          <w:right w:val="single" w:sz="6" w:space="0" w:color="000000"/>
                        </w:tcBorders>
                      </w:tcPr>
                      <w:p>
                        <w:pPr>
                          <w:pStyle w:val="TableParagraph"/>
                          <w:spacing w:before="36"/>
                          <w:ind w:left="2657" w:right="2640"/>
                          <w:jc w:val="center"/>
                          <w:rPr>
                            <w:b/>
                            <w:sz w:val="21"/>
                          </w:rPr>
                        </w:pPr>
                        <w:r>
                          <w:rPr>
                            <w:b/>
                            <w:sz w:val="21"/>
                          </w:rPr>
                          <w:t>范围</w:t>
                        </w:r>
                      </w:p>
                    </w:tc>
                    <w:tc>
                      <w:tcPr>
                        <w:tcW w:w="812" w:type="dxa"/>
                        <w:vMerge w:val="restart"/>
                        <w:tcBorders>
                          <w:top w:val="single" w:sz="4" w:space="0" w:color="000000"/>
                          <w:left w:val="single" w:sz="6" w:space="0" w:color="000000"/>
                          <w:bottom w:val="single" w:sz="6" w:space="0" w:color="000000"/>
                        </w:tcBorders>
                      </w:tcPr>
                      <w:p>
                        <w:pPr>
                          <w:pStyle w:val="TableParagraph"/>
                          <w:rPr>
                            <w:sz w:val="20"/>
                          </w:rPr>
                        </w:pPr>
                      </w:p>
                      <w:p>
                        <w:pPr>
                          <w:pStyle w:val="TableParagraph"/>
                          <w:spacing w:before="7"/>
                          <w:rPr>
                            <w:sz w:val="15"/>
                          </w:rPr>
                        </w:pPr>
                      </w:p>
                      <w:p>
                        <w:pPr>
                          <w:pStyle w:val="TableParagraph"/>
                          <w:spacing w:line="249" w:lineRule="auto"/>
                          <w:ind w:left="187" w:right="79" w:hanging="106"/>
                          <w:rPr>
                            <w:b/>
                            <w:sz w:val="21"/>
                          </w:rPr>
                        </w:pPr>
                        <w:r>
                          <w:rPr>
                            <w:b/>
                            <w:sz w:val="21"/>
                          </w:rPr>
                          <w:t>方位与距离</w:t>
                        </w:r>
                      </w:p>
                    </w:tc>
                  </w:tr>
                  <w:tr>
                    <w:tblPrEx>
                      <w:tblW w:w="0" w:type="auto"/>
                      <w:jc w:val="left"/>
                      <w:tblInd w:w="10" w:type="dxa"/>
                      <w:tblLayout w:type="fixed"/>
                      <w:tblCellMar>
                        <w:top w:w="0" w:type="dxa"/>
                        <w:left w:w="0" w:type="dxa"/>
                        <w:bottom w:w="0" w:type="dxa"/>
                        <w:right w:w="0" w:type="dxa"/>
                      </w:tblCellMar>
                      <w:tblLook w:val="01E0"/>
                    </w:tblPrEx>
                    <w:trPr>
                      <w:trHeight w:val="1100"/>
                      <w:jc w:val="left"/>
                    </w:trPr>
                    <w:tc>
                      <w:tcPr>
                        <w:tcW w:w="1044" w:type="dxa"/>
                        <w:vMerge/>
                        <w:tcBorders>
                          <w:top w:val="nil"/>
                          <w:right w:val="single" w:sz="4" w:space="0" w:color="000000"/>
                        </w:tcBorders>
                      </w:tcPr>
                      <w:p>
                        <w:pPr>
                          <w:rPr>
                            <w:sz w:val="2"/>
                            <w:szCs w:val="2"/>
                          </w:rPr>
                        </w:pPr>
                      </w:p>
                    </w:tc>
                    <w:tc>
                      <w:tcPr>
                        <w:tcW w:w="600" w:type="dxa"/>
                        <w:vMerge/>
                        <w:tcBorders>
                          <w:top w:val="nil"/>
                          <w:left w:val="single" w:sz="4" w:space="0" w:color="000000"/>
                          <w:bottom w:val="single" w:sz="6" w:space="0" w:color="000000"/>
                          <w:right w:val="single" w:sz="6" w:space="0" w:color="000000"/>
                        </w:tcBorders>
                      </w:tcPr>
                      <w:p>
                        <w:pPr>
                          <w:rPr>
                            <w:sz w:val="2"/>
                            <w:szCs w:val="2"/>
                          </w:rPr>
                        </w:pPr>
                      </w:p>
                    </w:tc>
                    <w:tc>
                      <w:tcPr>
                        <w:tcW w:w="809" w:type="dxa"/>
                        <w:vMerge/>
                        <w:tcBorders>
                          <w:top w:val="nil"/>
                          <w:left w:val="single" w:sz="6" w:space="0" w:color="000000"/>
                          <w:bottom w:val="single" w:sz="6" w:space="0" w:color="000000"/>
                          <w:right w:val="single" w:sz="6" w:space="0" w:color="000000"/>
                        </w:tcBorders>
                      </w:tcPr>
                      <w:p>
                        <w:pPr>
                          <w:rPr>
                            <w:sz w:val="2"/>
                            <w:szCs w:val="2"/>
                          </w:rPr>
                        </w:pPr>
                      </w:p>
                    </w:tc>
                    <w:tc>
                      <w:tcPr>
                        <w:tcW w:w="3391" w:type="dxa"/>
                        <w:tcBorders>
                          <w:top w:val="single" w:sz="6" w:space="0" w:color="000000"/>
                          <w:left w:val="single" w:sz="6" w:space="0" w:color="000000"/>
                          <w:bottom w:val="single" w:sz="6" w:space="0" w:color="000000"/>
                          <w:right w:val="single" w:sz="6" w:space="0" w:color="000000"/>
                        </w:tcBorders>
                      </w:tcPr>
                      <w:p>
                        <w:pPr>
                          <w:pStyle w:val="TableParagraph"/>
                          <w:spacing w:before="1"/>
                          <w:rPr>
                            <w:sz w:val="22"/>
                          </w:rPr>
                        </w:pPr>
                      </w:p>
                      <w:p>
                        <w:pPr>
                          <w:pStyle w:val="TableParagraph"/>
                          <w:ind w:left="22" w:right="5"/>
                          <w:jc w:val="center"/>
                          <w:rPr>
                            <w:sz w:val="21"/>
                          </w:rPr>
                        </w:pPr>
                        <w:r>
                          <w:rPr>
                            <w:sz w:val="21"/>
                          </w:rPr>
                          <w:t>国家级</w:t>
                        </w:r>
                      </w:p>
                      <w:p>
                        <w:pPr>
                          <w:pStyle w:val="TableParagraph"/>
                          <w:spacing w:before="12"/>
                          <w:ind w:left="19" w:right="5"/>
                          <w:jc w:val="center"/>
                          <w:rPr>
                            <w:sz w:val="21"/>
                          </w:rPr>
                        </w:pPr>
                        <w:r>
                          <w:rPr>
                            <w:sz w:val="21"/>
                          </w:rPr>
                          <w:t>生态保护红线范围</w:t>
                        </w:r>
                      </w:p>
                    </w:tc>
                    <w:tc>
                      <w:tcPr>
                        <w:tcW w:w="2383" w:type="dxa"/>
                        <w:tcBorders>
                          <w:top w:val="single" w:sz="6" w:space="0" w:color="000000"/>
                          <w:left w:val="single" w:sz="6" w:space="0" w:color="000000"/>
                          <w:bottom w:val="single" w:sz="6" w:space="0" w:color="000000"/>
                          <w:right w:val="single" w:sz="6" w:space="0" w:color="000000"/>
                        </w:tcBorders>
                      </w:tcPr>
                      <w:p>
                        <w:pPr>
                          <w:pStyle w:val="TableParagraph"/>
                          <w:spacing w:before="1"/>
                          <w:rPr>
                            <w:sz w:val="22"/>
                          </w:rPr>
                        </w:pPr>
                      </w:p>
                      <w:p>
                        <w:pPr>
                          <w:pStyle w:val="TableParagraph"/>
                          <w:spacing w:line="249" w:lineRule="auto"/>
                          <w:ind w:left="563" w:right="544" w:firstLine="208"/>
                          <w:rPr>
                            <w:sz w:val="21"/>
                          </w:rPr>
                        </w:pPr>
                        <w:r>
                          <w:rPr>
                            <w:sz w:val="21"/>
                          </w:rPr>
                          <w:t xml:space="preserve">生态空间 </w:t>
                        </w:r>
                        <w:r>
                          <w:rPr>
                            <w:spacing w:val="-3"/>
                            <w:sz w:val="21"/>
                          </w:rPr>
                          <w:t>管控区域范围</w:t>
                        </w:r>
                      </w:p>
                    </w:tc>
                    <w:tc>
                      <w:tcPr>
                        <w:tcW w:w="812" w:type="dxa"/>
                        <w:vMerge/>
                        <w:tcBorders>
                          <w:top w:val="nil"/>
                          <w:left w:val="single" w:sz="6" w:space="0" w:color="000000"/>
                          <w:bottom w:val="single" w:sz="6"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016"/>
                      <w:jc w:val="left"/>
                    </w:trPr>
                    <w:tc>
                      <w:tcPr>
                        <w:tcW w:w="1044" w:type="dxa"/>
                        <w:vMerge/>
                        <w:tcBorders>
                          <w:top w:val="nil"/>
                          <w:right w:val="single" w:sz="4" w:space="0" w:color="000000"/>
                        </w:tcBorders>
                      </w:tcPr>
                      <w:p>
                        <w:pPr>
                          <w:rPr>
                            <w:sz w:val="2"/>
                            <w:szCs w:val="2"/>
                          </w:rPr>
                        </w:pPr>
                      </w:p>
                    </w:tc>
                    <w:tc>
                      <w:tcPr>
                        <w:tcW w:w="600" w:type="dxa"/>
                        <w:tcBorders>
                          <w:top w:val="single" w:sz="6" w:space="0" w:color="000000"/>
                          <w:left w:val="single" w:sz="4" w:space="0" w:color="000000"/>
                          <w:bottom w:val="thickThinMediumGap" w:sz="4" w:space="0" w:color="000000"/>
                          <w:right w:val="single" w:sz="6" w:space="0" w:color="000000"/>
                        </w:tcBorders>
                      </w:tcPr>
                      <w:p>
                        <w:pPr>
                          <w:pStyle w:val="TableParagraph"/>
                          <w:spacing w:before="39" w:line="249" w:lineRule="auto"/>
                          <w:ind w:left="50" w:right="9" w:hanging="3"/>
                          <w:jc w:val="center"/>
                          <w:rPr>
                            <w:sz w:val="21"/>
                          </w:rPr>
                        </w:pPr>
                        <w:r>
                          <w:rPr>
                            <w:sz w:val="21"/>
                          </w:rPr>
                          <w:t xml:space="preserve">通榆 </w:t>
                        </w:r>
                        <w:r>
                          <w:rPr>
                            <w:spacing w:val="-104"/>
                            <w:sz w:val="21"/>
                          </w:rPr>
                          <w:t>河</w:t>
                        </w:r>
                        <w:r>
                          <w:rPr>
                            <w:sz w:val="21"/>
                          </w:rPr>
                          <w:t>（</w:t>
                        </w:r>
                        <w:r>
                          <w:rPr>
                            <w:spacing w:val="-17"/>
                            <w:sz w:val="21"/>
                          </w:rPr>
                          <w:t>阜</w:t>
                        </w:r>
                        <w:r>
                          <w:rPr>
                            <w:sz w:val="21"/>
                          </w:rPr>
                          <w:t>宁县清水通道</w:t>
                        </w:r>
                      </w:p>
                      <w:p>
                        <w:pPr>
                          <w:pStyle w:val="TableParagraph"/>
                          <w:spacing w:before="2" w:line="247" w:lineRule="auto"/>
                          <w:ind w:left="103" w:right="64"/>
                          <w:jc w:val="center"/>
                          <w:rPr>
                            <w:sz w:val="21"/>
                          </w:rPr>
                        </w:pPr>
                        <w:r>
                          <w:rPr>
                            <w:sz w:val="21"/>
                          </w:rPr>
                          <w:t>维护区</w:t>
                        </w:r>
                      </w:p>
                    </w:tc>
                    <w:tc>
                      <w:tcPr>
                        <w:tcW w:w="809" w:type="dxa"/>
                        <w:tcBorders>
                          <w:top w:val="single" w:sz="6" w:space="0" w:color="000000"/>
                          <w:left w:val="single" w:sz="6" w:space="0" w:color="000000"/>
                          <w:bottom w:val="thickThinMediumGap" w:sz="4" w:space="0" w:color="000000"/>
                          <w:right w:val="single" w:sz="6" w:space="0" w:color="000000"/>
                        </w:tcBorders>
                      </w:tcPr>
                      <w:p>
                        <w:pPr>
                          <w:pStyle w:val="TableParagraph"/>
                          <w:rPr>
                            <w:sz w:val="20"/>
                          </w:rPr>
                        </w:pPr>
                      </w:p>
                      <w:p>
                        <w:pPr>
                          <w:pStyle w:val="TableParagraph"/>
                          <w:spacing w:before="10"/>
                          <w:rPr>
                            <w:sz w:val="26"/>
                          </w:rPr>
                        </w:pPr>
                      </w:p>
                      <w:p>
                        <w:pPr>
                          <w:pStyle w:val="TableParagraph"/>
                          <w:spacing w:line="249" w:lineRule="auto"/>
                          <w:ind w:left="91" w:right="71" w:hanging="224"/>
                          <w:rPr>
                            <w:sz w:val="21"/>
                          </w:rPr>
                        </w:pPr>
                        <w:r>
                          <w:rPr>
                            <w:position w:val="14"/>
                            <w:sz w:val="21"/>
                          </w:rPr>
                          <w:t>）</w:t>
                        </w:r>
                        <w:r>
                          <w:rPr>
                            <w:sz w:val="21"/>
                          </w:rPr>
                          <w:t>水源水质保护</w:t>
                        </w:r>
                      </w:p>
                    </w:tc>
                    <w:tc>
                      <w:tcPr>
                        <w:tcW w:w="3391" w:type="dxa"/>
                        <w:tcBorders>
                          <w:top w:val="single" w:sz="6" w:space="0" w:color="000000"/>
                          <w:left w:val="single" w:sz="6" w:space="0" w:color="000000"/>
                          <w:bottom w:val="thickThinMediumGap" w:sz="4" w:space="0" w:color="000000"/>
                          <w:right w:val="single" w:sz="6" w:space="0" w:color="000000"/>
                        </w:tcBorders>
                      </w:tcPr>
                      <w:p>
                        <w:pPr>
                          <w:pStyle w:val="TableParagraph"/>
                          <w:rPr>
                            <w:sz w:val="22"/>
                          </w:rPr>
                        </w:pPr>
                      </w:p>
                      <w:p>
                        <w:pPr>
                          <w:pStyle w:val="TableParagraph"/>
                          <w:rPr>
                            <w:sz w:val="22"/>
                          </w:rPr>
                        </w:pPr>
                      </w:p>
                      <w:p>
                        <w:pPr>
                          <w:pStyle w:val="TableParagraph"/>
                          <w:spacing w:before="1"/>
                          <w:rPr>
                            <w:sz w:val="25"/>
                          </w:rPr>
                        </w:pPr>
                      </w:p>
                      <w:p>
                        <w:pPr>
                          <w:pStyle w:val="TableParagraph"/>
                          <w:ind w:left="17"/>
                          <w:jc w:val="center"/>
                          <w:rPr>
                            <w:rFonts w:ascii="Times New Roman"/>
                            <w:sz w:val="21"/>
                          </w:rPr>
                        </w:pPr>
                        <w:r>
                          <w:rPr>
                            <w:rFonts w:ascii="Times New Roman"/>
                            <w:w w:val="99"/>
                            <w:sz w:val="21"/>
                          </w:rPr>
                          <w:t>/</w:t>
                        </w:r>
                      </w:p>
                    </w:tc>
                    <w:tc>
                      <w:tcPr>
                        <w:tcW w:w="2383" w:type="dxa"/>
                        <w:tcBorders>
                          <w:top w:val="single" w:sz="6" w:space="0" w:color="000000"/>
                          <w:left w:val="single" w:sz="6" w:space="0" w:color="000000"/>
                          <w:bottom w:val="thickThinMediumGap" w:sz="4" w:space="0" w:color="000000"/>
                          <w:right w:val="single" w:sz="6" w:space="0" w:color="000000"/>
                        </w:tcBorders>
                      </w:tcPr>
                      <w:p>
                        <w:pPr>
                          <w:pStyle w:val="TableParagraph"/>
                          <w:spacing w:before="12"/>
                          <w:rPr>
                            <w:sz w:val="24"/>
                          </w:rPr>
                        </w:pPr>
                      </w:p>
                      <w:p>
                        <w:pPr>
                          <w:pStyle w:val="TableParagraph"/>
                          <w:spacing w:line="249" w:lineRule="auto"/>
                          <w:ind w:left="38" w:right="18"/>
                          <w:jc w:val="center"/>
                          <w:rPr>
                            <w:sz w:val="21"/>
                          </w:rPr>
                        </w:pPr>
                        <w:r>
                          <w:rPr>
                            <w:spacing w:val="-2"/>
                            <w:sz w:val="21"/>
                          </w:rPr>
                          <w:t>阜宁县境内通榆河水域及</w:t>
                        </w:r>
                        <w:r>
                          <w:rPr>
                            <w:spacing w:val="-10"/>
                            <w:sz w:val="21"/>
                          </w:rPr>
                          <w:t xml:space="preserve">两岸纵深各 </w:t>
                        </w:r>
                        <w:r>
                          <w:rPr>
                            <w:rFonts w:ascii="Times New Roman" w:eastAsia="Times New Roman"/>
                            <w:sz w:val="21"/>
                          </w:rPr>
                          <w:t>1000</w:t>
                        </w:r>
                        <w:r>
                          <w:rPr>
                            <w:rFonts w:ascii="Times New Roman" w:eastAsia="Times New Roman"/>
                            <w:spacing w:val="-2"/>
                            <w:sz w:val="21"/>
                          </w:rPr>
                          <w:t xml:space="preserve"> </w:t>
                        </w:r>
                        <w:r>
                          <w:rPr>
                            <w:sz w:val="21"/>
                          </w:rPr>
                          <w:t>米的陆</w:t>
                        </w:r>
                        <w:r>
                          <w:rPr>
                            <w:spacing w:val="-2"/>
                            <w:sz w:val="21"/>
                          </w:rPr>
                          <w:t>域范围，扣减与通榆河饮</w:t>
                        </w:r>
                        <w:r>
                          <w:rPr>
                            <w:sz w:val="21"/>
                          </w:rPr>
                          <w:t xml:space="preserve">用水水源保护区重叠区 </w:t>
                        </w:r>
                        <w:r>
                          <w:rPr>
                            <w:spacing w:val="-9"/>
                            <w:sz w:val="21"/>
                          </w:rPr>
                          <w:t xml:space="preserve">域，总面积 </w:t>
                        </w:r>
                        <w:r>
                          <w:rPr>
                            <w:rFonts w:ascii="Times New Roman" w:eastAsia="Times New Roman"/>
                            <w:sz w:val="21"/>
                          </w:rPr>
                          <w:t>62.49km</w:t>
                        </w:r>
                        <w:r>
                          <w:rPr>
                            <w:rFonts w:ascii="Times New Roman" w:eastAsia="Times New Roman"/>
                            <w:position w:val="7"/>
                            <w:sz w:val="13"/>
                          </w:rPr>
                          <w:t>2</w:t>
                        </w:r>
                        <w:r>
                          <w:rPr>
                            <w:sz w:val="21"/>
                          </w:rPr>
                          <w:t>。</w:t>
                        </w:r>
                      </w:p>
                    </w:tc>
                    <w:tc>
                      <w:tcPr>
                        <w:tcW w:w="812" w:type="dxa"/>
                        <w:tcBorders>
                          <w:top w:val="single" w:sz="6" w:space="0" w:color="000000"/>
                          <w:left w:val="single" w:sz="6" w:space="0" w:color="000000"/>
                          <w:bottom w:val="thickThinMediumGap" w:sz="4" w:space="0" w:color="000000"/>
                        </w:tcBorders>
                      </w:tcPr>
                      <w:p>
                        <w:pPr>
                          <w:pStyle w:val="TableParagraph"/>
                          <w:rPr>
                            <w:sz w:val="22"/>
                          </w:rPr>
                        </w:pPr>
                      </w:p>
                      <w:p>
                        <w:pPr>
                          <w:pStyle w:val="TableParagraph"/>
                          <w:rPr>
                            <w:sz w:val="22"/>
                          </w:rPr>
                        </w:pPr>
                      </w:p>
                      <w:p>
                        <w:pPr>
                          <w:pStyle w:val="TableParagraph"/>
                          <w:spacing w:before="7"/>
                          <w:rPr>
                            <w:sz w:val="24"/>
                          </w:rPr>
                        </w:pPr>
                      </w:p>
                      <w:p>
                        <w:pPr>
                          <w:pStyle w:val="TableParagraph"/>
                          <w:ind w:left="28"/>
                          <w:rPr>
                            <w:rFonts w:ascii="Times New Roman" w:eastAsia="Times New Roman"/>
                            <w:sz w:val="21"/>
                          </w:rPr>
                        </w:pPr>
                        <w:r>
                          <w:rPr>
                            <w:spacing w:val="-7"/>
                            <w:sz w:val="21"/>
                          </w:rPr>
                          <w:t>西，</w:t>
                        </w:r>
                        <w:r>
                          <w:rPr>
                            <w:rFonts w:ascii="Times New Roman" w:eastAsia="Times New Roman"/>
                            <w:spacing w:val="-14"/>
                            <w:sz w:val="21"/>
                          </w:rPr>
                          <w:t>30m</w:t>
                        </w:r>
                      </w:p>
                    </w:tc>
                  </w:tr>
                </w:tbl>
                <w:p>
                  <w:pPr>
                    <w:pStyle w:val="BodyText"/>
                  </w:pP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8"/>
        <w:ind w:right="111"/>
        <w:jc w:val="right"/>
      </w:pPr>
      <w:r>
        <w:t>，</w:t>
      </w:r>
    </w:p>
    <w:p>
      <w:pPr>
        <w:pStyle w:val="BodyText"/>
      </w:pPr>
    </w:p>
    <w:p>
      <w:pPr>
        <w:pStyle w:val="BodyText"/>
      </w:pPr>
    </w:p>
    <w:p>
      <w:pPr>
        <w:pStyle w:val="BodyText"/>
      </w:pPr>
    </w:p>
    <w:p>
      <w:pPr>
        <w:pStyle w:val="BodyText"/>
      </w:pPr>
    </w:p>
    <w:p>
      <w:pPr>
        <w:pStyle w:val="BodyText"/>
      </w:pPr>
    </w:p>
    <w:p>
      <w:pPr>
        <w:pStyle w:val="BodyText"/>
      </w:pPr>
    </w:p>
    <w:p>
      <w:pPr>
        <w:pStyle w:val="BodyText"/>
        <w:spacing w:before="182"/>
        <w:ind w:right="111"/>
        <w:jc w:val="right"/>
      </w:pPr>
      <w: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19"/>
        </w:rPr>
      </w:pPr>
    </w:p>
    <w:p>
      <w:pPr>
        <w:pStyle w:val="BodyText"/>
        <w:ind w:right="111"/>
        <w:jc w:val="right"/>
      </w:pPr>
      <w:r>
        <w:t>》</w:t>
      </w:r>
    </w:p>
    <w:p>
      <w:pPr>
        <w:spacing w:after="0"/>
        <w:jc w:val="right"/>
        <w:sectPr>
          <w:headerReference w:type="default" r:id="rId10"/>
          <w:footerReference w:type="default" r:id="rId11"/>
          <w:pgSz w:w="11910" w:h="16840"/>
          <w:pgMar w:top="1340" w:right="1120" w:bottom="1240" w:left="1220" w:header="891" w:footer="969"/>
          <w:pgNumType w:start="4"/>
          <w:cols w:space="708"/>
        </w:sectPr>
      </w:pPr>
    </w:p>
    <w:p>
      <w:pPr>
        <w:pStyle w:val="BodyText"/>
        <w:rPr>
          <w:rFonts w:ascii="Times New Roman"/>
          <w:sz w:val="20"/>
        </w:rPr>
      </w:pPr>
    </w:p>
    <w:p>
      <w:pPr>
        <w:pStyle w:val="BodyText"/>
        <w:spacing w:before="6"/>
        <w:rPr>
          <w:rFonts w:ascii="Times New Roman"/>
          <w:sz w:val="10"/>
        </w:rPr>
      </w:pPr>
    </w:p>
    <w:tbl>
      <w:tblPr>
        <w:tblStyle w:val="TableNormal2"/>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00"/>
        <w:gridCol w:w="809"/>
        <w:gridCol w:w="3391"/>
        <w:gridCol w:w="2383"/>
        <w:gridCol w:w="812"/>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686"/>
          <w:jc w:val="left"/>
        </w:trPr>
        <w:tc>
          <w:tcPr>
            <w:tcW w:w="1044" w:type="dxa"/>
            <w:vMerge w:val="restart"/>
            <w:tcBorders>
              <w:right w:val="single" w:sz="4" w:space="0" w:color="000000"/>
            </w:tcBorders>
          </w:tcPr>
          <w:p>
            <w:pPr>
              <w:pStyle w:val="TableParagraph"/>
              <w:rPr>
                <w:rFonts w:ascii="Times New Roman"/>
                <w:sz w:val="20"/>
              </w:rPr>
            </w:pPr>
          </w:p>
        </w:tc>
        <w:tc>
          <w:tcPr>
            <w:tcW w:w="600" w:type="dxa"/>
            <w:tcBorders>
              <w:top w:val="thickThinMediumGap" w:sz="4" w:space="0" w:color="000000"/>
              <w:left w:val="single" w:sz="4" w:space="0" w:color="000000"/>
              <w:bottom w:val="single" w:sz="6"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9"/>
              </w:rPr>
            </w:pPr>
          </w:p>
          <w:p>
            <w:pPr>
              <w:pStyle w:val="TableParagraph"/>
              <w:spacing w:line="249" w:lineRule="auto"/>
              <w:ind w:left="50" w:right="9" w:hanging="3"/>
              <w:jc w:val="center"/>
              <w:rPr>
                <w:sz w:val="21"/>
              </w:rPr>
            </w:pPr>
            <w:r>
              <w:rPr>
                <w:sz w:val="21"/>
              </w:rPr>
              <w:t xml:space="preserve">通榆 </w:t>
            </w:r>
            <w:r>
              <w:rPr>
                <w:spacing w:val="-104"/>
                <w:sz w:val="21"/>
              </w:rPr>
              <w:t>河</w:t>
            </w:r>
            <w:r>
              <w:rPr>
                <w:sz w:val="21"/>
              </w:rPr>
              <w:t>（</w:t>
            </w:r>
            <w:r>
              <w:rPr>
                <w:spacing w:val="-17"/>
                <w:sz w:val="21"/>
              </w:rPr>
              <w:t>阜</w:t>
            </w:r>
            <w:r>
              <w:rPr>
                <w:sz w:val="21"/>
              </w:rPr>
              <w:t>宁县饮用水源保护区</w:t>
            </w:r>
          </w:p>
        </w:tc>
        <w:tc>
          <w:tcPr>
            <w:tcW w:w="809" w:type="dxa"/>
            <w:tcBorders>
              <w:top w:val="thickThinMediumGap" w:sz="4" w:space="0" w:color="000000"/>
              <w:left w:val="single" w:sz="6" w:space="0" w:color="000000"/>
              <w:bottom w:val="single" w:sz="6"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8"/>
              </w:rPr>
            </w:pPr>
          </w:p>
          <w:p>
            <w:pPr>
              <w:pStyle w:val="TableParagraph"/>
              <w:spacing w:line="249" w:lineRule="auto"/>
              <w:ind w:left="91" w:right="71" w:hanging="224"/>
              <w:jc w:val="both"/>
              <w:rPr>
                <w:sz w:val="21"/>
              </w:rPr>
            </w:pPr>
            <w:r>
              <w:rPr>
                <w:sz w:val="21"/>
              </w:rPr>
              <w:t>）饮用水水源保护区</w:t>
            </w:r>
          </w:p>
        </w:tc>
        <w:tc>
          <w:tcPr>
            <w:tcW w:w="3391" w:type="dxa"/>
            <w:tcBorders>
              <w:top w:val="thickThinMediumGap" w:sz="4" w:space="0" w:color="000000"/>
              <w:left w:val="single" w:sz="6" w:space="0" w:color="000000"/>
              <w:bottom w:val="single" w:sz="6" w:space="0" w:color="000000"/>
              <w:right w:val="single" w:sz="6" w:space="0" w:color="000000"/>
            </w:tcBorders>
          </w:tcPr>
          <w:p>
            <w:pPr>
              <w:pStyle w:val="TableParagraph"/>
              <w:spacing w:before="32"/>
              <w:ind w:left="22" w:right="5"/>
              <w:jc w:val="center"/>
              <w:rPr>
                <w:sz w:val="21"/>
              </w:rPr>
            </w:pPr>
            <w:r>
              <w:rPr>
                <w:w w:val="95"/>
                <w:sz w:val="21"/>
              </w:rPr>
              <w:t>取水口位于经济开发区北陈居委会</w:t>
            </w:r>
          </w:p>
          <w:p>
            <w:pPr>
              <w:pStyle w:val="TableParagraph"/>
              <w:spacing w:before="2"/>
              <w:ind w:left="23" w:right="5"/>
              <w:jc w:val="center"/>
              <w:rPr>
                <w:rFonts w:ascii="Times New Roman" w:eastAsia="Times New Roman" w:hAnsi="Times New Roman"/>
                <w:sz w:val="21"/>
              </w:rPr>
            </w:pPr>
            <w:r>
              <w:rPr>
                <w:sz w:val="21"/>
              </w:rPr>
              <w:t>（</w:t>
            </w:r>
            <w:r>
              <w:rPr>
                <w:rFonts w:ascii="Times New Roman" w:eastAsia="Times New Roman" w:hAnsi="Times New Roman"/>
                <w:sz w:val="21"/>
              </w:rPr>
              <w:t>E</w:t>
            </w:r>
            <w:r>
              <w:rPr>
                <w:rFonts w:ascii="Times New Roman" w:eastAsia="Times New Roman" w:hAnsi="Times New Roman"/>
                <w:spacing w:val="-10"/>
                <w:sz w:val="21"/>
              </w:rPr>
              <w:t xml:space="preserve"> </w:t>
            </w:r>
            <w:r>
              <w:rPr>
                <w:rFonts w:ascii="Times New Roman" w:eastAsia="Times New Roman" w:hAnsi="Times New Roman"/>
                <w:sz w:val="21"/>
              </w:rPr>
              <w:t>119</w:t>
            </w:r>
            <w:r>
              <w:rPr>
                <w:sz w:val="21"/>
              </w:rPr>
              <w:t>°</w:t>
            </w:r>
            <w:r>
              <w:rPr>
                <w:rFonts w:ascii="Times New Roman" w:eastAsia="Times New Roman" w:hAnsi="Times New Roman"/>
                <w:sz w:val="21"/>
              </w:rPr>
              <w:t>52</w:t>
            </w:r>
            <w:r>
              <w:rPr>
                <w:sz w:val="21"/>
              </w:rPr>
              <w:t>′</w:t>
            </w:r>
            <w:r>
              <w:rPr>
                <w:rFonts w:ascii="Times New Roman" w:eastAsia="Times New Roman" w:hAnsi="Times New Roman"/>
                <w:sz w:val="21"/>
              </w:rPr>
              <w:t>42</w:t>
            </w:r>
            <w:r>
              <w:rPr>
                <w:sz w:val="21"/>
              </w:rPr>
              <w:t>〞，</w:t>
            </w:r>
            <w:r>
              <w:rPr>
                <w:rFonts w:ascii="Times New Roman" w:eastAsia="Times New Roman" w:hAnsi="Times New Roman"/>
                <w:sz w:val="21"/>
              </w:rPr>
              <w:t>N</w:t>
            </w:r>
            <w:r>
              <w:rPr>
                <w:rFonts w:ascii="Times New Roman" w:eastAsia="Times New Roman" w:hAnsi="Times New Roman"/>
                <w:spacing w:val="-6"/>
                <w:sz w:val="21"/>
              </w:rPr>
              <w:t xml:space="preserve"> </w:t>
            </w:r>
            <w:r>
              <w:rPr>
                <w:rFonts w:ascii="Times New Roman" w:eastAsia="Times New Roman" w:hAnsi="Times New Roman"/>
                <w:sz w:val="21"/>
              </w:rPr>
              <w:t>33</w:t>
            </w:r>
            <w:r>
              <w:rPr>
                <w:sz w:val="21"/>
              </w:rPr>
              <w:t>°</w:t>
            </w:r>
            <w:r>
              <w:rPr>
                <w:rFonts w:ascii="Times New Roman" w:eastAsia="Times New Roman" w:hAnsi="Times New Roman"/>
                <w:sz w:val="21"/>
              </w:rPr>
              <w:t>38</w:t>
            </w:r>
            <w:r>
              <w:rPr>
                <w:sz w:val="21"/>
              </w:rPr>
              <w:t>′</w:t>
            </w:r>
            <w:r>
              <w:rPr>
                <w:rFonts w:ascii="Times New Roman" w:eastAsia="Times New Roman" w:hAnsi="Times New Roman"/>
                <w:sz w:val="21"/>
              </w:rPr>
              <w:t>42</w:t>
            </w:r>
          </w:p>
          <w:p>
            <w:pPr>
              <w:pStyle w:val="TableParagraph"/>
              <w:spacing w:before="5" w:line="242" w:lineRule="auto"/>
              <w:ind w:left="30" w:right="-15"/>
              <w:jc w:val="center"/>
              <w:rPr>
                <w:sz w:val="21"/>
              </w:rPr>
            </w:pPr>
            <w:r>
              <w:rPr>
                <w:w w:val="95"/>
                <w:sz w:val="21"/>
              </w:rPr>
              <w:t xml:space="preserve">〞）。一级保护区：取水口为中心， </w:t>
            </w:r>
            <w:r>
              <w:rPr>
                <w:spacing w:val="-18"/>
                <w:sz w:val="21"/>
              </w:rPr>
              <w:t xml:space="preserve">上溯 </w:t>
            </w:r>
            <w:r>
              <w:rPr>
                <w:rFonts w:ascii="Times New Roman" w:eastAsia="Times New Roman"/>
                <w:sz w:val="21"/>
              </w:rPr>
              <w:t>1000</w:t>
            </w:r>
            <w:r>
              <w:rPr>
                <w:rFonts w:ascii="Times New Roman" w:eastAsia="Times New Roman"/>
                <w:spacing w:val="-3"/>
                <w:sz w:val="21"/>
              </w:rPr>
              <w:t xml:space="preserve"> </w:t>
            </w:r>
            <w:r>
              <w:rPr>
                <w:spacing w:val="-11"/>
                <w:sz w:val="21"/>
              </w:rPr>
              <w:t xml:space="preserve">米，下延 </w:t>
            </w:r>
            <w:r>
              <w:rPr>
                <w:rFonts w:ascii="Times New Roman" w:eastAsia="Times New Roman"/>
                <w:sz w:val="21"/>
              </w:rPr>
              <w:t>500</w:t>
            </w:r>
            <w:r>
              <w:rPr>
                <w:rFonts w:ascii="Times New Roman" w:eastAsia="Times New Roman"/>
                <w:spacing w:val="-2"/>
                <w:sz w:val="21"/>
              </w:rPr>
              <w:t xml:space="preserve"> </w:t>
            </w:r>
            <w:r>
              <w:rPr>
                <w:sz w:val="21"/>
              </w:rPr>
              <w:t>米，上游至</w:t>
            </w:r>
            <w:r>
              <w:rPr>
                <w:spacing w:val="-3"/>
                <w:sz w:val="21"/>
              </w:rPr>
              <w:t>开发区路庄居委会五组，下游至开发</w:t>
            </w:r>
            <w:r>
              <w:rPr>
                <w:spacing w:val="-5"/>
                <w:sz w:val="21"/>
              </w:rPr>
              <w:t xml:space="preserve">区北陈村三组范围内的水域。与一级保护区水域相对应的两岸背水坡堤 </w:t>
            </w:r>
            <w:r>
              <w:rPr>
                <w:spacing w:val="-24"/>
                <w:sz w:val="21"/>
              </w:rPr>
              <w:t xml:space="preserve">脚外 </w:t>
            </w:r>
            <w:r>
              <w:rPr>
                <w:rFonts w:ascii="Times New Roman" w:eastAsia="Times New Roman"/>
                <w:sz w:val="21"/>
              </w:rPr>
              <w:t>100</w:t>
            </w:r>
            <w:r>
              <w:rPr>
                <w:rFonts w:ascii="Times New Roman" w:eastAsia="Times New Roman"/>
                <w:spacing w:val="-4"/>
                <w:sz w:val="21"/>
              </w:rPr>
              <w:t xml:space="preserve"> </w:t>
            </w:r>
            <w:r>
              <w:rPr>
                <w:spacing w:val="-4"/>
                <w:sz w:val="21"/>
              </w:rPr>
              <w:t>米范围内的陆域。二级保护</w:t>
            </w:r>
          </w:p>
          <w:p>
            <w:pPr>
              <w:pStyle w:val="TableParagraph"/>
              <w:spacing w:before="1"/>
              <w:ind w:left="22" w:right="5"/>
              <w:jc w:val="center"/>
              <w:rPr>
                <w:sz w:val="21"/>
              </w:rPr>
            </w:pPr>
            <w:r>
              <w:rPr>
                <w:sz w:val="21"/>
              </w:rPr>
              <w:t xml:space="preserve">区：一级保护区以外上溯 </w:t>
            </w:r>
            <w:r>
              <w:rPr>
                <w:rFonts w:ascii="Times New Roman" w:eastAsia="Times New Roman"/>
                <w:sz w:val="21"/>
              </w:rPr>
              <w:t xml:space="preserve">2000 </w:t>
            </w:r>
            <w:r>
              <w:rPr>
                <w:sz w:val="21"/>
              </w:rPr>
              <w:t>米，</w:t>
            </w:r>
          </w:p>
          <w:p>
            <w:pPr>
              <w:pStyle w:val="TableParagraph"/>
              <w:spacing w:before="5" w:line="242" w:lineRule="auto"/>
              <w:ind w:left="30" w:right="9" w:hanging="3"/>
              <w:jc w:val="center"/>
              <w:rPr>
                <w:sz w:val="21"/>
              </w:rPr>
            </w:pPr>
            <w:r>
              <w:rPr>
                <w:spacing w:val="-24"/>
                <w:sz w:val="21"/>
              </w:rPr>
              <w:t xml:space="preserve">下延 </w:t>
            </w:r>
            <w:r>
              <w:rPr>
                <w:rFonts w:ascii="Times New Roman" w:eastAsia="Times New Roman"/>
                <w:sz w:val="21"/>
              </w:rPr>
              <w:t>500</w:t>
            </w:r>
            <w:r>
              <w:rPr>
                <w:rFonts w:ascii="Times New Roman" w:eastAsia="Times New Roman"/>
                <w:spacing w:val="-18"/>
                <w:sz w:val="21"/>
              </w:rPr>
              <w:t xml:space="preserve"> </w:t>
            </w:r>
            <w:r>
              <w:rPr>
                <w:sz w:val="21"/>
              </w:rPr>
              <w:t>米上游从开发区路庄居委会</w:t>
            </w:r>
            <w:r>
              <w:rPr>
                <w:spacing w:val="-2"/>
                <w:w w:val="95"/>
                <w:sz w:val="21"/>
              </w:rPr>
              <w:t>五组至开发区路庄居委会一组，下游</w:t>
            </w:r>
            <w:r>
              <w:rPr>
                <w:spacing w:val="-2"/>
                <w:sz w:val="21"/>
              </w:rPr>
              <w:t>从开发区北陈村三组至开发区北陈</w:t>
            </w:r>
            <w:r>
              <w:rPr>
                <w:spacing w:val="-5"/>
                <w:w w:val="95"/>
                <w:sz w:val="21"/>
              </w:rPr>
              <w:t>村四组，以及与其平交胜利河、串通</w:t>
            </w:r>
            <w:r>
              <w:rPr>
                <w:spacing w:val="-11"/>
                <w:sz w:val="21"/>
              </w:rPr>
              <w:t xml:space="preserve">河和马路圩河上溯 </w:t>
            </w:r>
            <w:r>
              <w:rPr>
                <w:rFonts w:ascii="Times New Roman" w:eastAsia="Times New Roman"/>
                <w:sz w:val="21"/>
              </w:rPr>
              <w:t>2000</w:t>
            </w:r>
            <w:r>
              <w:rPr>
                <w:rFonts w:ascii="Times New Roman" w:eastAsia="Times New Roman"/>
                <w:spacing w:val="-4"/>
                <w:sz w:val="21"/>
              </w:rPr>
              <w:t xml:space="preserve"> </w:t>
            </w:r>
            <w:r>
              <w:rPr>
                <w:sz w:val="21"/>
              </w:rPr>
              <w:t>米范围内的</w:t>
            </w:r>
            <w:r>
              <w:rPr>
                <w:spacing w:val="-5"/>
                <w:w w:val="95"/>
                <w:sz w:val="21"/>
              </w:rPr>
              <w:t>水域；与二级保护区水域相对应的两</w:t>
            </w:r>
            <w:r>
              <w:rPr>
                <w:spacing w:val="-12"/>
                <w:sz w:val="21"/>
              </w:rPr>
              <w:t xml:space="preserve">岸背水坡堤脚外 </w:t>
            </w:r>
            <w:r>
              <w:rPr>
                <w:rFonts w:ascii="Times New Roman" w:eastAsia="Times New Roman"/>
                <w:sz w:val="21"/>
              </w:rPr>
              <w:t>100</w:t>
            </w:r>
            <w:r>
              <w:rPr>
                <w:rFonts w:ascii="Times New Roman" w:eastAsia="Times New Roman"/>
                <w:spacing w:val="-3"/>
                <w:sz w:val="21"/>
              </w:rPr>
              <w:t xml:space="preserve"> </w:t>
            </w:r>
            <w:r>
              <w:rPr>
                <w:sz w:val="21"/>
              </w:rPr>
              <w:t>米范围内的陆</w:t>
            </w:r>
            <w:r>
              <w:rPr>
                <w:spacing w:val="-9"/>
                <w:sz w:val="21"/>
              </w:rPr>
              <w:t xml:space="preserve">域，总面积 </w:t>
            </w:r>
            <w:r>
              <w:rPr>
                <w:rFonts w:ascii="Times New Roman" w:eastAsia="Times New Roman"/>
                <w:sz w:val="21"/>
              </w:rPr>
              <w:t>5.31km</w:t>
            </w:r>
            <w:r>
              <w:rPr>
                <w:rFonts w:ascii="Times New Roman" w:eastAsia="Times New Roman"/>
                <w:position w:val="7"/>
                <w:sz w:val="13"/>
              </w:rPr>
              <w:t>2</w:t>
            </w:r>
            <w:r>
              <w:rPr>
                <w:sz w:val="21"/>
              </w:rPr>
              <w:t>。</w:t>
            </w:r>
          </w:p>
        </w:tc>
        <w:tc>
          <w:tcPr>
            <w:tcW w:w="2383" w:type="dxa"/>
            <w:tcBorders>
              <w:top w:val="thickThinMediumGap" w:sz="4" w:space="0" w:color="000000"/>
              <w:left w:val="single" w:sz="6" w:space="0" w:color="000000"/>
              <w:bottom w:val="single" w:sz="6" w:space="0" w:color="000000"/>
              <w:right w:val="single" w:sz="6"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
              <w:rPr>
                <w:rFonts w:ascii="Times New Roman"/>
                <w:sz w:val="18"/>
              </w:rPr>
            </w:pPr>
          </w:p>
          <w:p>
            <w:pPr>
              <w:pStyle w:val="TableParagraph"/>
              <w:spacing w:before="1"/>
              <w:ind w:left="17"/>
              <w:jc w:val="center"/>
              <w:rPr>
                <w:rFonts w:ascii="Times New Roman"/>
                <w:sz w:val="21"/>
              </w:rPr>
            </w:pPr>
            <w:r>
              <w:rPr>
                <w:rFonts w:ascii="Times New Roman"/>
                <w:w w:val="99"/>
                <w:sz w:val="21"/>
              </w:rPr>
              <w:t>/</w:t>
            </w:r>
          </w:p>
        </w:tc>
        <w:tc>
          <w:tcPr>
            <w:tcW w:w="812" w:type="dxa"/>
            <w:tcBorders>
              <w:top w:val="thickThinMediumGap" w:sz="4" w:space="0" w:color="000000"/>
              <w:left w:val="single" w:sz="6" w:space="0" w:color="000000"/>
              <w:bottom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0"/>
              </w:rPr>
            </w:pPr>
          </w:p>
          <w:p>
            <w:pPr>
              <w:pStyle w:val="TableParagraph"/>
              <w:ind w:left="187"/>
              <w:rPr>
                <w:sz w:val="21"/>
              </w:rPr>
            </w:pPr>
            <w:r>
              <w:rPr>
                <w:spacing w:val="-1"/>
                <w:w w:val="95"/>
                <w:sz w:val="21"/>
              </w:rPr>
              <w:t>西，</w:t>
            </w:r>
          </w:p>
          <w:p>
            <w:pPr>
              <w:pStyle w:val="TableParagraph"/>
              <w:spacing w:before="24"/>
              <w:ind w:left="163"/>
              <w:rPr>
                <w:rFonts w:ascii="Times New Roman"/>
                <w:sz w:val="21"/>
              </w:rPr>
            </w:pPr>
            <w:r>
              <w:rPr>
                <w:rFonts w:ascii="Times New Roman"/>
                <w:sz w:val="21"/>
              </w:rPr>
              <w:t>110m</w:t>
            </w:r>
          </w:p>
        </w:tc>
      </w:tr>
      <w:tr>
        <w:tblPrEx>
          <w:tblW w:w="0" w:type="auto"/>
          <w:jc w:val="left"/>
          <w:tblInd w:w="321" w:type="dxa"/>
          <w:tblLayout w:type="fixed"/>
          <w:tblCellMar>
            <w:top w:w="0" w:type="dxa"/>
            <w:left w:w="0" w:type="dxa"/>
            <w:bottom w:w="0" w:type="dxa"/>
            <w:right w:w="0" w:type="dxa"/>
          </w:tblCellMar>
          <w:tblLook w:val="01E0"/>
        </w:tblPrEx>
        <w:trPr>
          <w:trHeight w:val="1685"/>
          <w:jc w:val="left"/>
        </w:trPr>
        <w:tc>
          <w:tcPr>
            <w:tcW w:w="1044" w:type="dxa"/>
            <w:vMerge/>
            <w:tcBorders>
              <w:top w:val="nil"/>
              <w:right w:val="single" w:sz="4" w:space="0" w:color="000000"/>
            </w:tcBorders>
          </w:tcPr>
          <w:p>
            <w:pPr>
              <w:rPr>
                <w:sz w:val="2"/>
                <w:szCs w:val="2"/>
              </w:rPr>
            </w:pPr>
          </w:p>
        </w:tc>
        <w:tc>
          <w:tcPr>
            <w:tcW w:w="600" w:type="dxa"/>
            <w:tcBorders>
              <w:top w:val="single" w:sz="6" w:space="0" w:color="000000"/>
              <w:left w:val="single" w:sz="4" w:space="0" w:color="000000"/>
              <w:bottom w:val="single" w:sz="6" w:space="0" w:color="000000"/>
              <w:right w:val="single" w:sz="6" w:space="0" w:color="000000"/>
            </w:tcBorders>
          </w:tcPr>
          <w:p>
            <w:pPr>
              <w:pStyle w:val="TableParagraph"/>
              <w:spacing w:before="25" w:line="242" w:lineRule="auto"/>
              <w:ind w:left="103" w:right="64"/>
              <w:jc w:val="both"/>
              <w:rPr>
                <w:sz w:val="21"/>
              </w:rPr>
            </w:pPr>
            <w:r>
              <w:rPr>
                <w:sz w:val="21"/>
              </w:rPr>
              <w:t>阜宁金沙湖省级湿地公园</w:t>
            </w:r>
          </w:p>
        </w:tc>
        <w:tc>
          <w:tcPr>
            <w:tcW w:w="80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p>
            <w:pPr>
              <w:pStyle w:val="TableParagraph"/>
              <w:spacing w:before="7"/>
              <w:rPr>
                <w:rFonts w:ascii="Times New Roman"/>
                <w:sz w:val="17"/>
              </w:rPr>
            </w:pPr>
          </w:p>
          <w:p>
            <w:pPr>
              <w:pStyle w:val="TableParagraph"/>
              <w:spacing w:line="242" w:lineRule="auto"/>
              <w:ind w:left="91" w:right="71"/>
              <w:jc w:val="both"/>
              <w:rPr>
                <w:sz w:val="21"/>
              </w:rPr>
            </w:pPr>
            <w:r>
              <w:rPr>
                <w:sz w:val="21"/>
              </w:rPr>
              <w:t>湿地生态系统保护</w:t>
            </w:r>
          </w:p>
        </w:tc>
        <w:tc>
          <w:tcPr>
            <w:tcW w:w="3391"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4"/>
              </w:rPr>
            </w:pPr>
          </w:p>
          <w:p>
            <w:pPr>
              <w:pStyle w:val="TableParagraph"/>
              <w:spacing w:before="157" w:line="242" w:lineRule="auto"/>
              <w:ind w:left="30" w:right="9"/>
              <w:rPr>
                <w:sz w:val="21"/>
              </w:rPr>
            </w:pPr>
            <w:r>
              <w:rPr>
                <w:sz w:val="21"/>
              </w:rPr>
              <w:t>阜宁金沙湖省级湿地公园总体规划</w:t>
            </w:r>
            <w:r>
              <w:rPr>
                <w:w w:val="95"/>
                <w:sz w:val="21"/>
              </w:rPr>
              <w:t>中确定的范围（包括湿地保育区和恢</w:t>
            </w:r>
            <w:r>
              <w:rPr>
                <w:sz w:val="21"/>
              </w:rPr>
              <w:t xml:space="preserve">复重建区等），总面积 </w:t>
            </w:r>
            <w:r>
              <w:rPr>
                <w:rFonts w:ascii="Times New Roman" w:eastAsia="Times New Roman"/>
                <w:sz w:val="21"/>
              </w:rPr>
              <w:t>4.35km</w:t>
            </w:r>
            <w:r>
              <w:rPr>
                <w:rFonts w:ascii="Times New Roman" w:eastAsia="Times New Roman"/>
                <w:position w:val="7"/>
                <w:sz w:val="13"/>
              </w:rPr>
              <w:t>2</w:t>
            </w:r>
            <w:r>
              <w:rPr>
                <w:sz w:val="21"/>
              </w:rPr>
              <w:t>。</w:t>
            </w:r>
          </w:p>
        </w:tc>
        <w:tc>
          <w:tcPr>
            <w:tcW w:w="2383" w:type="dxa"/>
            <w:tcBorders>
              <w:top w:val="single" w:sz="6" w:space="0" w:color="000000"/>
              <w:left w:val="single" w:sz="6" w:space="0" w:color="000000"/>
              <w:bottom w:val="single" w:sz="6" w:space="0" w:color="000000"/>
              <w:right w:val="single" w:sz="6" w:space="0" w:color="000000"/>
            </w:tcBorders>
          </w:tcPr>
          <w:p>
            <w:pPr>
              <w:pStyle w:val="TableParagraph"/>
              <w:spacing w:before="11"/>
              <w:rPr>
                <w:rFonts w:ascii="Times New Roman"/>
                <w:sz w:val="25"/>
              </w:rPr>
            </w:pPr>
          </w:p>
          <w:p>
            <w:pPr>
              <w:pStyle w:val="TableParagraph"/>
              <w:spacing w:line="242" w:lineRule="auto"/>
              <w:ind w:left="31" w:right="25"/>
              <w:jc w:val="both"/>
              <w:rPr>
                <w:rFonts w:ascii="Times New Roman" w:eastAsia="Times New Roman"/>
                <w:sz w:val="13"/>
              </w:rPr>
            </w:pPr>
            <w:r>
              <w:rPr>
                <w:spacing w:val="-2"/>
                <w:sz w:val="21"/>
              </w:rPr>
              <w:t>阜宁金沙湖省级湿地公园总体规划中确定的除湿地保育区和恢复重建区外的</w:t>
            </w:r>
            <w:r>
              <w:rPr>
                <w:spacing w:val="-20"/>
                <w:sz w:val="21"/>
              </w:rPr>
              <w:t xml:space="preserve">其他区域，总面积 </w:t>
            </w:r>
            <w:r>
              <w:rPr>
                <w:rFonts w:ascii="Times New Roman" w:eastAsia="Times New Roman"/>
                <w:sz w:val="21"/>
              </w:rPr>
              <w:t>0.4km</w:t>
            </w:r>
            <w:r>
              <w:rPr>
                <w:rFonts w:ascii="Times New Roman" w:eastAsia="Times New Roman"/>
                <w:position w:val="7"/>
                <w:sz w:val="13"/>
              </w:rPr>
              <w:t>2</w:t>
            </w:r>
          </w:p>
        </w:tc>
        <w:tc>
          <w:tcPr>
            <w:tcW w:w="812" w:type="dxa"/>
            <w:tcBorders>
              <w:top w:val="single" w:sz="6" w:space="0" w:color="000000"/>
              <w:left w:val="single" w:sz="6" w:space="0" w:color="000000"/>
              <w:bottom w:val="single" w:sz="6" w:space="0" w:color="000000"/>
            </w:tcBorders>
          </w:tcPr>
          <w:p>
            <w:pPr>
              <w:pStyle w:val="TableParagraph"/>
              <w:rPr>
                <w:rFonts w:ascii="Times New Roman"/>
                <w:sz w:val="22"/>
              </w:rPr>
            </w:pPr>
          </w:p>
          <w:p>
            <w:pPr>
              <w:pStyle w:val="TableParagraph"/>
              <w:rPr>
                <w:rFonts w:ascii="Times New Roman"/>
                <w:sz w:val="22"/>
              </w:rPr>
            </w:pPr>
          </w:p>
          <w:p>
            <w:pPr>
              <w:pStyle w:val="TableParagraph"/>
              <w:spacing w:before="5"/>
              <w:rPr>
                <w:rFonts w:ascii="Times New Roman"/>
                <w:sz w:val="19"/>
              </w:rPr>
            </w:pPr>
          </w:p>
          <w:p>
            <w:pPr>
              <w:pStyle w:val="TableParagraph"/>
              <w:spacing w:before="1"/>
              <w:ind w:left="132"/>
              <w:rPr>
                <w:rFonts w:ascii="Times New Roman"/>
                <w:sz w:val="21"/>
              </w:rPr>
            </w:pPr>
            <w:r>
              <w:rPr>
                <w:rFonts w:ascii="Times New Roman"/>
                <w:sz w:val="21"/>
              </w:rPr>
              <w:t>4.4km</w:t>
            </w:r>
          </w:p>
          <w:p>
            <w:pPr>
              <w:pStyle w:val="TableParagraph"/>
              <w:spacing w:before="143"/>
              <w:ind w:left="-132"/>
              <w:rPr>
                <w:sz w:val="21"/>
              </w:rPr>
            </w:pPr>
            <w:r>
              <w:rPr>
                <w:w w:val="99"/>
                <w:sz w:val="21"/>
              </w:rPr>
              <w:t>。</w:t>
            </w:r>
          </w:p>
        </w:tc>
      </w:tr>
      <w:tr>
        <w:tblPrEx>
          <w:tblW w:w="0" w:type="auto"/>
          <w:jc w:val="left"/>
          <w:tblInd w:w="321" w:type="dxa"/>
          <w:tblLayout w:type="fixed"/>
          <w:tblCellMar>
            <w:top w:w="0" w:type="dxa"/>
            <w:left w:w="0" w:type="dxa"/>
            <w:bottom w:w="0" w:type="dxa"/>
            <w:right w:w="0" w:type="dxa"/>
          </w:tblCellMar>
          <w:tblLook w:val="01E0"/>
        </w:tblPrEx>
        <w:trPr>
          <w:trHeight w:val="2499"/>
          <w:jc w:val="left"/>
        </w:trPr>
        <w:tc>
          <w:tcPr>
            <w:tcW w:w="1044" w:type="dxa"/>
            <w:vMerge/>
            <w:tcBorders>
              <w:top w:val="nil"/>
              <w:right w:val="single" w:sz="4" w:space="0" w:color="000000"/>
            </w:tcBorders>
          </w:tcPr>
          <w:p>
            <w:pPr>
              <w:rPr>
                <w:sz w:val="2"/>
                <w:szCs w:val="2"/>
              </w:rPr>
            </w:pPr>
          </w:p>
        </w:tc>
        <w:tc>
          <w:tcPr>
            <w:tcW w:w="600" w:type="dxa"/>
            <w:tcBorders>
              <w:top w:val="single" w:sz="6" w:space="0" w:color="000000"/>
              <w:left w:val="single" w:sz="4" w:space="0" w:color="000000"/>
              <w:bottom w:val="single" w:sz="4" w:space="0" w:color="000000"/>
              <w:right w:val="single" w:sz="6" w:space="0" w:color="000000"/>
            </w:tcBorders>
          </w:tcPr>
          <w:p>
            <w:pPr>
              <w:pStyle w:val="TableParagraph"/>
              <w:spacing w:before="26" w:line="242" w:lineRule="auto"/>
              <w:ind w:left="103" w:right="64"/>
              <w:jc w:val="both"/>
              <w:rPr>
                <w:sz w:val="21"/>
              </w:rPr>
            </w:pPr>
            <w:r>
              <w:rPr>
                <w:sz w:val="21"/>
              </w:rPr>
              <w:t>金沙湖黄颡鱼国家级水产种质资源保护区</w:t>
            </w:r>
          </w:p>
        </w:tc>
        <w:tc>
          <w:tcPr>
            <w:tcW w:w="809" w:type="dxa"/>
            <w:tcBorders>
              <w:top w:val="single" w:sz="6" w:space="0" w:color="000000"/>
              <w:left w:val="single" w:sz="6" w:space="0" w:color="000000"/>
              <w:bottom w:val="single" w:sz="4"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5"/>
              </w:rPr>
            </w:pPr>
          </w:p>
          <w:p>
            <w:pPr>
              <w:pStyle w:val="TableParagraph"/>
              <w:spacing w:before="1" w:line="242" w:lineRule="auto"/>
              <w:ind w:left="91" w:right="71"/>
              <w:rPr>
                <w:sz w:val="21"/>
              </w:rPr>
            </w:pPr>
            <w:r>
              <w:rPr>
                <w:sz w:val="21"/>
              </w:rPr>
              <w:t>渔业资源保护</w:t>
            </w:r>
          </w:p>
        </w:tc>
        <w:tc>
          <w:tcPr>
            <w:tcW w:w="3391" w:type="dxa"/>
            <w:tcBorders>
              <w:top w:val="single" w:sz="6" w:space="0" w:color="000000"/>
              <w:left w:val="single" w:sz="6" w:space="0" w:color="000000"/>
              <w:bottom w:val="single" w:sz="4" w:space="0" w:color="000000"/>
              <w:right w:val="single" w:sz="6" w:space="0" w:color="000000"/>
            </w:tcBorders>
          </w:tcPr>
          <w:p>
            <w:pPr>
              <w:pStyle w:val="TableParagraph"/>
              <w:spacing w:before="161"/>
              <w:ind w:left="30" w:right="-15"/>
              <w:rPr>
                <w:sz w:val="21"/>
              </w:rPr>
            </w:pPr>
            <w:r>
              <w:rPr>
                <w:w w:val="95"/>
                <w:sz w:val="21"/>
              </w:rPr>
              <w:t>核心区四周拐点经纬度坐标分别为：</w:t>
            </w:r>
          </w:p>
          <w:p>
            <w:pPr>
              <w:pStyle w:val="TableParagraph"/>
              <w:spacing w:before="4"/>
              <w:ind w:left="30"/>
              <w:rPr>
                <w:sz w:val="21"/>
              </w:rPr>
            </w:pPr>
            <w:r>
              <w:rPr>
                <w:rFonts w:ascii="Times New Roman" w:eastAsia="Times New Roman" w:hAnsi="Times New Roman"/>
                <w:sz w:val="21"/>
              </w:rPr>
              <w:t>119°47′34″E</w:t>
            </w:r>
            <w:r>
              <w:rPr>
                <w:sz w:val="21"/>
              </w:rPr>
              <w:t>，</w:t>
            </w:r>
            <w:r>
              <w:rPr>
                <w:rFonts w:ascii="Times New Roman" w:eastAsia="Times New Roman" w:hAnsi="Times New Roman"/>
                <w:sz w:val="21"/>
              </w:rPr>
              <w:t>33°43′39″N</w:t>
            </w:r>
            <w:r>
              <w:rPr>
                <w:sz w:val="21"/>
              </w:rPr>
              <w:t>；</w:t>
            </w:r>
          </w:p>
          <w:p>
            <w:pPr>
              <w:pStyle w:val="TableParagraph"/>
              <w:spacing w:before="2"/>
              <w:ind w:left="30"/>
              <w:rPr>
                <w:sz w:val="21"/>
              </w:rPr>
            </w:pPr>
            <w:r>
              <w:rPr>
                <w:rFonts w:ascii="Times New Roman" w:eastAsia="Times New Roman" w:hAnsi="Times New Roman"/>
                <w:sz w:val="21"/>
              </w:rPr>
              <w:t>119°47′05″E</w:t>
            </w:r>
            <w:r>
              <w:rPr>
                <w:sz w:val="21"/>
              </w:rPr>
              <w:t>，</w:t>
            </w:r>
            <w:r>
              <w:rPr>
                <w:rFonts w:ascii="Times New Roman" w:eastAsia="Times New Roman" w:hAnsi="Times New Roman"/>
                <w:sz w:val="21"/>
              </w:rPr>
              <w:t>33°44′05″N</w:t>
            </w:r>
            <w:r>
              <w:rPr>
                <w:sz w:val="21"/>
              </w:rPr>
              <w:t>；</w:t>
            </w:r>
          </w:p>
          <w:p>
            <w:pPr>
              <w:pStyle w:val="TableParagraph"/>
              <w:spacing w:before="5"/>
              <w:ind w:left="30"/>
              <w:rPr>
                <w:sz w:val="21"/>
              </w:rPr>
            </w:pPr>
            <w:r>
              <w:rPr>
                <w:rFonts w:ascii="Times New Roman" w:eastAsia="Times New Roman" w:hAnsi="Times New Roman"/>
                <w:sz w:val="21"/>
              </w:rPr>
              <w:t>119°46′52″E</w:t>
            </w:r>
            <w:r>
              <w:rPr>
                <w:sz w:val="21"/>
              </w:rPr>
              <w:t>，</w:t>
            </w:r>
            <w:r>
              <w:rPr>
                <w:rFonts w:ascii="Times New Roman" w:eastAsia="Times New Roman" w:hAnsi="Times New Roman"/>
                <w:sz w:val="21"/>
              </w:rPr>
              <w:t>33°43′54″N</w:t>
            </w:r>
            <w:r>
              <w:rPr>
                <w:sz w:val="21"/>
              </w:rPr>
              <w:t>；</w:t>
            </w:r>
          </w:p>
          <w:p>
            <w:pPr>
              <w:pStyle w:val="TableParagraph"/>
              <w:spacing w:before="2"/>
              <w:ind w:left="30"/>
              <w:rPr>
                <w:sz w:val="21"/>
              </w:rPr>
            </w:pPr>
            <w:r>
              <w:rPr>
                <w:rFonts w:ascii="Times New Roman" w:eastAsia="Times New Roman" w:hAnsi="Times New Roman"/>
                <w:sz w:val="21"/>
              </w:rPr>
              <w:t>119°47′07″E</w:t>
            </w:r>
            <w:r>
              <w:rPr>
                <w:sz w:val="21"/>
              </w:rPr>
              <w:t>，</w:t>
            </w:r>
            <w:r>
              <w:rPr>
                <w:rFonts w:ascii="Times New Roman" w:eastAsia="Times New Roman" w:hAnsi="Times New Roman"/>
                <w:sz w:val="21"/>
              </w:rPr>
              <w:t>33°43′33″N</w:t>
            </w:r>
            <w:r>
              <w:rPr>
                <w:sz w:val="21"/>
              </w:rPr>
              <w:t>；</w:t>
            </w:r>
          </w:p>
          <w:p>
            <w:pPr>
              <w:pStyle w:val="TableParagraph"/>
              <w:spacing w:before="2"/>
              <w:ind w:left="30"/>
              <w:rPr>
                <w:sz w:val="21"/>
              </w:rPr>
            </w:pPr>
            <w:r>
              <w:rPr>
                <w:rFonts w:ascii="Times New Roman" w:eastAsia="Times New Roman" w:hAnsi="Times New Roman"/>
                <w:sz w:val="21"/>
              </w:rPr>
              <w:t>119°47′06″E</w:t>
            </w:r>
            <w:r>
              <w:rPr>
                <w:sz w:val="21"/>
              </w:rPr>
              <w:t>，</w:t>
            </w:r>
            <w:r>
              <w:rPr>
                <w:rFonts w:ascii="Times New Roman" w:eastAsia="Times New Roman" w:hAnsi="Times New Roman"/>
                <w:sz w:val="21"/>
              </w:rPr>
              <w:t>33°43′25″N</w:t>
            </w:r>
            <w:r>
              <w:rPr>
                <w:sz w:val="21"/>
              </w:rPr>
              <w:t>；</w:t>
            </w:r>
          </w:p>
          <w:p>
            <w:pPr>
              <w:pStyle w:val="TableParagraph"/>
              <w:spacing w:before="5"/>
              <w:ind w:left="30"/>
              <w:rPr>
                <w:sz w:val="21"/>
              </w:rPr>
            </w:pPr>
            <w:r>
              <w:rPr>
                <w:rFonts w:ascii="Times New Roman" w:eastAsia="Times New Roman" w:hAnsi="Times New Roman"/>
                <w:w w:val="95"/>
                <w:sz w:val="21"/>
              </w:rPr>
              <w:t>119°47′15″E</w:t>
            </w:r>
            <w:r>
              <w:rPr>
                <w:w w:val="95"/>
                <w:sz w:val="21"/>
              </w:rPr>
              <w:t>，</w:t>
            </w:r>
            <w:r>
              <w:rPr>
                <w:rFonts w:ascii="Times New Roman" w:eastAsia="Times New Roman" w:hAnsi="Times New Roman"/>
                <w:w w:val="95"/>
                <w:sz w:val="21"/>
              </w:rPr>
              <w:t>33°43′35″N</w:t>
            </w:r>
            <w:r>
              <w:rPr>
                <w:w w:val="95"/>
                <w:sz w:val="21"/>
              </w:rPr>
              <w:t>。</w:t>
            </w:r>
          </w:p>
          <w:p>
            <w:pPr>
              <w:pStyle w:val="TableParagraph"/>
              <w:spacing w:before="2"/>
              <w:ind w:left="30"/>
              <w:rPr>
                <w:sz w:val="21"/>
              </w:rPr>
            </w:pPr>
            <w:r>
              <w:rPr>
                <w:sz w:val="21"/>
              </w:rPr>
              <w:t xml:space="preserve">总面积 </w:t>
            </w:r>
            <w:r>
              <w:rPr>
                <w:rFonts w:ascii="Times New Roman" w:eastAsia="Times New Roman"/>
                <w:sz w:val="21"/>
              </w:rPr>
              <w:t>0.72km</w:t>
            </w:r>
            <w:r>
              <w:rPr>
                <w:rFonts w:ascii="Times New Roman" w:eastAsia="Times New Roman"/>
                <w:position w:val="7"/>
                <w:sz w:val="13"/>
              </w:rPr>
              <w:t>2</w:t>
            </w:r>
            <w:r>
              <w:rPr>
                <w:sz w:val="21"/>
              </w:rPr>
              <w:t>。</w:t>
            </w:r>
          </w:p>
        </w:tc>
        <w:tc>
          <w:tcPr>
            <w:tcW w:w="2383" w:type="dxa"/>
            <w:tcBorders>
              <w:top w:val="single" w:sz="6" w:space="0" w:color="000000"/>
              <w:left w:val="single" w:sz="6" w:space="0" w:color="000000"/>
              <w:bottom w:val="single" w:sz="4" w:space="0" w:color="000000"/>
              <w:right w:val="single" w:sz="6" w:space="0" w:color="000000"/>
            </w:tcBorders>
          </w:tcPr>
          <w:p>
            <w:pPr>
              <w:pStyle w:val="TableParagraph"/>
              <w:rPr>
                <w:rFonts w:ascii="Times New Roman"/>
                <w:sz w:val="22"/>
              </w:rPr>
            </w:pPr>
          </w:p>
          <w:p>
            <w:pPr>
              <w:pStyle w:val="TableParagraph"/>
              <w:rPr>
                <w:rFonts w:ascii="Times New Roman"/>
                <w:sz w:val="22"/>
              </w:rPr>
            </w:pPr>
          </w:p>
          <w:p>
            <w:pPr>
              <w:pStyle w:val="TableParagraph"/>
              <w:spacing w:before="4"/>
              <w:rPr>
                <w:rFonts w:ascii="Times New Roman"/>
                <w:sz w:val="17"/>
              </w:rPr>
            </w:pPr>
          </w:p>
          <w:p>
            <w:pPr>
              <w:pStyle w:val="TableParagraph"/>
              <w:spacing w:line="242" w:lineRule="auto"/>
              <w:ind w:left="31" w:right="25"/>
              <w:jc w:val="both"/>
              <w:rPr>
                <w:sz w:val="21"/>
              </w:rPr>
            </w:pPr>
            <w:r>
              <w:rPr>
                <w:sz w:val="21"/>
              </w:rPr>
              <w:t>金沙湖黄颡鱼国家级水产种质资源保护区批复范围</w:t>
            </w:r>
            <w:r>
              <w:rPr>
                <w:w w:val="95"/>
                <w:sz w:val="21"/>
              </w:rPr>
              <w:t>除核心区外的区域，总面</w:t>
            </w:r>
            <w:r>
              <w:rPr>
                <w:sz w:val="21"/>
              </w:rPr>
              <w:t xml:space="preserve">积 </w:t>
            </w:r>
            <w:r>
              <w:rPr>
                <w:rFonts w:ascii="Times New Roman" w:eastAsia="Times New Roman"/>
                <w:sz w:val="21"/>
              </w:rPr>
              <w:t>6.84km</w:t>
            </w:r>
            <w:r>
              <w:rPr>
                <w:rFonts w:ascii="Times New Roman" w:eastAsia="Times New Roman"/>
                <w:position w:val="7"/>
                <w:sz w:val="13"/>
              </w:rPr>
              <w:t xml:space="preserve">2 </w:t>
            </w:r>
            <w:r>
              <w:rPr>
                <w:sz w:val="21"/>
              </w:rPr>
              <w:t>。</w:t>
            </w:r>
          </w:p>
        </w:tc>
        <w:tc>
          <w:tcPr>
            <w:tcW w:w="812" w:type="dxa"/>
            <w:tcBorders>
              <w:top w:val="single" w:sz="6" w:space="0" w:color="000000"/>
              <w:left w:val="single" w:sz="6" w:space="0" w:color="000000"/>
              <w:bottom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0"/>
              <w:rPr>
                <w:rFonts w:ascii="Times New Roman"/>
                <w:sz w:val="32"/>
              </w:rPr>
            </w:pPr>
          </w:p>
          <w:p>
            <w:pPr>
              <w:pStyle w:val="TableParagraph"/>
              <w:ind w:left="132"/>
              <w:rPr>
                <w:rFonts w:ascii="Times New Roman"/>
                <w:sz w:val="21"/>
              </w:rPr>
            </w:pPr>
            <w:r>
              <w:rPr>
                <w:rFonts w:ascii="Times New Roman"/>
                <w:sz w:val="21"/>
              </w:rPr>
              <w:t>3.8km</w:t>
            </w:r>
          </w:p>
        </w:tc>
      </w:tr>
      <w:tr>
        <w:tblPrEx>
          <w:tblW w:w="0" w:type="auto"/>
          <w:jc w:val="left"/>
          <w:tblInd w:w="321" w:type="dxa"/>
          <w:tblLayout w:type="fixed"/>
          <w:tblCellMar>
            <w:top w:w="0" w:type="dxa"/>
            <w:left w:w="0" w:type="dxa"/>
            <w:bottom w:w="0" w:type="dxa"/>
            <w:right w:w="0" w:type="dxa"/>
          </w:tblCellMar>
          <w:tblLook w:val="01E0"/>
        </w:tblPrEx>
        <w:trPr>
          <w:trHeight w:val="4214"/>
          <w:jc w:val="left"/>
        </w:trPr>
        <w:tc>
          <w:tcPr>
            <w:tcW w:w="1044" w:type="dxa"/>
            <w:vMerge/>
            <w:tcBorders>
              <w:top w:val="nil"/>
              <w:right w:val="single" w:sz="4" w:space="0" w:color="000000"/>
            </w:tcBorders>
          </w:tcPr>
          <w:p>
            <w:pPr>
              <w:rPr>
                <w:sz w:val="2"/>
                <w:szCs w:val="2"/>
              </w:rPr>
            </w:pPr>
          </w:p>
        </w:tc>
        <w:tc>
          <w:tcPr>
            <w:tcW w:w="7995" w:type="dxa"/>
            <w:gridSpan w:val="5"/>
            <w:tcBorders>
              <w:top w:val="single" w:sz="4" w:space="0" w:color="000000"/>
              <w:left w:val="single" w:sz="4" w:space="0" w:color="000000"/>
            </w:tcBorders>
          </w:tcPr>
          <w:p>
            <w:pPr>
              <w:pStyle w:val="TableParagraph"/>
              <w:spacing w:line="364" w:lineRule="auto"/>
              <w:ind w:left="21" w:right="36" w:firstLine="480"/>
              <w:jc w:val="both"/>
              <w:rPr>
                <w:sz w:val="24"/>
              </w:rPr>
            </w:pPr>
            <w:r>
              <w:rPr>
                <w:sz w:val="24"/>
              </w:rPr>
              <w:t>本项目涉及江苏省国家级生态保护红线规划与江苏省生态空间管控区域规划中的“通榆河（阜宁县）清水通道维护区”及“通榆河（阜宁县）饮用水源保护区”，串通河与通榆河为交汇关系，本项目河道治理范围为与通榆河交汇东段，不涉及通榆河。</w:t>
            </w:r>
          </w:p>
          <w:p>
            <w:pPr>
              <w:pStyle w:val="TableParagraph"/>
              <w:spacing w:line="364" w:lineRule="auto"/>
              <w:ind w:left="21" w:right="-15" w:firstLine="480"/>
              <w:jc w:val="both"/>
              <w:rPr>
                <w:sz w:val="24"/>
              </w:rPr>
            </w:pPr>
            <w:r>
              <w:rPr>
                <w:spacing w:val="-9"/>
                <w:sz w:val="24"/>
              </w:rPr>
              <w:t>根据《江苏省河道管理条例》要求：“第二十七条 在河道管理范围内禁止下列活动：（一）倾倒、排放、堆放、填埋矿渣、石渣、煤灰、泥土、泥浆、垃圾等废弃物；（二）倾倒、排放油类、酸液、碱液等有毒有害物质；</w:t>
            </w:r>
          </w:p>
          <w:p>
            <w:pPr>
              <w:pStyle w:val="TableParagraph"/>
              <w:spacing w:line="362" w:lineRule="auto"/>
              <w:ind w:left="21" w:right="36"/>
              <w:rPr>
                <w:sz w:val="24"/>
              </w:rPr>
            </w:pPr>
            <w:r>
              <w:rPr>
                <w:sz w:val="24"/>
              </w:rPr>
              <w:t>（三）</w:t>
            </w:r>
            <w:r>
              <w:rPr>
                <w:spacing w:val="-1"/>
                <w:sz w:val="24"/>
              </w:rPr>
              <w:t>损坏堤防、护岸、闸坝等各类水工程建筑物及防汛、水文、通讯、供</w:t>
            </w:r>
            <w:r>
              <w:rPr>
                <w:sz w:val="24"/>
              </w:rPr>
              <w:t>电、观测、自动控制等设施；（四）</w:t>
            </w:r>
            <w:r>
              <w:rPr>
                <w:spacing w:val="-1"/>
                <w:sz w:val="24"/>
              </w:rPr>
              <w:t>在行洪、排涝、输水河道内设置影响行</w:t>
            </w:r>
          </w:p>
        </w:tc>
      </w:tr>
    </w:tbl>
    <w:p>
      <w:pPr>
        <w:spacing w:after="0" w:line="362" w:lineRule="auto"/>
        <w:rPr>
          <w:sz w:val="24"/>
        </w:rPr>
        <w:sectPr>
          <w:headerReference w:type="default" r:id="rId12"/>
          <w:footerReference w:type="default" r:id="rId13"/>
          <w:pgSz w:w="11910" w:h="16840"/>
          <w:pgMar w:top="1340" w:right="1120" w:bottom="1160" w:left="1220" w:header="891" w:footer="969"/>
          <w:pgNumType w:start="5"/>
          <w:cols w:space="708"/>
        </w:sectPr>
      </w:pPr>
    </w:p>
    <w:p>
      <w:pPr>
        <w:pStyle w:val="BodyText"/>
        <w:spacing w:before="5"/>
        <w:rPr>
          <w:rFonts w:ascii="Times New Roman"/>
          <w:sz w:val="26"/>
        </w:rPr>
      </w:pPr>
      <w:r>
        <w:pict>
          <v:group id="_x0000_s1034" style="width:452.95pt;height:656.85pt;margin-top:85.05pt;margin-left:76.07pt;mso-position-horizontal-relative:page;mso-position-vertical-relative:page;position:absolute;z-index:-251654144" coordorigin="1521,1701" coordsize="9059,13137">
            <v:shape id="_x0000_s1035" style="width:9059;height:13137;left:1521;position:absolute;top:2000" coordorigin="1521,2001" coordsize="9059,13137" path="m1521,1711l10580,1711m1521,14828l10580,14828m1531,1701l1531,14837m10570,1720l10570,14837e" filled="f" stroked="t" strokecolor="black" strokeweight="0.96pt">
              <v:stroke dashstyle="solid"/>
              <v:path arrowok="t"/>
            </v:shape>
            <v:line id="_x0000_s1036" style="position:absolute" from="2575,1720" to="2575,14818" stroked="t" strokecolor="black" strokeweight="0.48pt">
              <v:stroke dashstyle="solid"/>
            </v:line>
          </v:group>
        </w:pict>
      </w:r>
    </w:p>
    <w:p>
      <w:pPr>
        <w:pStyle w:val="BodyText"/>
        <w:spacing w:before="67" w:line="364" w:lineRule="auto"/>
        <w:ind w:left="1372" w:right="111"/>
      </w:pPr>
      <w:r>
        <w:rPr>
          <w:spacing w:val="-7"/>
        </w:rPr>
        <w:t>水的建筑物、构筑物、障碍物或者种植阻碍行洪的林木或者高秆作物；</w:t>
      </w:r>
      <w:r>
        <w:rPr>
          <w:spacing w:val="-20"/>
        </w:rPr>
        <w:t>（</w:t>
      </w:r>
      <w:r>
        <w:t>五</w:t>
      </w:r>
      <w:r>
        <w:rPr>
          <w:spacing w:val="-16"/>
        </w:rPr>
        <w:t xml:space="preserve">） </w:t>
      </w:r>
      <w:r>
        <w:t>在堤防和护堤地建房、垦种、放牧、开渠、打井、挖窖、葬坟、晒粮、存放物料、开采地下资源、进行考古发掘以及开展集市贸易活动；（六）其他侵占河道、危害防洪安全、影响河势稳定和破坏河道水环境的活动。第二十八条 涵、闸、泵站、水电站应当设立安全警戒区。”</w:t>
      </w:r>
    </w:p>
    <w:p>
      <w:pPr>
        <w:pStyle w:val="BodyText"/>
        <w:spacing w:line="364" w:lineRule="auto"/>
        <w:ind w:left="1372" w:right="111" w:firstLine="480"/>
      </w:pPr>
      <w:r>
        <w:rPr>
          <w:spacing w:val="-20"/>
        </w:rPr>
        <w:t>根据《江苏省通榆河水污染防治条例》及《盐城市人民政府关于进一步 加强通榆河保护区项目准入管理的通知》要求：“通榆河及其两侧各一公里、主要供水河道及其两侧各一公里区域为通榆河一级保护区，新沂河南偏泓、盐河和斗龙港、新洋港、黄沙港、射阳河、车路河、沂南小河、沭新河等与通榆河平交的主要河道上溯五公里以及沿岸两侧各一公里区域为通榆河二级</w:t>
      </w:r>
      <w:r>
        <w:rPr>
          <w:spacing w:val="-18"/>
        </w:rPr>
        <w:t>保护区。第三十六条 通榆河一级保护区、二级保护区内禁止下列行为：</w:t>
      </w:r>
      <w:r>
        <w:t>（一</w:t>
      </w:r>
      <w:r>
        <w:rPr>
          <w:spacing w:val="-16"/>
        </w:rPr>
        <w:t>）</w:t>
      </w:r>
      <w:r>
        <w:t>新建、改建、扩建制浆、造纸、化工、制革、酿造、染料、印染、电镀、炼油、铅酸蓄电池和排放水污染物的黑色金属冶炼及压延加工项目、有色金属冶炼及压延加工项目、金属制品项目等污染环境的项目；（二）在河道内设置经营性餐饮设施；（三）向河道、水体倾倒工业废渣、水处理污泥、生活垃圾、船舶垃圾；（四）将畜禽养殖场的粪便和污水直接排入水体；（五） 将船舶的残油、废油排入水体；（六）在水体洗涤装贮过油类、有毒有害物品的车辆、船舶和容器以及污染水体的回收废旧物品；（七）法律、法规禁</w:t>
      </w:r>
      <w:r>
        <w:rPr>
          <w:spacing w:val="-11"/>
        </w:rPr>
        <w:t>止的其他行为。第三十七条 通榆河一级保护区内禁止下列行为：</w:t>
      </w:r>
      <w:r>
        <w:t>（一</w:t>
      </w:r>
      <w:r>
        <w:rPr>
          <w:spacing w:val="-51"/>
        </w:rPr>
        <w:t>）</w:t>
      </w:r>
      <w:r>
        <w:rPr>
          <w:spacing w:val="-6"/>
        </w:rPr>
        <w:t>新建、</w:t>
      </w:r>
      <w:r>
        <w:t>扩建直接或者间接向水体排放污染物的项目；（二）新设排污口；（三）建设工业固体废物集中贮存、利用、处置设施或者场所以及城市生活垃圾填埋场；（四）使用剧毒、高残留农药；（五）新建规模化畜禽养殖场；（六） 在河堤迎水坡种植农作物；（七）在河道内从事网箱、网围渔业养殖，设立</w:t>
      </w:r>
      <w:r>
        <w:rPr>
          <w:spacing w:val="-8"/>
        </w:rPr>
        <w:t>鱼罾、鱼簖等各类定置渔具。第三十八条 通榆河一级、二级保护区限制下列</w:t>
      </w:r>
      <w:r>
        <w:rPr>
          <w:spacing w:val="-16"/>
        </w:rPr>
        <w:t>行为：</w:t>
      </w:r>
      <w:r>
        <w:rPr>
          <w:spacing w:val="-31"/>
        </w:rPr>
        <w:t>（</w:t>
      </w:r>
      <w:r>
        <w:t>一</w:t>
      </w:r>
      <w:r>
        <w:rPr>
          <w:spacing w:val="-29"/>
        </w:rPr>
        <w:t>）</w:t>
      </w:r>
      <w:r>
        <w:rPr>
          <w:spacing w:val="-10"/>
        </w:rPr>
        <w:t>新建、扩建港口、码头；</w:t>
      </w:r>
      <w:r>
        <w:rPr>
          <w:spacing w:val="-30"/>
        </w:rPr>
        <w:t>（</w:t>
      </w:r>
      <w:r>
        <w:t>二</w:t>
      </w:r>
      <w:r>
        <w:rPr>
          <w:spacing w:val="-29"/>
        </w:rPr>
        <w:t>）</w:t>
      </w:r>
      <w:r>
        <w:rPr>
          <w:spacing w:val="-8"/>
        </w:rPr>
        <w:t>设置水上加油、加气站点；</w:t>
      </w:r>
      <w:r>
        <w:rPr>
          <w:spacing w:val="-30"/>
        </w:rPr>
        <w:t>（</w:t>
      </w:r>
      <w:r>
        <w:t>三</w:t>
      </w:r>
      <w:r>
        <w:rPr>
          <w:spacing w:val="-13"/>
        </w:rPr>
        <w:t xml:space="preserve">） </w:t>
      </w:r>
      <w:r>
        <w:t>法律、法规限制的其他行为。”</w:t>
      </w:r>
    </w:p>
    <w:p>
      <w:pPr>
        <w:pStyle w:val="BodyText"/>
        <w:spacing w:line="364" w:lineRule="auto"/>
        <w:ind w:left="1372" w:right="34" w:firstLine="480"/>
      </w:pPr>
      <w:r>
        <w:t>本项目属于河道整治工程，有利于改善区域水环境，提升居住环境质量。项目实施不涉及《江苏省通榆河水污染防治条例》、《盐城市人民政府关于</w:t>
      </w:r>
    </w:p>
    <w:p>
      <w:pPr>
        <w:spacing w:after="0" w:line="364" w:lineRule="auto"/>
        <w:sectPr>
          <w:headerReference w:type="default" r:id="rId14"/>
          <w:footerReference w:type="default" r:id="rId15"/>
          <w:pgSz w:w="11910" w:h="16840"/>
          <w:pgMar w:top="1340" w:right="1120" w:bottom="1160" w:left="1220" w:header="891" w:footer="969"/>
          <w:pgNumType w:start="6"/>
          <w:cols w:space="708"/>
        </w:sectPr>
      </w:pPr>
    </w:p>
    <w:p>
      <w:pPr>
        <w:pStyle w:val="BodyText"/>
        <w:spacing w:before="10"/>
        <w:rPr>
          <w:sz w:val="23"/>
        </w:rPr>
      </w:pPr>
      <w:r>
        <w:pict>
          <v:group id="_x0000_s1037" style="width:452.95pt;height:662.65pt;margin-top:85.05pt;margin-left:76.07pt;mso-position-horizontal-relative:page;mso-position-vertical-relative:page;position:absolute;z-index:-251653120" coordorigin="1521,1701" coordsize="9059,13253">
            <v:shape id="_x0000_s1038" style="width:9059;height:13253;left:1521;position:absolute;top:1884" coordorigin="1521,1885" coordsize="9059,13253" path="m1521,1711l10580,1711m1521,14944l10580,14944m1531,1701l1531,14953m10570,1720l10570,14953e" filled="f" stroked="t" strokecolor="black" strokeweight="0.96pt">
              <v:stroke dashstyle="solid"/>
              <v:path arrowok="t"/>
            </v:shape>
            <v:line id="_x0000_s1039" style="position:absolute" from="2575,1720" to="2575,14934" stroked="t" strokecolor="black" strokeweight="0.48pt">
              <v:stroke dashstyle="solid"/>
            </v:line>
          </v:group>
        </w:pict>
      </w:r>
    </w:p>
    <w:p>
      <w:pPr>
        <w:pStyle w:val="BodyText"/>
        <w:spacing w:before="66" w:line="364" w:lineRule="auto"/>
        <w:ind w:left="1372" w:right="153"/>
      </w:pPr>
      <w:r>
        <w:t>进一步 加强通榆河保护区项目准入管理的通知》、《江苏省河道管理条例》文件中禁止或者限制的建设内容。因此，本项目的建设符合国家级生态保护红线规划与生态空间管控区域规划要求。</w:t>
      </w:r>
    </w:p>
    <w:p>
      <w:pPr>
        <w:pStyle w:val="ListParagraph"/>
        <w:numPr>
          <w:ilvl w:val="0"/>
          <w:numId w:val="38"/>
        </w:numPr>
        <w:tabs>
          <w:tab w:val="left" w:pos="2453"/>
        </w:tabs>
        <w:spacing w:before="0" w:after="0" w:line="304" w:lineRule="exact"/>
        <w:ind w:left="2453" w:right="0" w:hanging="601"/>
        <w:jc w:val="left"/>
        <w:rPr>
          <w:sz w:val="24"/>
        </w:rPr>
      </w:pPr>
      <w:r>
        <w:rPr>
          <w:sz w:val="24"/>
        </w:rPr>
        <w:t>环境质量底线相符性分析</w:t>
      </w:r>
    </w:p>
    <w:p>
      <w:pPr>
        <w:pStyle w:val="BodyText"/>
        <w:spacing w:before="6"/>
        <w:rPr>
          <w:sz w:val="21"/>
        </w:rPr>
      </w:pPr>
    </w:p>
    <w:p>
      <w:pPr>
        <w:pStyle w:val="BodyText"/>
        <w:spacing w:before="1" w:line="364" w:lineRule="auto"/>
        <w:ind w:left="1475" w:right="408" w:firstLine="482"/>
        <w:jc w:val="both"/>
      </w:pPr>
      <w:r>
        <w:rPr>
          <w:spacing w:val="2"/>
        </w:rPr>
        <w:t>根据《</w:t>
      </w:r>
      <w:r>
        <w:rPr>
          <w:rFonts w:ascii="Times New Roman" w:eastAsia="Times New Roman" w:hAnsi="Times New Roman"/>
        </w:rPr>
        <w:t xml:space="preserve">2022 </w:t>
      </w:r>
      <w:r>
        <w:t>年阜宁县环境质量状况公报》，</w:t>
      </w:r>
      <w:r>
        <w:rPr>
          <w:rFonts w:ascii="Times New Roman" w:eastAsia="Times New Roman" w:hAnsi="Times New Roman"/>
        </w:rPr>
        <w:t xml:space="preserve">2022 </w:t>
      </w:r>
      <w:r>
        <w:t>年阜宁县城环境空</w:t>
      </w:r>
      <w:r>
        <w:rPr>
          <w:spacing w:val="-17"/>
          <w:position w:val="2"/>
        </w:rPr>
        <w:t xml:space="preserve">气中 </w:t>
      </w:r>
      <w:r>
        <w:rPr>
          <w:rFonts w:ascii="Times New Roman" w:eastAsia="Times New Roman" w:hAnsi="Times New Roman"/>
          <w:position w:val="2"/>
        </w:rPr>
        <w:t>SO</w:t>
      </w:r>
      <w:r>
        <w:rPr>
          <w:rFonts w:ascii="Times New Roman" w:eastAsia="Times New Roman" w:hAnsi="Times New Roman"/>
          <w:position w:val="2"/>
          <w:vertAlign w:val="subscript"/>
        </w:rPr>
        <w:t>2</w:t>
      </w:r>
      <w:r>
        <w:rPr>
          <w:spacing w:val="-15"/>
          <w:position w:val="2"/>
          <w:vertAlign w:val="baseline"/>
        </w:rPr>
        <w:t>、</w:t>
      </w:r>
      <w:r>
        <w:rPr>
          <w:rFonts w:ascii="Times New Roman" w:eastAsia="Times New Roman" w:hAnsi="Times New Roman"/>
          <w:position w:val="2"/>
          <w:vertAlign w:val="baseline"/>
        </w:rPr>
        <w:t>NO</w:t>
      </w:r>
      <w:r>
        <w:rPr>
          <w:rFonts w:ascii="Times New Roman" w:eastAsia="Times New Roman" w:hAnsi="Times New Roman"/>
          <w:position w:val="2"/>
          <w:vertAlign w:val="subscript"/>
        </w:rPr>
        <w:t>2</w:t>
      </w:r>
      <w:r>
        <w:rPr>
          <w:spacing w:val="-12"/>
          <w:position w:val="2"/>
          <w:vertAlign w:val="baseline"/>
        </w:rPr>
        <w:t>、</w:t>
      </w:r>
      <w:r>
        <w:rPr>
          <w:rFonts w:ascii="Times New Roman" w:eastAsia="Times New Roman" w:hAnsi="Times New Roman"/>
          <w:position w:val="2"/>
          <w:vertAlign w:val="baseline"/>
        </w:rPr>
        <w:t>CO</w:t>
      </w:r>
      <w:r>
        <w:rPr>
          <w:spacing w:val="-15"/>
          <w:position w:val="2"/>
          <w:vertAlign w:val="baseline"/>
        </w:rPr>
        <w:t>、</w:t>
      </w:r>
      <w:r>
        <w:rPr>
          <w:rFonts w:ascii="Times New Roman" w:eastAsia="Times New Roman" w:hAnsi="Times New Roman"/>
          <w:position w:val="2"/>
          <w:vertAlign w:val="baseline"/>
        </w:rPr>
        <w:t>PM</w:t>
      </w:r>
      <w:r>
        <w:rPr>
          <w:rFonts w:ascii="Times New Roman" w:eastAsia="Times New Roman" w:hAnsi="Times New Roman"/>
          <w:position w:val="2"/>
          <w:vertAlign w:val="subscript"/>
        </w:rPr>
        <w:t>10</w:t>
      </w:r>
      <w:r>
        <w:rPr>
          <w:spacing w:val="-15"/>
          <w:position w:val="2"/>
          <w:vertAlign w:val="baseline"/>
        </w:rPr>
        <w:t>、</w:t>
      </w:r>
      <w:r>
        <w:rPr>
          <w:rFonts w:ascii="Times New Roman" w:eastAsia="Times New Roman" w:hAnsi="Times New Roman"/>
          <w:position w:val="2"/>
          <w:vertAlign w:val="baseline"/>
        </w:rPr>
        <w:t>PM</w:t>
      </w:r>
      <w:r>
        <w:rPr>
          <w:rFonts w:ascii="Times New Roman" w:eastAsia="Times New Roman" w:hAnsi="Times New Roman"/>
          <w:position w:val="2"/>
          <w:vertAlign w:val="subscript"/>
        </w:rPr>
        <w:t>2.5</w:t>
      </w:r>
      <w:r>
        <w:rPr>
          <w:spacing w:val="-8"/>
          <w:position w:val="2"/>
          <w:vertAlign w:val="baseline"/>
        </w:rPr>
        <w:t>、臭氧</w:t>
      </w:r>
      <w:r>
        <w:rPr>
          <w:spacing w:val="-4"/>
          <w:position w:val="2"/>
          <w:vertAlign w:val="baseline"/>
        </w:rPr>
        <w:t>（</w:t>
      </w:r>
      <w:r>
        <w:rPr>
          <w:rFonts w:ascii="Times New Roman" w:eastAsia="Times New Roman" w:hAnsi="Times New Roman"/>
          <w:spacing w:val="-4"/>
          <w:position w:val="2"/>
          <w:vertAlign w:val="baseline"/>
        </w:rPr>
        <w:t>O</w:t>
      </w:r>
      <w:r>
        <w:rPr>
          <w:rFonts w:ascii="Times New Roman" w:eastAsia="Times New Roman" w:hAnsi="Times New Roman"/>
          <w:spacing w:val="-4"/>
          <w:position w:val="2"/>
          <w:vertAlign w:val="subscript"/>
        </w:rPr>
        <w:t>3</w:t>
      </w:r>
      <w:r>
        <w:rPr>
          <w:spacing w:val="-4"/>
          <w:position w:val="2"/>
          <w:vertAlign w:val="baseline"/>
        </w:rPr>
        <w:t>）</w:t>
      </w:r>
      <w:r>
        <w:rPr>
          <w:spacing w:val="-5"/>
          <w:position w:val="2"/>
          <w:vertAlign w:val="baseline"/>
        </w:rPr>
        <w:t>均达标，因此项目所在区</w:t>
      </w:r>
      <w:r>
        <w:rPr>
          <w:spacing w:val="-3"/>
          <w:vertAlign w:val="baseline"/>
        </w:rPr>
        <w:t>域大气环境质量判定为达标区。</w:t>
      </w:r>
      <w:r>
        <w:rPr>
          <w:rFonts w:ascii="Times New Roman" w:eastAsia="Times New Roman" w:hAnsi="Times New Roman"/>
          <w:vertAlign w:val="baseline"/>
        </w:rPr>
        <w:t xml:space="preserve">2022 </w:t>
      </w:r>
      <w:r>
        <w:rPr>
          <w:spacing w:val="-3"/>
          <w:vertAlign w:val="baseline"/>
        </w:rPr>
        <w:t xml:space="preserve">年境内地表水水质总体良好，水质总体达到或优于Ⅲ类断面比例达 </w:t>
      </w:r>
      <w:r>
        <w:rPr>
          <w:rFonts w:ascii="Times New Roman" w:eastAsia="Times New Roman" w:hAnsi="Times New Roman"/>
          <w:vertAlign w:val="baseline"/>
        </w:rPr>
        <w:t>100%</w:t>
      </w:r>
      <w:r>
        <w:rPr>
          <w:vertAlign w:val="baseline"/>
        </w:rPr>
        <w:t>，县级在用饮用水源水质稳定达标， 满足《地表水环境质量标准》（</w:t>
      </w:r>
      <w:r>
        <w:rPr>
          <w:rFonts w:ascii="Times New Roman" w:eastAsia="Times New Roman" w:hAnsi="Times New Roman"/>
          <w:vertAlign w:val="baseline"/>
        </w:rPr>
        <w:t>GB3838-2002</w:t>
      </w:r>
      <w:r>
        <w:rPr>
          <w:vertAlign w:val="baseline"/>
        </w:rPr>
        <w:t>）Ⅲ类标准，通榆河北陈备</w:t>
      </w:r>
      <w:r>
        <w:rPr>
          <w:spacing w:val="-4"/>
          <w:vertAlign w:val="baseline"/>
        </w:rPr>
        <w:t>用水源地于汛期个别月份水质出现超标。</w:t>
      </w:r>
      <w:r>
        <w:rPr>
          <w:rFonts w:ascii="Times New Roman" w:eastAsia="Times New Roman" w:hAnsi="Times New Roman"/>
          <w:vertAlign w:val="baseline"/>
        </w:rPr>
        <w:t xml:space="preserve">2022 </w:t>
      </w:r>
      <w:r>
        <w:rPr>
          <w:vertAlign w:val="baseline"/>
        </w:rPr>
        <w:t>年县城区声环境质量状况总</w:t>
      </w:r>
      <w:r>
        <w:rPr>
          <w:spacing w:val="-1"/>
          <w:vertAlign w:val="baseline"/>
        </w:rPr>
        <w:t xml:space="preserve">体较好，昼间区域噪声及道路交通噪声平均等效声级仍维持在上年水平， </w:t>
      </w:r>
      <w:r>
        <w:rPr>
          <w:vertAlign w:val="baseline"/>
        </w:rPr>
        <w:t>城区功能区噪声昼夜达标情况良好。</w:t>
      </w:r>
    </w:p>
    <w:p>
      <w:pPr>
        <w:pStyle w:val="BodyText"/>
        <w:spacing w:line="364" w:lineRule="auto"/>
        <w:ind w:left="1372" w:right="228" w:firstLine="480"/>
        <w:jc w:val="both"/>
      </w:pPr>
      <w:r>
        <w:t>项目施工期会产生一定的污染物，如废水、废气、设施运行产生的噪声等，在采取相应的污染防治措施后，均能达标排放，各类污染物的排放一般不会对周边环境造成较大的不良影响，不会改变区域环境质量。随着施工期的结束，污染影响随之消失。施工排放的噪声经降噪措施后可满足达标排放要求，不会改变区域环境质量，满足环境质量底线要求。</w:t>
      </w:r>
    </w:p>
    <w:p>
      <w:pPr>
        <w:pStyle w:val="BodyText"/>
        <w:spacing w:line="364" w:lineRule="auto"/>
        <w:ind w:left="1372" w:right="228" w:firstLine="480"/>
        <w:jc w:val="both"/>
      </w:pPr>
      <w:r>
        <w:t>河道治理工程完成后，将改善河道水环境、提高生态环境质量，项目的实施更够有效的提升区域水环境质量，对当地环境属于正效益。因此，本项目建设符合环境质量底线要求。</w:t>
      </w:r>
    </w:p>
    <w:p>
      <w:pPr>
        <w:pStyle w:val="ListParagraph"/>
        <w:numPr>
          <w:ilvl w:val="0"/>
          <w:numId w:val="38"/>
        </w:numPr>
        <w:tabs>
          <w:tab w:val="left" w:pos="2453"/>
        </w:tabs>
        <w:spacing w:before="0" w:after="0" w:line="307" w:lineRule="exact"/>
        <w:ind w:left="2453" w:right="0" w:hanging="601"/>
        <w:jc w:val="left"/>
        <w:rPr>
          <w:sz w:val="24"/>
        </w:rPr>
      </w:pPr>
      <w:r>
        <w:rPr>
          <w:sz w:val="24"/>
        </w:rPr>
        <w:t>资源利用上线</w:t>
      </w:r>
    </w:p>
    <w:p>
      <w:pPr>
        <w:pStyle w:val="BodyText"/>
        <w:spacing w:before="147" w:line="364" w:lineRule="auto"/>
        <w:ind w:left="1372" w:right="228" w:firstLine="480"/>
        <w:jc w:val="both"/>
      </w:pPr>
      <w:r>
        <w:t>本项目施工及运营过程中所用的资源主要为水、电等。项目所在地自来水管网和电网覆盖了工程所在地区的全部区域，水、电供应基础设施完备， 为本项目提供了优越的水、电供应条件。施工用水由市政管网提供，施工用电使用附近电网引接。</w:t>
      </w:r>
    </w:p>
    <w:p>
      <w:pPr>
        <w:pStyle w:val="BodyText"/>
        <w:spacing w:line="364" w:lineRule="auto"/>
        <w:ind w:left="1372" w:right="231" w:firstLine="480"/>
        <w:jc w:val="both"/>
      </w:pPr>
      <w:r>
        <w:t xml:space="preserve">本项目为河道综合治理工程项目，主要建设内容包括河道疏浚工程、河道防护工程及沿线影响建筑物工程等，永久占地面积约为 </w:t>
      </w:r>
      <w:r>
        <w:rPr>
          <w:rFonts w:ascii="Times New Roman" w:eastAsia="Times New Roman"/>
        </w:rPr>
        <w:t xml:space="preserve">68.31 </w:t>
      </w:r>
      <w:r>
        <w:t>亩，均为国有土地；项目建成后所用的资源主要为电能，用电量较小，符合资源利用上</w:t>
      </w:r>
    </w:p>
    <w:p>
      <w:pPr>
        <w:spacing w:after="0" w:line="364" w:lineRule="auto"/>
        <w:jc w:val="both"/>
        <w:sectPr>
          <w:headerReference w:type="default" r:id="rId16"/>
          <w:footerReference w:type="default" r:id="rId17"/>
          <w:pgSz w:w="11910" w:h="16840"/>
          <w:pgMar w:top="1340" w:right="1120" w:bottom="1240" w:left="1220" w:header="891" w:footer="969"/>
          <w:pgNumType w:start="7"/>
          <w:cols w:space="708"/>
        </w:sectPr>
      </w:pPr>
    </w:p>
    <w:p>
      <w:pPr>
        <w:pStyle w:val="BodyText"/>
        <w:rPr>
          <w:sz w:val="20"/>
        </w:rPr>
      </w:pPr>
      <w:r>
        <w:pict>
          <v:shape id="_x0000_s1040" type="#_x0000_t202" style="width:453.4pt;height:670.05pt;margin-top:85.05pt;margin-left:76.07pt;mso-position-horizontal-relative:page;mso-position-vertical-relative:page;position:absolute;z-index:251664384" filled="f" stroked="f">
            <v:textbox inset="0,0,0,0">
              <w:txbxContent>
                <w:tbl>
                  <w:tblPr>
                    <w:tblStyle w:val="TableNormal3"/>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425"/>
                    <w:gridCol w:w="587"/>
                    <w:gridCol w:w="2982"/>
                    <w:gridCol w:w="2205"/>
                    <w:gridCol w:w="1796"/>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717"/>
                      <w:jc w:val="left"/>
                    </w:trPr>
                    <w:tc>
                      <w:tcPr>
                        <w:tcW w:w="1044" w:type="dxa"/>
                        <w:vMerge w:val="restart"/>
                        <w:tcBorders>
                          <w:right w:val="single" w:sz="4" w:space="0" w:color="000000"/>
                        </w:tcBorders>
                      </w:tcPr>
                      <w:p>
                        <w:pPr>
                          <w:pStyle w:val="TableParagraph"/>
                          <w:rPr>
                            <w:rFonts w:ascii="Times New Roman"/>
                            <w:sz w:val="20"/>
                          </w:rPr>
                        </w:pPr>
                      </w:p>
                    </w:tc>
                    <w:tc>
                      <w:tcPr>
                        <w:tcW w:w="7995" w:type="dxa"/>
                        <w:gridSpan w:val="5"/>
                        <w:tcBorders>
                          <w:left w:val="single" w:sz="4" w:space="0" w:color="000000"/>
                          <w:bottom w:val="single" w:sz="12" w:space="0" w:color="000000"/>
                        </w:tcBorders>
                      </w:tcPr>
                      <w:p>
                        <w:pPr>
                          <w:pStyle w:val="TableParagraph"/>
                          <w:spacing w:before="8"/>
                          <w:ind w:left="21"/>
                          <w:rPr>
                            <w:sz w:val="24"/>
                          </w:rPr>
                        </w:pPr>
                        <w:r>
                          <w:rPr>
                            <w:sz w:val="24"/>
                          </w:rPr>
                          <w:t>线标准。</w:t>
                        </w:r>
                      </w:p>
                      <w:p>
                        <w:pPr>
                          <w:pStyle w:val="TableParagraph"/>
                          <w:spacing w:before="158"/>
                          <w:ind w:left="501"/>
                          <w:rPr>
                            <w:sz w:val="24"/>
                          </w:rPr>
                        </w:pPr>
                        <w:r>
                          <w:rPr>
                            <w:sz w:val="24"/>
                          </w:rPr>
                          <w:t>（</w:t>
                        </w:r>
                        <w:r>
                          <w:rPr>
                            <w:rFonts w:ascii="Times New Roman" w:eastAsia="Times New Roman"/>
                            <w:sz w:val="24"/>
                          </w:rPr>
                          <w:t>4</w:t>
                        </w:r>
                        <w:r>
                          <w:rPr>
                            <w:sz w:val="24"/>
                          </w:rPr>
                          <w:t>）环境准入负面清单</w:t>
                        </w:r>
                      </w:p>
                      <w:p>
                        <w:pPr>
                          <w:pStyle w:val="TableParagraph"/>
                          <w:spacing w:before="161"/>
                          <w:ind w:left="501"/>
                          <w:rPr>
                            <w:sz w:val="24"/>
                          </w:rPr>
                        </w:pPr>
                        <w:r>
                          <w:rPr>
                            <w:sz w:val="24"/>
                          </w:rPr>
                          <w:t>项目国家产业政策相符性分析。</w:t>
                        </w:r>
                      </w:p>
                      <w:p>
                        <w:pPr>
                          <w:pStyle w:val="TableParagraph"/>
                          <w:spacing w:before="158" w:line="290" w:lineRule="exact"/>
                          <w:ind w:left="25" w:right="4"/>
                          <w:jc w:val="center"/>
                          <w:rPr>
                            <w:b/>
                            <w:sz w:val="24"/>
                          </w:rPr>
                        </w:pPr>
                        <w:r>
                          <w:rPr>
                            <w:b/>
                            <w:sz w:val="24"/>
                          </w:rPr>
                          <w:t xml:space="preserve">表 </w:t>
                        </w:r>
                        <w:r>
                          <w:rPr>
                            <w:rFonts w:ascii="Times New Roman" w:eastAsia="Times New Roman"/>
                            <w:b/>
                            <w:sz w:val="24"/>
                          </w:rPr>
                          <w:t xml:space="preserve">1-2 </w:t>
                        </w:r>
                        <w:r>
                          <w:rPr>
                            <w:b/>
                            <w:sz w:val="24"/>
                          </w:rPr>
                          <w:t>项目与国家产业政策相符性分析</w:t>
                        </w:r>
                      </w:p>
                    </w:tc>
                  </w:tr>
                  <w:tr>
                    <w:tblPrEx>
                      <w:tblW w:w="0" w:type="auto"/>
                      <w:jc w:val="left"/>
                      <w:tblInd w:w="10" w:type="dxa"/>
                      <w:tblLayout w:type="fixed"/>
                      <w:tblCellMar>
                        <w:top w:w="0" w:type="dxa"/>
                        <w:left w:w="0" w:type="dxa"/>
                        <w:bottom w:w="0" w:type="dxa"/>
                        <w:right w:w="0" w:type="dxa"/>
                      </w:tblCellMar>
                      <w:tblLook w:val="01E0"/>
                    </w:tblPrEx>
                    <w:trPr>
                      <w:trHeight w:val="540"/>
                      <w:jc w:val="left"/>
                    </w:trPr>
                    <w:tc>
                      <w:tcPr>
                        <w:tcW w:w="1044" w:type="dxa"/>
                        <w:vMerge/>
                        <w:tcBorders>
                          <w:top w:val="nil"/>
                          <w:right w:val="single" w:sz="4" w:space="0" w:color="000000"/>
                        </w:tcBorders>
                      </w:tcPr>
                      <w:p>
                        <w:pPr>
                          <w:rPr>
                            <w:sz w:val="2"/>
                            <w:szCs w:val="2"/>
                          </w:rPr>
                        </w:pPr>
                      </w:p>
                    </w:tc>
                    <w:tc>
                      <w:tcPr>
                        <w:tcW w:w="425" w:type="dxa"/>
                        <w:tcBorders>
                          <w:top w:val="single" w:sz="12" w:space="0" w:color="000000"/>
                          <w:left w:val="single" w:sz="4" w:space="0" w:color="000000"/>
                          <w:bottom w:val="single" w:sz="4" w:space="0" w:color="000000"/>
                          <w:right w:val="single" w:sz="4" w:space="0" w:color="000000"/>
                        </w:tcBorders>
                      </w:tcPr>
                      <w:p>
                        <w:pPr>
                          <w:pStyle w:val="TableParagraph"/>
                          <w:spacing w:line="268" w:lineRule="exact"/>
                          <w:ind w:left="117"/>
                          <w:rPr>
                            <w:b/>
                            <w:sz w:val="21"/>
                          </w:rPr>
                        </w:pPr>
                        <w:r>
                          <w:rPr>
                            <w:b/>
                            <w:w w:val="99"/>
                            <w:sz w:val="21"/>
                          </w:rPr>
                          <w:t>序</w:t>
                        </w:r>
                      </w:p>
                      <w:p>
                        <w:pPr>
                          <w:pStyle w:val="TableParagraph"/>
                          <w:spacing w:before="4" w:line="247" w:lineRule="exact"/>
                          <w:ind w:left="117"/>
                          <w:rPr>
                            <w:b/>
                            <w:sz w:val="21"/>
                          </w:rPr>
                        </w:pPr>
                        <w:r>
                          <w:rPr>
                            <w:b/>
                            <w:w w:val="99"/>
                            <w:sz w:val="21"/>
                          </w:rPr>
                          <w:t>号</w:t>
                        </w:r>
                      </w:p>
                    </w:tc>
                    <w:tc>
                      <w:tcPr>
                        <w:tcW w:w="3569"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6"/>
                          <w:ind w:left="74" w:right="60"/>
                          <w:jc w:val="center"/>
                          <w:rPr>
                            <w:b/>
                            <w:sz w:val="21"/>
                          </w:rPr>
                        </w:pPr>
                        <w:r>
                          <w:rPr>
                            <w:b/>
                            <w:sz w:val="21"/>
                          </w:rPr>
                          <w:t>文件</w:t>
                        </w:r>
                      </w:p>
                    </w:tc>
                    <w:tc>
                      <w:tcPr>
                        <w:tcW w:w="4001" w:type="dxa"/>
                        <w:gridSpan w:val="2"/>
                        <w:tcBorders>
                          <w:top w:val="single" w:sz="12" w:space="0" w:color="000000"/>
                          <w:left w:val="single" w:sz="4" w:space="0" w:color="000000"/>
                          <w:bottom w:val="single" w:sz="4" w:space="0" w:color="000000"/>
                        </w:tcBorders>
                      </w:tcPr>
                      <w:p>
                        <w:pPr>
                          <w:pStyle w:val="TableParagraph"/>
                          <w:spacing w:before="136"/>
                          <w:ind w:left="93" w:right="84"/>
                          <w:jc w:val="center"/>
                          <w:rPr>
                            <w:b/>
                            <w:sz w:val="21"/>
                          </w:rPr>
                        </w:pPr>
                        <w:r>
                          <w:rPr>
                            <w:b/>
                            <w:sz w:val="21"/>
                          </w:rPr>
                          <w:t>符性分析</w:t>
                        </w:r>
                      </w:p>
                    </w:tc>
                  </w:tr>
                  <w:tr>
                    <w:tblPrEx>
                      <w:tblW w:w="0" w:type="auto"/>
                      <w:jc w:val="left"/>
                      <w:tblInd w:w="10" w:type="dxa"/>
                      <w:tblLayout w:type="fixed"/>
                      <w:tblCellMar>
                        <w:top w:w="0" w:type="dxa"/>
                        <w:left w:w="0" w:type="dxa"/>
                        <w:bottom w:w="0" w:type="dxa"/>
                        <w:right w:w="0" w:type="dxa"/>
                      </w:tblCellMar>
                      <w:tblLook w:val="01E0"/>
                    </w:tblPrEx>
                    <w:trPr>
                      <w:trHeight w:val="1079"/>
                      <w:jc w:val="left"/>
                    </w:trPr>
                    <w:tc>
                      <w:tcPr>
                        <w:tcW w:w="1044" w:type="dxa"/>
                        <w:vMerge/>
                        <w:tcBorders>
                          <w:top w:val="nil"/>
                          <w:right w:val="single" w:sz="4" w:space="0" w:color="000000"/>
                        </w:tcBorders>
                      </w:tcPr>
                      <w:p>
                        <w:pPr>
                          <w:rPr>
                            <w:sz w:val="2"/>
                            <w:szCs w:val="2"/>
                          </w:rPr>
                        </w:pPr>
                      </w:p>
                    </w:tc>
                    <w:tc>
                      <w:tcPr>
                        <w:tcW w:w="425" w:type="dxa"/>
                        <w:tcBorders>
                          <w:top w:val="single" w:sz="4" w:space="0" w:color="000000"/>
                          <w:left w:val="single" w:sz="4" w:space="0" w:color="000000"/>
                          <w:bottom w:val="single" w:sz="4" w:space="0" w:color="000000"/>
                          <w:right w:val="single" w:sz="4" w:space="0" w:color="000000"/>
                        </w:tcBorders>
                      </w:tcPr>
                      <w:p>
                        <w:pPr>
                          <w:pStyle w:val="TableParagraph"/>
                          <w:spacing w:before="7"/>
                          <w:rPr>
                            <w:sz w:val="32"/>
                          </w:rPr>
                        </w:pPr>
                      </w:p>
                      <w:p>
                        <w:pPr>
                          <w:pStyle w:val="TableParagraph"/>
                          <w:ind w:left="30"/>
                          <w:jc w:val="center"/>
                          <w:rPr>
                            <w:rFonts w:ascii="Times New Roman"/>
                            <w:sz w:val="21"/>
                          </w:rPr>
                        </w:pPr>
                        <w:r>
                          <w:rPr>
                            <w:rFonts w:ascii="Times New Roman"/>
                            <w:w w:val="99"/>
                            <w:sz w:val="21"/>
                          </w:rPr>
                          <w:t>1</w:t>
                        </w:r>
                      </w:p>
                    </w:tc>
                    <w:tc>
                      <w:tcPr>
                        <w:tcW w:w="356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
                          <w:rPr>
                            <w:sz w:val="31"/>
                          </w:rPr>
                        </w:pPr>
                      </w:p>
                      <w:p>
                        <w:pPr>
                          <w:pStyle w:val="TableParagraph"/>
                          <w:ind w:left="9" w:right="-29"/>
                          <w:rPr>
                            <w:sz w:val="21"/>
                          </w:rPr>
                        </w:pPr>
                        <w:r>
                          <w:rPr>
                            <w:color w:val="FF0000"/>
                            <w:spacing w:val="-5"/>
                            <w:sz w:val="21"/>
                          </w:rPr>
                          <w:t>《产业结构调整指导目录</w:t>
                        </w:r>
                        <w:r>
                          <w:rPr>
                            <w:color w:val="FF0000"/>
                            <w:sz w:val="21"/>
                          </w:rPr>
                          <w:t>（</w:t>
                        </w:r>
                        <w:r>
                          <w:rPr>
                            <w:rFonts w:ascii="Times New Roman" w:eastAsia="Times New Roman"/>
                            <w:color w:val="FF0000"/>
                            <w:sz w:val="21"/>
                          </w:rPr>
                          <w:t>2024</w:t>
                        </w:r>
                        <w:r>
                          <w:rPr>
                            <w:rFonts w:ascii="Times New Roman" w:eastAsia="Times New Roman"/>
                            <w:color w:val="FF0000"/>
                            <w:spacing w:val="-8"/>
                            <w:sz w:val="21"/>
                          </w:rPr>
                          <w:t xml:space="preserve"> </w:t>
                        </w:r>
                        <w:r>
                          <w:rPr>
                            <w:color w:val="FF0000"/>
                            <w:sz w:val="21"/>
                          </w:rPr>
                          <w:t>年本）</w:t>
                        </w:r>
                      </w:p>
                    </w:tc>
                    <w:tc>
                      <w:tcPr>
                        <w:tcW w:w="4001" w:type="dxa"/>
                        <w:gridSpan w:val="2"/>
                        <w:tcBorders>
                          <w:top w:val="single" w:sz="4" w:space="0" w:color="000000"/>
                          <w:left w:val="single" w:sz="4" w:space="0" w:color="000000"/>
                          <w:bottom w:val="single" w:sz="4" w:space="0" w:color="000000"/>
                        </w:tcBorders>
                      </w:tcPr>
                      <w:p>
                        <w:pPr>
                          <w:pStyle w:val="TableParagraph"/>
                          <w:spacing w:line="242" w:lineRule="auto"/>
                          <w:ind w:left="9" w:right="-15"/>
                          <w:jc w:val="both"/>
                          <w:rPr>
                            <w:sz w:val="21"/>
                          </w:rPr>
                        </w:pPr>
                        <w:r>
                          <w:rPr>
                            <w:color w:val="FF0000"/>
                            <w:sz w:val="21"/>
                          </w:rPr>
                          <w:t>《产业结构调整指导目录（</w:t>
                        </w:r>
                        <w:r>
                          <w:rPr>
                            <w:rFonts w:ascii="Times New Roman" w:eastAsia="Times New Roman"/>
                            <w:color w:val="FF0000"/>
                            <w:sz w:val="21"/>
                          </w:rPr>
                          <w:t>2024</w:t>
                        </w:r>
                        <w:r>
                          <w:rPr>
                            <w:rFonts w:ascii="Times New Roman" w:eastAsia="Times New Roman"/>
                            <w:color w:val="FF0000"/>
                            <w:spacing w:val="-5"/>
                            <w:sz w:val="21"/>
                          </w:rPr>
                          <w:t xml:space="preserve"> </w:t>
                        </w:r>
                        <w:r>
                          <w:rPr>
                            <w:color w:val="FF0000"/>
                            <w:sz w:val="21"/>
                          </w:rPr>
                          <w:t xml:space="preserve">年本）》本项目属于该目录中鼓励类第二大项水利 </w:t>
                        </w:r>
                        <w:r>
                          <w:rPr>
                            <w:color w:val="FF0000"/>
                            <w:spacing w:val="-22"/>
                            <w:sz w:val="21"/>
                          </w:rPr>
                          <w:t xml:space="preserve">类第 </w:t>
                        </w:r>
                        <w:r>
                          <w:rPr>
                            <w:rFonts w:ascii="Times New Roman" w:eastAsia="Times New Roman"/>
                            <w:color w:val="FF0000"/>
                            <w:sz w:val="21"/>
                          </w:rPr>
                          <w:t>3</w:t>
                        </w:r>
                        <w:r>
                          <w:rPr>
                            <w:rFonts w:ascii="Times New Roman" w:eastAsia="Times New Roman"/>
                            <w:color w:val="FF0000"/>
                            <w:spacing w:val="-8"/>
                            <w:sz w:val="21"/>
                          </w:rPr>
                          <w:t xml:space="preserve"> </w:t>
                        </w:r>
                        <w:r>
                          <w:rPr>
                            <w:color w:val="FF0000"/>
                            <w:sz w:val="21"/>
                          </w:rPr>
                          <w:t>条中的江河湖海堤防建设及河道治理</w:t>
                        </w:r>
                      </w:p>
                      <w:p>
                        <w:pPr>
                          <w:pStyle w:val="TableParagraph"/>
                          <w:spacing w:line="247" w:lineRule="exact"/>
                          <w:ind w:left="95" w:right="84"/>
                          <w:jc w:val="center"/>
                          <w:rPr>
                            <w:sz w:val="21"/>
                          </w:rPr>
                        </w:pPr>
                        <w:r>
                          <w:rPr>
                            <w:color w:val="FF0000"/>
                            <w:sz w:val="21"/>
                          </w:rPr>
                          <w:t>工程。</w:t>
                        </w:r>
                      </w:p>
                    </w:tc>
                  </w:tr>
                  <w:tr>
                    <w:tblPrEx>
                      <w:tblW w:w="0" w:type="auto"/>
                      <w:jc w:val="left"/>
                      <w:tblInd w:w="10" w:type="dxa"/>
                      <w:tblLayout w:type="fixed"/>
                      <w:tblCellMar>
                        <w:top w:w="0" w:type="dxa"/>
                        <w:left w:w="0" w:type="dxa"/>
                        <w:bottom w:w="0" w:type="dxa"/>
                        <w:right w:w="0" w:type="dxa"/>
                      </w:tblCellMar>
                      <w:tblLook w:val="01E0"/>
                    </w:tblPrEx>
                    <w:trPr>
                      <w:trHeight w:val="262"/>
                      <w:jc w:val="left"/>
                    </w:trPr>
                    <w:tc>
                      <w:tcPr>
                        <w:tcW w:w="1044" w:type="dxa"/>
                        <w:vMerge/>
                        <w:tcBorders>
                          <w:top w:val="nil"/>
                          <w:right w:val="single" w:sz="4" w:space="0" w:color="000000"/>
                        </w:tcBorders>
                      </w:tcPr>
                      <w:p>
                        <w:pPr>
                          <w:rPr>
                            <w:sz w:val="2"/>
                            <w:szCs w:val="2"/>
                          </w:rPr>
                        </w:pPr>
                      </w:p>
                    </w:tc>
                    <w:tc>
                      <w:tcPr>
                        <w:tcW w:w="42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30"/>
                          <w:jc w:val="center"/>
                          <w:rPr>
                            <w:rFonts w:ascii="Times New Roman"/>
                            <w:sz w:val="21"/>
                          </w:rPr>
                        </w:pPr>
                        <w:r>
                          <w:rPr>
                            <w:rFonts w:ascii="Times New Roman"/>
                            <w:w w:val="99"/>
                            <w:sz w:val="21"/>
                          </w:rPr>
                          <w:t>2</w:t>
                        </w:r>
                      </w:p>
                    </w:tc>
                    <w:tc>
                      <w:tcPr>
                        <w:tcW w:w="3569"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87"/>
                          <w:rPr>
                            <w:sz w:val="21"/>
                          </w:rPr>
                        </w:pPr>
                        <w:r>
                          <w:rPr>
                            <w:sz w:val="21"/>
                          </w:rPr>
                          <w:t>《市场准入负面清单（</w:t>
                        </w:r>
                        <w:r>
                          <w:rPr>
                            <w:rFonts w:ascii="Times New Roman" w:eastAsia="Times New Roman"/>
                            <w:sz w:val="21"/>
                          </w:rPr>
                          <w:t xml:space="preserve">2022 </w:t>
                        </w:r>
                        <w:r>
                          <w:rPr>
                            <w:sz w:val="21"/>
                          </w:rPr>
                          <w:t>版）》</w:t>
                        </w:r>
                      </w:p>
                    </w:tc>
                    <w:tc>
                      <w:tcPr>
                        <w:tcW w:w="4001" w:type="dxa"/>
                        <w:gridSpan w:val="2"/>
                        <w:tcBorders>
                          <w:top w:val="single" w:sz="4" w:space="0" w:color="000000"/>
                          <w:left w:val="single" w:sz="4" w:space="0" w:color="000000"/>
                          <w:bottom w:val="single" w:sz="4" w:space="0" w:color="000000"/>
                        </w:tcBorders>
                      </w:tcPr>
                      <w:p>
                        <w:pPr>
                          <w:pStyle w:val="TableParagraph"/>
                          <w:spacing w:line="242" w:lineRule="exact"/>
                          <w:ind w:left="107"/>
                          <w:rPr>
                            <w:sz w:val="21"/>
                          </w:rPr>
                        </w:pPr>
                        <w:r>
                          <w:rPr>
                            <w:sz w:val="21"/>
                          </w:rPr>
                          <w:t>经查本项目不属于其中禁止或许可事项。</w:t>
                        </w:r>
                      </w:p>
                    </w:tc>
                  </w:tr>
                  <w:tr>
                    <w:tblPrEx>
                      <w:tblW w:w="0" w:type="auto"/>
                      <w:jc w:val="left"/>
                      <w:tblInd w:w="10" w:type="dxa"/>
                      <w:tblLayout w:type="fixed"/>
                      <w:tblCellMar>
                        <w:top w:w="0" w:type="dxa"/>
                        <w:left w:w="0" w:type="dxa"/>
                        <w:bottom w:w="0" w:type="dxa"/>
                        <w:right w:w="0" w:type="dxa"/>
                      </w:tblCellMar>
                      <w:tblLook w:val="01E0"/>
                    </w:tblPrEx>
                    <w:trPr>
                      <w:trHeight w:val="807"/>
                      <w:jc w:val="left"/>
                    </w:trPr>
                    <w:tc>
                      <w:tcPr>
                        <w:tcW w:w="1044" w:type="dxa"/>
                        <w:vMerge/>
                        <w:tcBorders>
                          <w:top w:val="nil"/>
                          <w:right w:val="single" w:sz="4" w:space="0" w:color="000000"/>
                        </w:tcBorders>
                      </w:tcPr>
                      <w:p>
                        <w:pPr>
                          <w:rPr>
                            <w:sz w:val="2"/>
                            <w:szCs w:val="2"/>
                          </w:rPr>
                        </w:pPr>
                      </w:p>
                    </w:tc>
                    <w:tc>
                      <w:tcPr>
                        <w:tcW w:w="425" w:type="dxa"/>
                        <w:tcBorders>
                          <w:top w:val="single" w:sz="4" w:space="0" w:color="000000"/>
                          <w:left w:val="single" w:sz="4" w:space="0" w:color="000000"/>
                          <w:bottom w:val="single" w:sz="4" w:space="0" w:color="000000"/>
                          <w:right w:val="single" w:sz="4" w:space="0" w:color="000000"/>
                        </w:tcBorders>
                      </w:tcPr>
                      <w:p>
                        <w:pPr>
                          <w:pStyle w:val="TableParagraph"/>
                          <w:rPr>
                            <w:sz w:val="22"/>
                          </w:rPr>
                        </w:pPr>
                      </w:p>
                      <w:p>
                        <w:pPr>
                          <w:pStyle w:val="TableParagraph"/>
                          <w:ind w:left="30"/>
                          <w:jc w:val="center"/>
                          <w:rPr>
                            <w:rFonts w:ascii="Times New Roman"/>
                            <w:sz w:val="21"/>
                          </w:rPr>
                        </w:pPr>
                        <w:r>
                          <w:rPr>
                            <w:rFonts w:ascii="Times New Roman"/>
                            <w:w w:val="99"/>
                            <w:sz w:val="21"/>
                          </w:rPr>
                          <w:t>3</w:t>
                        </w:r>
                      </w:p>
                    </w:tc>
                    <w:tc>
                      <w:tcPr>
                        <w:tcW w:w="356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1"/>
                          <w:ind w:left="9"/>
                          <w:rPr>
                            <w:sz w:val="21"/>
                          </w:rPr>
                        </w:pPr>
                        <w:r>
                          <w:rPr>
                            <w:sz w:val="21"/>
                          </w:rPr>
                          <w:t>《限制用地项目目录（</w:t>
                        </w:r>
                        <w:r>
                          <w:rPr>
                            <w:rFonts w:ascii="Times New Roman" w:eastAsia="Times New Roman"/>
                            <w:sz w:val="21"/>
                          </w:rPr>
                          <w:t xml:space="preserve">2012 </w:t>
                        </w:r>
                        <w:r>
                          <w:rPr>
                            <w:sz w:val="21"/>
                          </w:rPr>
                          <w:t>年本）》</w:t>
                        </w:r>
                      </w:p>
                      <w:p>
                        <w:pPr>
                          <w:pStyle w:val="TableParagraph"/>
                          <w:spacing w:before="5"/>
                          <w:ind w:left="81"/>
                          <w:rPr>
                            <w:sz w:val="21"/>
                          </w:rPr>
                        </w:pPr>
                        <w:r>
                          <w:rPr>
                            <w:sz w:val="21"/>
                          </w:rPr>
                          <w:t>《禁止用地项目目录（</w:t>
                        </w:r>
                        <w:r>
                          <w:rPr>
                            <w:rFonts w:ascii="Times New Roman" w:eastAsia="Times New Roman"/>
                            <w:sz w:val="21"/>
                          </w:rPr>
                          <w:t xml:space="preserve">2012 </w:t>
                        </w:r>
                        <w:r>
                          <w:rPr>
                            <w:sz w:val="21"/>
                          </w:rPr>
                          <w:t>年本）》</w:t>
                        </w:r>
                      </w:p>
                    </w:tc>
                    <w:tc>
                      <w:tcPr>
                        <w:tcW w:w="4001" w:type="dxa"/>
                        <w:gridSpan w:val="2"/>
                        <w:tcBorders>
                          <w:top w:val="single" w:sz="4" w:space="0" w:color="000000"/>
                          <w:left w:val="single" w:sz="4" w:space="0" w:color="000000"/>
                          <w:bottom w:val="single" w:sz="4" w:space="0" w:color="000000"/>
                        </w:tcBorders>
                      </w:tcPr>
                      <w:p>
                        <w:pPr>
                          <w:pStyle w:val="TableParagraph"/>
                          <w:spacing w:line="199" w:lineRule="exact"/>
                          <w:ind w:left="108" w:right="84"/>
                          <w:jc w:val="center"/>
                          <w:rPr>
                            <w:sz w:val="21"/>
                          </w:rPr>
                        </w:pPr>
                        <w:r>
                          <w:rPr>
                            <w:spacing w:val="-2"/>
                            <w:w w:val="95"/>
                            <w:sz w:val="21"/>
                          </w:rPr>
                          <w:t>本项目用地性质为工业用地，不在《限制用</w:t>
                        </w:r>
                      </w:p>
                      <w:p>
                        <w:pPr>
                          <w:pStyle w:val="TableParagraph"/>
                          <w:spacing w:line="136" w:lineRule="exact"/>
                          <w:ind w:left="-147" w:right="3921"/>
                          <w:jc w:val="center"/>
                          <w:rPr>
                            <w:sz w:val="21"/>
                          </w:rPr>
                        </w:pPr>
                        <w:r>
                          <w:rPr>
                            <w:w w:val="99"/>
                            <w:sz w:val="21"/>
                          </w:rPr>
                          <w:t>、</w:t>
                        </w:r>
                      </w:p>
                      <w:p>
                        <w:pPr>
                          <w:pStyle w:val="TableParagraph"/>
                          <w:spacing w:line="203" w:lineRule="exact"/>
                          <w:ind w:left="9" w:right="-15"/>
                          <w:jc w:val="center"/>
                          <w:rPr>
                            <w:sz w:val="21"/>
                          </w:rPr>
                        </w:pPr>
                        <w:r>
                          <w:rPr>
                            <w:spacing w:val="-2"/>
                            <w:sz w:val="21"/>
                          </w:rPr>
                          <w:t>地项目目录</w:t>
                        </w:r>
                        <w:r>
                          <w:rPr>
                            <w:sz w:val="21"/>
                          </w:rPr>
                          <w:t>（</w:t>
                        </w:r>
                        <w:r>
                          <w:rPr>
                            <w:rFonts w:ascii="Times New Roman" w:eastAsia="Times New Roman"/>
                            <w:sz w:val="21"/>
                          </w:rPr>
                          <w:t>2012</w:t>
                        </w:r>
                        <w:r>
                          <w:rPr>
                            <w:rFonts w:ascii="Times New Roman" w:eastAsia="Times New Roman"/>
                            <w:spacing w:val="-17"/>
                            <w:sz w:val="21"/>
                          </w:rPr>
                          <w:t xml:space="preserve"> </w:t>
                        </w:r>
                        <w:r>
                          <w:rPr>
                            <w:sz w:val="21"/>
                          </w:rPr>
                          <w:t>年本</w:t>
                        </w:r>
                        <w:r>
                          <w:rPr>
                            <w:spacing w:val="-13"/>
                            <w:sz w:val="21"/>
                          </w:rPr>
                          <w:t>）</w:t>
                        </w:r>
                        <w:r>
                          <w:rPr>
                            <w:spacing w:val="-6"/>
                            <w:sz w:val="21"/>
                          </w:rPr>
                          <w:t>》、《禁止用地项</w:t>
                        </w:r>
                      </w:p>
                      <w:p>
                        <w:pPr>
                          <w:pStyle w:val="TableParagraph"/>
                          <w:spacing w:before="2" w:line="247" w:lineRule="exact"/>
                          <w:ind w:left="90" w:right="84"/>
                          <w:jc w:val="center"/>
                          <w:rPr>
                            <w:sz w:val="21"/>
                          </w:rPr>
                        </w:pPr>
                        <w:r>
                          <w:rPr>
                            <w:sz w:val="21"/>
                          </w:rPr>
                          <w:t>目目录（</w:t>
                        </w:r>
                        <w:r>
                          <w:rPr>
                            <w:rFonts w:ascii="Times New Roman" w:eastAsia="Times New Roman"/>
                            <w:sz w:val="21"/>
                          </w:rPr>
                          <w:t xml:space="preserve">2012 </w:t>
                        </w:r>
                        <w:r>
                          <w:rPr>
                            <w:sz w:val="21"/>
                          </w:rPr>
                          <w:t>年本）》中。</w:t>
                        </w:r>
                      </w:p>
                    </w:tc>
                  </w:tr>
                  <w:tr>
                    <w:tblPrEx>
                      <w:tblW w:w="0" w:type="auto"/>
                      <w:jc w:val="left"/>
                      <w:tblInd w:w="10" w:type="dxa"/>
                      <w:tblLayout w:type="fixed"/>
                      <w:tblCellMar>
                        <w:top w:w="0" w:type="dxa"/>
                        <w:left w:w="0" w:type="dxa"/>
                        <w:bottom w:w="0" w:type="dxa"/>
                        <w:right w:w="0" w:type="dxa"/>
                      </w:tblCellMar>
                      <w:tblLook w:val="01E0"/>
                    </w:tblPrEx>
                    <w:trPr>
                      <w:trHeight w:val="534"/>
                      <w:jc w:val="left"/>
                    </w:trPr>
                    <w:tc>
                      <w:tcPr>
                        <w:tcW w:w="1044" w:type="dxa"/>
                        <w:vMerge/>
                        <w:tcBorders>
                          <w:top w:val="nil"/>
                          <w:right w:val="single" w:sz="4" w:space="0" w:color="000000"/>
                        </w:tcBorders>
                      </w:tcPr>
                      <w:p>
                        <w:pPr>
                          <w:rPr>
                            <w:sz w:val="2"/>
                            <w:szCs w:val="2"/>
                          </w:rPr>
                        </w:pPr>
                      </w:p>
                    </w:tc>
                    <w:tc>
                      <w:tcPr>
                        <w:tcW w:w="425" w:type="dxa"/>
                        <w:tcBorders>
                          <w:top w:val="single" w:sz="4" w:space="0" w:color="000000"/>
                          <w:left w:val="single" w:sz="4" w:space="0" w:color="000000"/>
                          <w:bottom w:val="single" w:sz="4" w:space="0" w:color="000000"/>
                          <w:right w:val="single" w:sz="4" w:space="0" w:color="000000"/>
                        </w:tcBorders>
                      </w:tcPr>
                      <w:p>
                        <w:pPr>
                          <w:pStyle w:val="TableParagraph"/>
                          <w:spacing w:before="146"/>
                          <w:ind w:left="30"/>
                          <w:jc w:val="center"/>
                          <w:rPr>
                            <w:rFonts w:ascii="Times New Roman"/>
                            <w:sz w:val="21"/>
                          </w:rPr>
                        </w:pPr>
                        <w:r>
                          <w:rPr>
                            <w:rFonts w:ascii="Times New Roman"/>
                            <w:w w:val="99"/>
                            <w:sz w:val="21"/>
                          </w:rPr>
                          <w:t>4</w:t>
                        </w:r>
                      </w:p>
                    </w:tc>
                    <w:tc>
                      <w:tcPr>
                        <w:tcW w:w="3569"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ight="60"/>
                          <w:jc w:val="center"/>
                          <w:rPr>
                            <w:sz w:val="21"/>
                          </w:rPr>
                        </w:pPr>
                        <w:r>
                          <w:rPr>
                            <w:color w:val="FF0000"/>
                            <w:spacing w:val="-1"/>
                            <w:w w:val="95"/>
                            <w:sz w:val="21"/>
                          </w:rPr>
                          <w:t>《江苏省产业结构调整限制、淘汰和禁</w:t>
                        </w:r>
                      </w:p>
                      <w:p>
                        <w:pPr>
                          <w:pStyle w:val="TableParagraph"/>
                          <w:spacing w:before="2" w:line="248" w:lineRule="exact"/>
                          <w:ind w:left="74" w:right="60"/>
                          <w:jc w:val="center"/>
                          <w:rPr>
                            <w:sz w:val="21"/>
                          </w:rPr>
                        </w:pPr>
                        <w:r>
                          <w:rPr>
                            <w:color w:val="FF0000"/>
                            <w:sz w:val="21"/>
                          </w:rPr>
                          <w:t>止目录》（苏办发〔</w:t>
                        </w:r>
                        <w:r>
                          <w:rPr>
                            <w:rFonts w:ascii="Times New Roman" w:eastAsia="Times New Roman"/>
                            <w:color w:val="FF0000"/>
                            <w:sz w:val="21"/>
                          </w:rPr>
                          <w:t>2018</w:t>
                        </w:r>
                        <w:r>
                          <w:rPr>
                            <w:color w:val="FF0000"/>
                            <w:sz w:val="21"/>
                          </w:rPr>
                          <w:t>〕</w:t>
                        </w:r>
                        <w:r>
                          <w:rPr>
                            <w:rFonts w:ascii="Times New Roman" w:eastAsia="Times New Roman"/>
                            <w:color w:val="FF0000"/>
                            <w:sz w:val="21"/>
                          </w:rPr>
                          <w:t xml:space="preserve">32 </w:t>
                        </w:r>
                        <w:r>
                          <w:rPr>
                            <w:color w:val="FF0000"/>
                            <w:sz w:val="21"/>
                          </w:rPr>
                          <w:t>号）</w:t>
                        </w:r>
                      </w:p>
                    </w:tc>
                    <w:tc>
                      <w:tcPr>
                        <w:tcW w:w="4001" w:type="dxa"/>
                        <w:gridSpan w:val="2"/>
                        <w:tcBorders>
                          <w:top w:val="single" w:sz="4" w:space="0" w:color="000000"/>
                          <w:left w:val="single" w:sz="4" w:space="0" w:color="000000"/>
                          <w:bottom w:val="single" w:sz="4" w:space="0" w:color="000000"/>
                        </w:tcBorders>
                      </w:tcPr>
                      <w:p>
                        <w:pPr>
                          <w:pStyle w:val="TableParagraph"/>
                          <w:spacing w:line="265" w:lineRule="exact"/>
                          <w:ind w:left="108" w:right="84"/>
                          <w:jc w:val="center"/>
                          <w:rPr>
                            <w:sz w:val="21"/>
                          </w:rPr>
                        </w:pPr>
                        <w:r>
                          <w:rPr>
                            <w:color w:val="FF0000"/>
                            <w:spacing w:val="-3"/>
                            <w:w w:val="95"/>
                            <w:sz w:val="21"/>
                          </w:rPr>
                          <w:t>经查，本项目不属于限制、淘汰、禁止类项</w:t>
                        </w:r>
                      </w:p>
                      <w:p>
                        <w:pPr>
                          <w:pStyle w:val="TableParagraph"/>
                          <w:spacing w:before="2" w:line="248" w:lineRule="exact"/>
                          <w:ind w:left="90" w:right="84"/>
                          <w:jc w:val="center"/>
                          <w:rPr>
                            <w:sz w:val="21"/>
                          </w:rPr>
                        </w:pPr>
                        <w:r>
                          <w:rPr>
                            <w:color w:val="FF0000"/>
                            <w:sz w:val="21"/>
                          </w:rPr>
                          <w:t>目。</w:t>
                        </w:r>
                      </w:p>
                    </w:tc>
                  </w:tr>
                  <w:tr>
                    <w:tblPrEx>
                      <w:tblW w:w="0" w:type="auto"/>
                      <w:jc w:val="left"/>
                      <w:tblInd w:w="10" w:type="dxa"/>
                      <w:tblLayout w:type="fixed"/>
                      <w:tblCellMar>
                        <w:top w:w="0" w:type="dxa"/>
                        <w:left w:w="0" w:type="dxa"/>
                        <w:bottom w:w="0" w:type="dxa"/>
                        <w:right w:w="0" w:type="dxa"/>
                      </w:tblCellMar>
                      <w:tblLook w:val="01E0"/>
                    </w:tblPrEx>
                    <w:trPr>
                      <w:trHeight w:val="811"/>
                      <w:jc w:val="left"/>
                    </w:trPr>
                    <w:tc>
                      <w:tcPr>
                        <w:tcW w:w="1044" w:type="dxa"/>
                        <w:vMerge/>
                        <w:tcBorders>
                          <w:top w:val="nil"/>
                          <w:right w:val="single" w:sz="4" w:space="0" w:color="000000"/>
                        </w:tcBorders>
                      </w:tcPr>
                      <w:p>
                        <w:pPr>
                          <w:rPr>
                            <w:sz w:val="2"/>
                            <w:szCs w:val="2"/>
                          </w:rPr>
                        </w:pPr>
                      </w:p>
                    </w:tc>
                    <w:tc>
                      <w:tcPr>
                        <w:tcW w:w="425" w:type="dxa"/>
                        <w:tcBorders>
                          <w:top w:val="single" w:sz="4" w:space="0" w:color="000000"/>
                          <w:left w:val="single" w:sz="4" w:space="0" w:color="000000"/>
                          <w:bottom w:val="single" w:sz="12" w:space="0" w:color="000000"/>
                          <w:right w:val="single" w:sz="4" w:space="0" w:color="000000"/>
                        </w:tcBorders>
                      </w:tcPr>
                      <w:p>
                        <w:pPr>
                          <w:pStyle w:val="TableParagraph"/>
                          <w:rPr>
                            <w:sz w:val="22"/>
                          </w:rPr>
                        </w:pPr>
                      </w:p>
                      <w:p>
                        <w:pPr>
                          <w:pStyle w:val="TableParagraph"/>
                          <w:spacing w:before="1"/>
                          <w:ind w:left="30"/>
                          <w:jc w:val="center"/>
                          <w:rPr>
                            <w:rFonts w:ascii="Times New Roman"/>
                            <w:sz w:val="21"/>
                          </w:rPr>
                        </w:pPr>
                        <w:r>
                          <w:rPr>
                            <w:rFonts w:ascii="Times New Roman"/>
                            <w:w w:val="99"/>
                            <w:sz w:val="21"/>
                          </w:rPr>
                          <w:t>5</w:t>
                        </w:r>
                      </w:p>
                    </w:tc>
                    <w:tc>
                      <w:tcPr>
                        <w:tcW w:w="3569" w:type="dxa"/>
                        <w:gridSpan w:val="2"/>
                        <w:tcBorders>
                          <w:top w:val="single" w:sz="4" w:space="0" w:color="000000"/>
                          <w:left w:val="single" w:sz="4" w:space="0" w:color="000000"/>
                          <w:bottom w:val="single" w:sz="12" w:space="0" w:color="000000"/>
                          <w:right w:val="single" w:sz="4" w:space="0" w:color="000000"/>
                        </w:tcBorders>
                      </w:tcPr>
                      <w:p>
                        <w:pPr>
                          <w:pStyle w:val="TableParagraph"/>
                          <w:spacing w:line="264" w:lineRule="exact"/>
                          <w:ind w:left="9" w:right="-15" w:firstLine="72"/>
                          <w:rPr>
                            <w:sz w:val="21"/>
                          </w:rPr>
                        </w:pPr>
                        <w:r>
                          <w:rPr>
                            <w:sz w:val="21"/>
                          </w:rPr>
                          <w:t>《江苏省限制用地项目目录（</w:t>
                        </w:r>
                        <w:r>
                          <w:rPr>
                            <w:rFonts w:ascii="Times New Roman" w:eastAsia="Times New Roman"/>
                            <w:sz w:val="21"/>
                          </w:rPr>
                          <w:t>2013</w:t>
                        </w:r>
                        <w:r>
                          <w:rPr>
                            <w:rFonts w:ascii="Times New Roman" w:eastAsia="Times New Roman"/>
                            <w:spacing w:val="-3"/>
                            <w:sz w:val="21"/>
                          </w:rPr>
                          <w:t xml:space="preserve"> </w:t>
                        </w:r>
                        <w:r>
                          <w:rPr>
                            <w:sz w:val="21"/>
                          </w:rPr>
                          <w:t>年</w:t>
                        </w:r>
                      </w:p>
                      <w:p>
                        <w:pPr>
                          <w:pStyle w:val="TableParagraph"/>
                          <w:spacing w:before="3" w:line="270" w:lineRule="atLeast"/>
                          <w:ind w:left="1367" w:right="-15" w:hanging="1359"/>
                          <w:rPr>
                            <w:sz w:val="21"/>
                          </w:rPr>
                        </w:pPr>
                        <w:r>
                          <w:rPr>
                            <w:w w:val="95"/>
                            <w:sz w:val="21"/>
                          </w:rPr>
                          <w:t>本</w:t>
                        </w:r>
                        <w:r>
                          <w:rPr>
                            <w:spacing w:val="-87"/>
                            <w:w w:val="95"/>
                            <w:sz w:val="21"/>
                          </w:rPr>
                          <w:t>）</w:t>
                        </w:r>
                        <w:r>
                          <w:rPr>
                            <w:spacing w:val="-29"/>
                            <w:w w:val="95"/>
                            <w:sz w:val="21"/>
                          </w:rPr>
                          <w:t>》、《江苏省禁止用地项目目录</w:t>
                        </w:r>
                        <w:r>
                          <w:rPr>
                            <w:w w:val="95"/>
                            <w:sz w:val="21"/>
                          </w:rPr>
                          <w:t>（</w:t>
                        </w:r>
                        <w:r>
                          <w:rPr>
                            <w:rFonts w:ascii="Times New Roman" w:eastAsia="Times New Roman"/>
                            <w:w w:val="95"/>
                            <w:sz w:val="21"/>
                          </w:rPr>
                          <w:t xml:space="preserve">2013 </w:t>
                        </w:r>
                        <w:r>
                          <w:rPr>
                            <w:sz w:val="21"/>
                          </w:rPr>
                          <w:t>年本）》</w:t>
                        </w:r>
                      </w:p>
                    </w:tc>
                    <w:tc>
                      <w:tcPr>
                        <w:tcW w:w="4001" w:type="dxa"/>
                        <w:gridSpan w:val="2"/>
                        <w:tcBorders>
                          <w:top w:val="single" w:sz="4" w:space="0" w:color="000000"/>
                          <w:left w:val="single" w:sz="4" w:space="0" w:color="000000"/>
                          <w:bottom w:val="single" w:sz="12" w:space="0" w:color="000000"/>
                        </w:tcBorders>
                      </w:tcPr>
                      <w:p>
                        <w:pPr>
                          <w:pStyle w:val="TableParagraph"/>
                          <w:spacing w:line="264" w:lineRule="exact"/>
                          <w:ind w:left="9" w:right="-15"/>
                          <w:rPr>
                            <w:sz w:val="21"/>
                          </w:rPr>
                        </w:pPr>
                        <w:r>
                          <w:rPr>
                            <w:spacing w:val="-2"/>
                            <w:sz w:val="21"/>
                          </w:rPr>
                          <w:t>本项目用地性质为工业用地，不在《江苏省</w:t>
                        </w:r>
                      </w:p>
                      <w:p>
                        <w:pPr>
                          <w:pStyle w:val="TableParagraph"/>
                          <w:spacing w:before="3" w:line="270" w:lineRule="atLeast"/>
                          <w:ind w:left="81" w:hanging="72"/>
                          <w:rPr>
                            <w:sz w:val="21"/>
                          </w:rPr>
                        </w:pPr>
                        <w:r>
                          <w:rPr>
                            <w:spacing w:val="-2"/>
                            <w:sz w:val="21"/>
                          </w:rPr>
                          <w:t>限制用地项目目录</w:t>
                        </w:r>
                        <w:r>
                          <w:rPr>
                            <w:sz w:val="21"/>
                          </w:rPr>
                          <w:t>（</w:t>
                        </w:r>
                        <w:r>
                          <w:rPr>
                            <w:rFonts w:ascii="Times New Roman" w:eastAsia="Times New Roman"/>
                            <w:sz w:val="21"/>
                          </w:rPr>
                          <w:t xml:space="preserve">2013 </w:t>
                        </w:r>
                        <w:r>
                          <w:rPr>
                            <w:sz w:val="21"/>
                          </w:rPr>
                          <w:t>年本</w:t>
                        </w:r>
                        <w:r>
                          <w:rPr>
                            <w:spacing w:val="-13"/>
                            <w:sz w:val="21"/>
                          </w:rPr>
                          <w:t>）</w:t>
                        </w:r>
                        <w:r>
                          <w:rPr>
                            <w:spacing w:val="-8"/>
                            <w:sz w:val="21"/>
                          </w:rPr>
                          <w:t>》、《江苏省禁止用地项目目录（</w:t>
                        </w:r>
                        <w:r>
                          <w:rPr>
                            <w:rFonts w:ascii="Times New Roman" w:eastAsia="Times New Roman"/>
                            <w:spacing w:val="-8"/>
                            <w:sz w:val="21"/>
                          </w:rPr>
                          <w:t xml:space="preserve">2013 </w:t>
                        </w:r>
                        <w:r>
                          <w:rPr>
                            <w:sz w:val="21"/>
                          </w:rPr>
                          <w:t>年本）》中。</w:t>
                        </w:r>
                      </w:p>
                    </w:tc>
                  </w:tr>
                  <w:tr>
                    <w:tblPrEx>
                      <w:tblW w:w="0" w:type="auto"/>
                      <w:jc w:val="left"/>
                      <w:tblInd w:w="10" w:type="dxa"/>
                      <w:tblLayout w:type="fixed"/>
                      <w:tblCellMar>
                        <w:top w:w="0" w:type="dxa"/>
                        <w:left w:w="0" w:type="dxa"/>
                        <w:bottom w:w="0" w:type="dxa"/>
                        <w:right w:w="0" w:type="dxa"/>
                      </w:tblCellMar>
                      <w:tblLook w:val="01E0"/>
                    </w:tblPrEx>
                    <w:trPr>
                      <w:trHeight w:val="3268"/>
                      <w:jc w:val="left"/>
                    </w:trPr>
                    <w:tc>
                      <w:tcPr>
                        <w:tcW w:w="1044" w:type="dxa"/>
                        <w:vMerge/>
                        <w:tcBorders>
                          <w:top w:val="nil"/>
                          <w:right w:val="single" w:sz="4" w:space="0" w:color="000000"/>
                        </w:tcBorders>
                      </w:tcPr>
                      <w:p>
                        <w:pPr>
                          <w:rPr>
                            <w:sz w:val="2"/>
                            <w:szCs w:val="2"/>
                          </w:rPr>
                        </w:pPr>
                      </w:p>
                    </w:tc>
                    <w:tc>
                      <w:tcPr>
                        <w:tcW w:w="7995" w:type="dxa"/>
                        <w:gridSpan w:val="5"/>
                        <w:tcBorders>
                          <w:top w:val="single" w:sz="12" w:space="0" w:color="000000"/>
                          <w:left w:val="single" w:sz="4" w:space="0" w:color="000000"/>
                          <w:bottom w:val="single" w:sz="12" w:space="0" w:color="000000"/>
                        </w:tcBorders>
                      </w:tcPr>
                      <w:p>
                        <w:pPr>
                          <w:pStyle w:val="TableParagraph"/>
                          <w:spacing w:before="2"/>
                          <w:ind w:left="501"/>
                          <w:rPr>
                            <w:sz w:val="24"/>
                          </w:rPr>
                        </w:pPr>
                        <w:r>
                          <w:rPr>
                            <w:sz w:val="24"/>
                          </w:rPr>
                          <w:t xml:space="preserve">由表 </w:t>
                        </w:r>
                        <w:r>
                          <w:rPr>
                            <w:rFonts w:ascii="Times New Roman" w:eastAsia="Times New Roman"/>
                            <w:sz w:val="24"/>
                          </w:rPr>
                          <w:t xml:space="preserve">1-3 </w:t>
                        </w:r>
                        <w:r>
                          <w:rPr>
                            <w:sz w:val="24"/>
                          </w:rPr>
                          <w:t>可知，本项目符合国家及地方产业政策要求。</w:t>
                        </w:r>
                      </w:p>
                      <w:p>
                        <w:pPr>
                          <w:pStyle w:val="TableParagraph"/>
                          <w:spacing w:before="158"/>
                          <w:ind w:left="501"/>
                          <w:rPr>
                            <w:sz w:val="24"/>
                          </w:rPr>
                        </w:pPr>
                        <w:r>
                          <w:rPr>
                            <w:sz w:val="24"/>
                          </w:rPr>
                          <w:t>（</w:t>
                        </w:r>
                        <w:r>
                          <w:rPr>
                            <w:rFonts w:ascii="Times New Roman" w:eastAsia="Times New Roman" w:hAnsi="Times New Roman"/>
                            <w:sz w:val="24"/>
                          </w:rPr>
                          <w:t>5</w:t>
                        </w:r>
                        <w:r>
                          <w:rPr>
                            <w:sz w:val="24"/>
                          </w:rPr>
                          <w:t>）与“三线一单”生态环境分区管控实施方案的对照</w:t>
                        </w:r>
                      </w:p>
                      <w:p>
                        <w:pPr>
                          <w:pStyle w:val="TableParagraph"/>
                          <w:spacing w:before="160" w:line="364" w:lineRule="auto"/>
                          <w:ind w:left="21" w:right="-15" w:firstLine="480"/>
                          <w:rPr>
                            <w:sz w:val="24"/>
                          </w:rPr>
                        </w:pPr>
                        <w:r>
                          <w:rPr>
                            <w:sz w:val="24"/>
                          </w:rPr>
                          <w:t>对照《省政府关于印发江苏省“三线一单”生态环境分区管控方案的通</w:t>
                        </w:r>
                        <w:r>
                          <w:rPr>
                            <w:spacing w:val="-3"/>
                            <w:sz w:val="24"/>
                          </w:rPr>
                          <w:t>知》</w:t>
                        </w:r>
                        <w:r>
                          <w:rPr>
                            <w:sz w:val="24"/>
                          </w:rPr>
                          <w:t>（</w:t>
                        </w:r>
                        <w:r>
                          <w:rPr>
                            <w:spacing w:val="-1"/>
                            <w:sz w:val="24"/>
                          </w:rPr>
                          <w:t>苏政发〔</w:t>
                        </w:r>
                        <w:r>
                          <w:rPr>
                            <w:rFonts w:ascii="Times New Roman" w:eastAsia="Times New Roman" w:hAnsi="Times New Roman"/>
                            <w:sz w:val="24"/>
                          </w:rPr>
                          <w:t>2020</w:t>
                        </w:r>
                        <w:r>
                          <w:rPr>
                            <w:spacing w:val="-3"/>
                            <w:sz w:val="24"/>
                          </w:rPr>
                          <w:t>〕</w:t>
                        </w:r>
                        <w:r>
                          <w:rPr>
                            <w:rFonts w:ascii="Times New Roman" w:eastAsia="Times New Roman" w:hAnsi="Times New Roman"/>
                            <w:sz w:val="24"/>
                          </w:rPr>
                          <w:t>49</w:t>
                        </w:r>
                        <w:r>
                          <w:rPr>
                            <w:rFonts w:ascii="Times New Roman" w:eastAsia="Times New Roman" w:hAnsi="Times New Roman"/>
                            <w:spacing w:val="-3"/>
                            <w:sz w:val="24"/>
                          </w:rPr>
                          <w:t xml:space="preserve"> </w:t>
                        </w:r>
                        <w:r>
                          <w:rPr>
                            <w:sz w:val="24"/>
                          </w:rPr>
                          <w:t>号）</w:t>
                        </w:r>
                        <w:r>
                          <w:rPr>
                            <w:spacing w:val="-3"/>
                            <w:sz w:val="24"/>
                          </w:rPr>
                          <w:t>，本项目属于淮河流域；对照《盐城市“三线一单”生态环境分区管控实施方案》（盐环办〔</w:t>
                        </w:r>
                        <w:r>
                          <w:rPr>
                            <w:rFonts w:ascii="Times New Roman" w:eastAsia="Times New Roman" w:hAnsi="Times New Roman"/>
                            <w:spacing w:val="-3"/>
                            <w:sz w:val="24"/>
                          </w:rPr>
                          <w:t>2020</w:t>
                        </w:r>
                        <w:r>
                          <w:rPr>
                            <w:spacing w:val="-3"/>
                            <w:sz w:val="24"/>
                          </w:rPr>
                          <w:t>〕</w:t>
                        </w:r>
                        <w:r>
                          <w:rPr>
                            <w:rFonts w:ascii="Times New Roman" w:eastAsia="Times New Roman" w:hAnsi="Times New Roman"/>
                            <w:spacing w:val="-3"/>
                            <w:sz w:val="24"/>
                          </w:rPr>
                          <w:t xml:space="preserve">200 </w:t>
                        </w:r>
                        <w:r>
                          <w:rPr>
                            <w:spacing w:val="-3"/>
                            <w:sz w:val="24"/>
                          </w:rPr>
                          <w:t>号），本项目所</w:t>
                        </w:r>
                        <w:r>
                          <w:rPr>
                            <w:spacing w:val="-6"/>
                            <w:sz w:val="24"/>
                          </w:rPr>
                          <w:t xml:space="preserve">在地属于一般管控区，其环境管控单元准入清单见表 </w:t>
                        </w:r>
                        <w:r>
                          <w:rPr>
                            <w:rFonts w:ascii="Times New Roman" w:eastAsia="Times New Roman" w:hAnsi="Times New Roman"/>
                            <w:sz w:val="24"/>
                          </w:rPr>
                          <w:t>1-3</w:t>
                        </w:r>
                        <w:r>
                          <w:rPr>
                            <w:sz w:val="24"/>
                          </w:rPr>
                          <w:t>、</w:t>
                        </w:r>
                        <w:r>
                          <w:rPr>
                            <w:rFonts w:ascii="Times New Roman" w:eastAsia="Times New Roman" w:hAnsi="Times New Roman"/>
                            <w:sz w:val="24"/>
                          </w:rPr>
                          <w:t>1-4</w:t>
                        </w:r>
                        <w:r>
                          <w:rPr>
                            <w:sz w:val="24"/>
                          </w:rPr>
                          <w:t>。</w:t>
                        </w:r>
                      </w:p>
                      <w:p>
                        <w:pPr>
                          <w:pStyle w:val="TableParagraph"/>
                          <w:spacing w:line="305" w:lineRule="exact"/>
                          <w:ind w:left="1972"/>
                          <w:rPr>
                            <w:b/>
                            <w:sz w:val="24"/>
                          </w:rPr>
                        </w:pPr>
                        <w:r>
                          <w:rPr>
                            <w:b/>
                            <w:sz w:val="24"/>
                          </w:rPr>
                          <w:t xml:space="preserve">表 </w:t>
                        </w:r>
                        <w:r>
                          <w:rPr>
                            <w:rFonts w:ascii="Times New Roman" w:eastAsia="Times New Roman"/>
                            <w:b/>
                            <w:sz w:val="24"/>
                          </w:rPr>
                          <w:t xml:space="preserve">1-3 </w:t>
                        </w:r>
                        <w:r>
                          <w:rPr>
                            <w:b/>
                            <w:sz w:val="24"/>
                          </w:rPr>
                          <w:t>江苏省省域生态环境环境管控要求表</w:t>
                        </w:r>
                      </w:p>
                    </w:tc>
                  </w:tr>
                  <w:tr>
                    <w:tblPrEx>
                      <w:tblW w:w="0" w:type="auto"/>
                      <w:jc w:val="left"/>
                      <w:tblInd w:w="10" w:type="dxa"/>
                      <w:tblLayout w:type="fixed"/>
                      <w:tblCellMar>
                        <w:top w:w="0" w:type="dxa"/>
                        <w:left w:w="0" w:type="dxa"/>
                        <w:bottom w:w="0" w:type="dxa"/>
                        <w:right w:w="0" w:type="dxa"/>
                      </w:tblCellMar>
                      <w:tblLook w:val="01E0"/>
                    </w:tblPrEx>
                    <w:trPr>
                      <w:trHeight w:val="566"/>
                      <w:jc w:val="left"/>
                    </w:trPr>
                    <w:tc>
                      <w:tcPr>
                        <w:tcW w:w="1044" w:type="dxa"/>
                        <w:vMerge/>
                        <w:tcBorders>
                          <w:top w:val="nil"/>
                          <w:right w:val="single" w:sz="4" w:space="0" w:color="000000"/>
                        </w:tcBorders>
                      </w:tcPr>
                      <w:p>
                        <w:pPr>
                          <w:rPr>
                            <w:sz w:val="2"/>
                            <w:szCs w:val="2"/>
                          </w:rPr>
                        </w:pPr>
                      </w:p>
                    </w:tc>
                    <w:tc>
                      <w:tcPr>
                        <w:tcW w:w="1012"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4" w:line="270" w:lineRule="atLeast"/>
                          <w:ind w:left="290" w:right="272"/>
                          <w:rPr>
                            <w:b/>
                            <w:sz w:val="21"/>
                          </w:rPr>
                        </w:pPr>
                        <w:r>
                          <w:rPr>
                            <w:b/>
                            <w:sz w:val="21"/>
                          </w:rPr>
                          <w:t>管控类别</w:t>
                        </w:r>
                      </w:p>
                    </w:tc>
                    <w:tc>
                      <w:tcPr>
                        <w:tcW w:w="518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51"/>
                          <w:ind w:left="2357" w:right="2357"/>
                          <w:jc w:val="center"/>
                          <w:rPr>
                            <w:b/>
                            <w:sz w:val="21"/>
                          </w:rPr>
                        </w:pPr>
                        <w:r>
                          <w:rPr>
                            <w:b/>
                            <w:sz w:val="21"/>
                          </w:rPr>
                          <w:t>要求</w:t>
                        </w:r>
                      </w:p>
                    </w:tc>
                    <w:tc>
                      <w:tcPr>
                        <w:tcW w:w="1796" w:type="dxa"/>
                        <w:tcBorders>
                          <w:top w:val="single" w:sz="12" w:space="0" w:color="000000"/>
                          <w:left w:val="single" w:sz="4" w:space="0" w:color="000000"/>
                          <w:bottom w:val="single" w:sz="4" w:space="0" w:color="000000"/>
                        </w:tcBorders>
                      </w:tcPr>
                      <w:p>
                        <w:pPr>
                          <w:pStyle w:val="TableParagraph"/>
                          <w:spacing w:before="151"/>
                          <w:ind w:left="324"/>
                          <w:rPr>
                            <w:b/>
                            <w:sz w:val="21"/>
                          </w:rPr>
                        </w:pPr>
                        <w:r>
                          <w:rPr>
                            <w:b/>
                            <w:sz w:val="21"/>
                          </w:rPr>
                          <w:t>相符性分析</w:t>
                        </w:r>
                      </w:p>
                    </w:tc>
                  </w:tr>
                  <w:tr>
                    <w:tblPrEx>
                      <w:tblW w:w="0" w:type="auto"/>
                      <w:jc w:val="left"/>
                      <w:tblInd w:w="10" w:type="dxa"/>
                      <w:tblLayout w:type="fixed"/>
                      <w:tblCellMar>
                        <w:top w:w="0" w:type="dxa"/>
                        <w:left w:w="0" w:type="dxa"/>
                        <w:bottom w:w="0" w:type="dxa"/>
                        <w:right w:w="0" w:type="dxa"/>
                      </w:tblCellMar>
                      <w:tblLook w:val="01E0"/>
                    </w:tblPrEx>
                    <w:trPr>
                      <w:trHeight w:val="262"/>
                      <w:jc w:val="left"/>
                    </w:trPr>
                    <w:tc>
                      <w:tcPr>
                        <w:tcW w:w="1044" w:type="dxa"/>
                        <w:vMerge/>
                        <w:tcBorders>
                          <w:top w:val="nil"/>
                          <w:right w:val="single" w:sz="4" w:space="0" w:color="000000"/>
                        </w:tcBorders>
                      </w:tcPr>
                      <w:p>
                        <w:pPr>
                          <w:rPr>
                            <w:sz w:val="2"/>
                            <w:szCs w:val="2"/>
                          </w:rPr>
                        </w:pPr>
                      </w:p>
                    </w:tc>
                    <w:tc>
                      <w:tcPr>
                        <w:tcW w:w="7995" w:type="dxa"/>
                        <w:gridSpan w:val="5"/>
                        <w:tcBorders>
                          <w:top w:val="single" w:sz="4" w:space="0" w:color="000000"/>
                          <w:left w:val="single" w:sz="4" w:space="0" w:color="000000"/>
                          <w:bottom w:val="single" w:sz="4" w:space="0" w:color="000000"/>
                        </w:tcBorders>
                      </w:tcPr>
                      <w:p>
                        <w:pPr>
                          <w:pStyle w:val="TableParagraph"/>
                          <w:spacing w:line="243" w:lineRule="exact"/>
                          <w:ind w:left="4" w:right="4"/>
                          <w:jc w:val="center"/>
                          <w:rPr>
                            <w:b/>
                            <w:sz w:val="21"/>
                          </w:rPr>
                        </w:pPr>
                        <w:r>
                          <w:rPr>
                            <w:b/>
                            <w:sz w:val="21"/>
                          </w:rPr>
                          <w:t>淮河流域</w:t>
                        </w:r>
                      </w:p>
                    </w:tc>
                  </w:tr>
                  <w:tr>
                    <w:tblPrEx>
                      <w:tblW w:w="0" w:type="auto"/>
                      <w:jc w:val="left"/>
                      <w:tblInd w:w="10" w:type="dxa"/>
                      <w:tblLayout w:type="fixed"/>
                      <w:tblCellMar>
                        <w:top w:w="0" w:type="dxa"/>
                        <w:left w:w="0" w:type="dxa"/>
                        <w:bottom w:w="0" w:type="dxa"/>
                        <w:right w:w="0" w:type="dxa"/>
                      </w:tblCellMar>
                      <w:tblLook w:val="01E0"/>
                    </w:tblPrEx>
                    <w:trPr>
                      <w:trHeight w:val="3258"/>
                      <w:jc w:val="left"/>
                    </w:trPr>
                    <w:tc>
                      <w:tcPr>
                        <w:tcW w:w="1044" w:type="dxa"/>
                        <w:vMerge/>
                        <w:tcBorders>
                          <w:top w:val="nil"/>
                          <w:right w:val="single" w:sz="4" w:space="0" w:color="000000"/>
                        </w:tcBorders>
                      </w:tcPr>
                      <w:p>
                        <w:pPr>
                          <w:rPr>
                            <w:sz w:val="2"/>
                            <w:szCs w:val="2"/>
                          </w:rPr>
                        </w:pPr>
                      </w:p>
                    </w:tc>
                    <w:tc>
                      <w:tcPr>
                        <w:tcW w:w="1012" w:type="dxa"/>
                        <w:gridSpan w:val="2"/>
                        <w:tcBorders>
                          <w:top w:val="single" w:sz="4" w:space="0" w:color="000000"/>
                          <w:left w:val="single" w:sz="4" w:space="0" w:color="000000"/>
                          <w:bottom w:val="single" w:sz="18"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5"/>
                          </w:rPr>
                        </w:pPr>
                      </w:p>
                      <w:p>
                        <w:pPr>
                          <w:pStyle w:val="TableParagraph"/>
                          <w:spacing w:line="242" w:lineRule="auto"/>
                          <w:ind w:left="180" w:right="159"/>
                          <w:rPr>
                            <w:sz w:val="21"/>
                          </w:rPr>
                        </w:pPr>
                        <w:r>
                          <w:rPr>
                            <w:sz w:val="21"/>
                          </w:rPr>
                          <w:t>空间布局约束</w:t>
                        </w:r>
                      </w:p>
                    </w:tc>
                    <w:tc>
                      <w:tcPr>
                        <w:tcW w:w="5187" w:type="dxa"/>
                        <w:gridSpan w:val="2"/>
                        <w:tcBorders>
                          <w:top w:val="single" w:sz="4" w:space="0" w:color="000000"/>
                          <w:left w:val="single" w:sz="4" w:space="0" w:color="000000"/>
                          <w:bottom w:val="single" w:sz="18" w:space="0" w:color="000000"/>
                          <w:right w:val="single" w:sz="4" w:space="0" w:color="000000"/>
                        </w:tcBorders>
                      </w:tcPr>
                      <w:p>
                        <w:pPr>
                          <w:pStyle w:val="TableParagraph"/>
                          <w:numPr>
                            <w:ilvl w:val="0"/>
                            <w:numId w:val="36"/>
                          </w:numPr>
                          <w:tabs>
                            <w:tab w:val="left" w:pos="273"/>
                          </w:tabs>
                          <w:spacing w:before="0" w:after="0" w:line="242" w:lineRule="auto"/>
                          <w:ind w:left="113" w:right="93" w:firstLine="0"/>
                          <w:jc w:val="both"/>
                          <w:rPr>
                            <w:sz w:val="21"/>
                          </w:rPr>
                        </w:pPr>
                        <w:r>
                          <w:rPr>
                            <w:spacing w:val="-1"/>
                            <w:w w:val="95"/>
                            <w:sz w:val="21"/>
                          </w:rPr>
                          <w:t xml:space="preserve">禁止在淮河流域新建化学制浆造纸企业，禁止在淮河 </w:t>
                        </w:r>
                        <w:r>
                          <w:rPr>
                            <w:spacing w:val="-8"/>
                            <w:w w:val="95"/>
                            <w:sz w:val="21"/>
                          </w:rPr>
                          <w:t xml:space="preserve">流域新建制革、化工、印染、电镀、酿造等污染严重的 </w:t>
                        </w:r>
                        <w:r>
                          <w:rPr>
                            <w:spacing w:val="-8"/>
                            <w:sz w:val="21"/>
                          </w:rPr>
                          <w:t>小型企业。</w:t>
                        </w:r>
                      </w:p>
                      <w:p>
                        <w:pPr>
                          <w:pStyle w:val="TableParagraph"/>
                          <w:numPr>
                            <w:ilvl w:val="0"/>
                            <w:numId w:val="36"/>
                          </w:numPr>
                          <w:tabs>
                            <w:tab w:val="left" w:pos="275"/>
                          </w:tabs>
                          <w:spacing w:before="0" w:after="0" w:line="242" w:lineRule="auto"/>
                          <w:ind w:left="113" w:right="23" w:firstLine="0"/>
                          <w:jc w:val="left"/>
                          <w:rPr>
                            <w:sz w:val="21"/>
                          </w:rPr>
                        </w:pPr>
                        <w:r>
                          <w:rPr>
                            <w:spacing w:val="4"/>
                            <w:sz w:val="21"/>
                          </w:rPr>
                          <w:t>落实《江苏省通榆河水污染防治条例》，在通榆河</w:t>
                        </w:r>
                        <w:r>
                          <w:rPr>
                            <w:rFonts w:ascii="Times New Roman" w:eastAsia="Times New Roman"/>
                            <w:sz w:val="21"/>
                          </w:rPr>
                          <w:t xml:space="preserve">- </w:t>
                        </w:r>
                        <w:r>
                          <w:rPr>
                            <w:w w:val="95"/>
                            <w:sz w:val="21"/>
                          </w:rPr>
                          <w:t xml:space="preserve">级保护区、二级保护区，禁止新建、改建、扩建制浆、 造纸、化工、制革、酿造、染料、印染、电镀、炼油、 </w:t>
                        </w:r>
                        <w:r>
                          <w:rPr>
                            <w:spacing w:val="6"/>
                            <w:sz w:val="21"/>
                          </w:rPr>
                          <w:t>铅酸蓄电池和排放水污染物的黑色金属冶炼及压延加</w:t>
                        </w:r>
                        <w:r>
                          <w:rPr>
                            <w:spacing w:val="-6"/>
                            <w:sz w:val="21"/>
                          </w:rPr>
                          <w:t>工项目、有色金属冶炼及压延加工项目、金属制品项目等污染环境的项目。</w:t>
                        </w:r>
                      </w:p>
                      <w:p>
                        <w:pPr>
                          <w:pStyle w:val="TableParagraph"/>
                          <w:numPr>
                            <w:ilvl w:val="0"/>
                            <w:numId w:val="36"/>
                          </w:numPr>
                          <w:tabs>
                            <w:tab w:val="left" w:pos="273"/>
                          </w:tabs>
                          <w:spacing w:before="0" w:after="0" w:line="240" w:lineRule="auto"/>
                          <w:ind w:left="272" w:right="0" w:hanging="160"/>
                          <w:jc w:val="left"/>
                          <w:rPr>
                            <w:sz w:val="21"/>
                          </w:rPr>
                        </w:pPr>
                        <w:r>
                          <w:rPr>
                            <w:sz w:val="21"/>
                          </w:rPr>
                          <w:t>在通榆河</w:t>
                        </w:r>
                        <w:r>
                          <w:rPr>
                            <w:rFonts w:ascii="Times New Roman" w:eastAsia="Times New Roman"/>
                            <w:sz w:val="21"/>
                          </w:rPr>
                          <w:t>-</w:t>
                        </w:r>
                        <w:r>
                          <w:rPr>
                            <w:spacing w:val="-10"/>
                            <w:sz w:val="21"/>
                          </w:rPr>
                          <w:t>级保护区，禁止新建、扩建直接或者间接向</w:t>
                        </w:r>
                      </w:p>
                      <w:p>
                        <w:pPr>
                          <w:pStyle w:val="TableParagraph"/>
                          <w:spacing w:before="3" w:line="270" w:lineRule="atLeast"/>
                          <w:ind w:left="113" w:right="-15"/>
                          <w:rPr>
                            <w:sz w:val="21"/>
                          </w:rPr>
                        </w:pPr>
                        <w:r>
                          <w:rPr>
                            <w:spacing w:val="-7"/>
                            <w:sz w:val="21"/>
                          </w:rPr>
                          <w:t>水体排放污染物的项目，禁止建设工业固体废物集中贮</w:t>
                        </w:r>
                        <w:r>
                          <w:rPr>
                            <w:spacing w:val="-15"/>
                            <w:w w:val="95"/>
                            <w:sz w:val="21"/>
                          </w:rPr>
                          <w:t>存、利用、处置设施或者场所以及城市生活垃圾填埋场，</w:t>
                        </w:r>
                      </w:p>
                    </w:tc>
                    <w:tc>
                      <w:tcPr>
                        <w:tcW w:w="1796" w:type="dxa"/>
                        <w:tcBorders>
                          <w:top w:val="single" w:sz="4" w:space="0" w:color="000000"/>
                          <w:left w:val="single" w:sz="4" w:space="0" w:color="000000"/>
                          <w:bottom w:val="single" w:sz="1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79" w:line="242" w:lineRule="auto"/>
                          <w:ind w:left="113" w:right="126"/>
                          <w:jc w:val="both"/>
                          <w:rPr>
                            <w:sz w:val="21"/>
                          </w:rPr>
                        </w:pPr>
                        <w:r>
                          <w:rPr>
                            <w:spacing w:val="-27"/>
                            <w:sz w:val="21"/>
                          </w:rPr>
                          <w:t>本 项 目 为 串 通</w:t>
                        </w:r>
                        <w:r>
                          <w:rPr>
                            <w:spacing w:val="4"/>
                            <w:sz w:val="21"/>
                          </w:rPr>
                          <w:t>河</w:t>
                        </w:r>
                        <w:r>
                          <w:rPr>
                            <w:spacing w:val="16"/>
                            <w:sz w:val="21"/>
                          </w:rPr>
                          <w:t>（</w:t>
                        </w:r>
                        <w:r>
                          <w:rPr>
                            <w:spacing w:val="17"/>
                            <w:sz w:val="21"/>
                          </w:rPr>
                          <w:t>阜宁段</w:t>
                        </w:r>
                        <w:r>
                          <w:rPr>
                            <w:spacing w:val="4"/>
                            <w:sz w:val="21"/>
                          </w:rPr>
                          <w:t>）</w:t>
                        </w:r>
                        <w:r>
                          <w:rPr>
                            <w:spacing w:val="-16"/>
                            <w:sz w:val="21"/>
                          </w:rPr>
                          <w:t>整</w:t>
                        </w:r>
                        <w:r>
                          <w:rPr>
                            <w:spacing w:val="7"/>
                            <w:sz w:val="21"/>
                          </w:rPr>
                          <w:t>治工程，不涉及管控要求，符合</w:t>
                        </w:r>
                        <w:r>
                          <w:rPr>
                            <w:spacing w:val="12"/>
                            <w:sz w:val="21"/>
                          </w:rPr>
                          <w:t>文件要求。</w:t>
                        </w:r>
                      </w:p>
                    </w:tc>
                  </w:tr>
                </w:tbl>
                <w:p>
                  <w:pPr>
                    <w:pStyle w:val="BodyText"/>
                  </w:pP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2"/>
        </w:rPr>
      </w:pPr>
    </w:p>
    <w:p>
      <w:pPr>
        <w:spacing w:before="76"/>
        <w:ind w:left="0" w:right="168" w:firstLine="0"/>
        <w:jc w:val="right"/>
        <w:rPr>
          <w:sz w:val="21"/>
        </w:rPr>
      </w:pPr>
      <w:r>
        <w:rPr>
          <w:color w:val="FF0000"/>
          <w:w w:val="99"/>
          <w:sz w:val="21"/>
        </w:rPr>
        <w:t>，</w:t>
      </w:r>
    </w:p>
    <w:p>
      <w:pPr>
        <w:spacing w:after="0"/>
        <w:jc w:val="right"/>
        <w:rPr>
          <w:sz w:val="21"/>
        </w:rPr>
        <w:sectPr>
          <w:headerReference w:type="default" r:id="rId18"/>
          <w:footerReference w:type="default" r:id="rId19"/>
          <w:pgSz w:w="11910" w:h="16840"/>
          <w:pgMar w:top="1340" w:right="1120" w:bottom="1240" w:left="1220" w:header="891" w:footer="969"/>
          <w:pgNumType w:start="8"/>
          <w:cols w:space="708"/>
        </w:sectPr>
      </w:pPr>
    </w:p>
    <w:p>
      <w:pPr>
        <w:pStyle w:val="BodyText"/>
        <w:rPr>
          <w:rFonts w:ascii="Times New Roman"/>
          <w:sz w:val="20"/>
        </w:rPr>
      </w:pPr>
    </w:p>
    <w:p>
      <w:pPr>
        <w:pStyle w:val="BodyText"/>
        <w:spacing w:before="11"/>
        <w:rPr>
          <w:rFonts w:ascii="Times New Roman"/>
          <w:sz w:val="10"/>
        </w:rPr>
      </w:pPr>
    </w:p>
    <w:tbl>
      <w:tblPr>
        <w:tblStyle w:val="TableNormal4"/>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1012"/>
        <w:gridCol w:w="4491"/>
        <w:gridCol w:w="696"/>
        <w:gridCol w:w="1796"/>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83"/>
          <w:jc w:val="left"/>
        </w:trPr>
        <w:tc>
          <w:tcPr>
            <w:tcW w:w="1044" w:type="dxa"/>
            <w:vMerge w:val="restart"/>
            <w:tcBorders>
              <w:right w:val="single" w:sz="4" w:space="0" w:color="000000"/>
            </w:tcBorders>
          </w:tcPr>
          <w:p>
            <w:pPr>
              <w:pStyle w:val="TableParagraph"/>
              <w:rPr>
                <w:rFonts w:ascii="Times New Roman"/>
                <w:sz w:val="20"/>
              </w:rPr>
            </w:pPr>
          </w:p>
        </w:tc>
        <w:tc>
          <w:tcPr>
            <w:tcW w:w="1012"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187" w:type="dxa"/>
            <w:gridSpan w:val="2"/>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113"/>
              <w:rPr>
                <w:sz w:val="21"/>
              </w:rPr>
            </w:pPr>
            <w:r>
              <w:rPr>
                <w:sz w:val="21"/>
              </w:rPr>
              <w:t>禁止新建规模化畜禽养殖场。</w:t>
            </w:r>
          </w:p>
        </w:tc>
        <w:tc>
          <w:tcPr>
            <w:tcW w:w="1796" w:type="dxa"/>
            <w:vMerge w:val="restart"/>
            <w:tcBorders>
              <w:top w:val="thinThickMediumGap" w:sz="6" w:space="0" w:color="000000"/>
              <w:left w:val="single" w:sz="4" w:space="0" w:color="000000"/>
              <w:bottom w:val="single" w:sz="12" w:space="0" w:color="000000"/>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797"/>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80" w:right="159"/>
              <w:jc w:val="center"/>
              <w:rPr>
                <w:sz w:val="21"/>
              </w:rPr>
            </w:pPr>
            <w:r>
              <w:rPr>
                <w:sz w:val="21"/>
              </w:rPr>
              <w:t>污染物排放管</w:t>
            </w:r>
          </w:p>
          <w:p>
            <w:pPr>
              <w:pStyle w:val="TableParagraph"/>
              <w:spacing w:line="242" w:lineRule="exact"/>
              <w:ind w:left="18"/>
              <w:jc w:val="center"/>
              <w:rPr>
                <w:sz w:val="21"/>
              </w:rPr>
            </w:pPr>
            <w:r>
              <w:rPr>
                <w:w w:val="99"/>
                <w:sz w:val="21"/>
              </w:rPr>
              <w:t>控</w:t>
            </w:r>
          </w:p>
        </w:tc>
        <w:tc>
          <w:tcPr>
            <w:tcW w:w="518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6" w:line="244" w:lineRule="auto"/>
              <w:ind w:left="113" w:right="93"/>
              <w:rPr>
                <w:sz w:val="21"/>
              </w:rPr>
            </w:pPr>
            <w:r>
              <w:rPr>
                <w:spacing w:val="-8"/>
                <w:w w:val="95"/>
                <w:sz w:val="21"/>
              </w:rPr>
              <w:t xml:space="preserve">按照《淮河流域水污染防治暂行条例》实施排污总量控 </w:t>
            </w:r>
            <w:r>
              <w:rPr>
                <w:spacing w:val="-8"/>
                <w:sz w:val="21"/>
              </w:rPr>
              <w:t>制制度。</w:t>
            </w:r>
          </w:p>
        </w:tc>
        <w:tc>
          <w:tcPr>
            <w:tcW w:w="1796"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59"/>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nil"/>
              <w:right w:val="single" w:sz="4" w:space="0" w:color="000000"/>
            </w:tcBorders>
          </w:tcPr>
          <w:p>
            <w:pPr>
              <w:pStyle w:val="TableParagraph"/>
              <w:spacing w:before="2" w:line="237" w:lineRule="exact"/>
              <w:ind w:left="175" w:right="157"/>
              <w:jc w:val="center"/>
              <w:rPr>
                <w:sz w:val="21"/>
              </w:rPr>
            </w:pPr>
            <w:r>
              <w:rPr>
                <w:sz w:val="21"/>
              </w:rPr>
              <w:t>环境风</w:t>
            </w:r>
          </w:p>
        </w:tc>
        <w:tc>
          <w:tcPr>
            <w:tcW w:w="5187" w:type="dxa"/>
            <w:gridSpan w:val="2"/>
            <w:tcBorders>
              <w:top w:val="single" w:sz="4" w:space="0" w:color="000000"/>
              <w:left w:val="single" w:sz="4" w:space="0" w:color="000000"/>
              <w:bottom w:val="nil"/>
              <w:right w:val="single" w:sz="4" w:space="0" w:color="000000"/>
            </w:tcBorders>
          </w:tcPr>
          <w:p>
            <w:pPr>
              <w:pStyle w:val="TableParagraph"/>
              <w:spacing w:before="2" w:line="237" w:lineRule="exact"/>
              <w:ind w:left="113"/>
              <w:rPr>
                <w:sz w:val="21"/>
              </w:rPr>
            </w:pPr>
            <w:r>
              <w:rPr>
                <w:sz w:val="21"/>
              </w:rPr>
              <w:t>禁止运输剧毒化学品以及国家规定禁止通过内河运输</w:t>
            </w:r>
          </w:p>
        </w:tc>
        <w:tc>
          <w:tcPr>
            <w:tcW w:w="1796"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59"/>
          <w:jc w:val="left"/>
        </w:trPr>
        <w:tc>
          <w:tcPr>
            <w:tcW w:w="1044" w:type="dxa"/>
            <w:vMerge/>
            <w:tcBorders>
              <w:top w:val="nil"/>
              <w:right w:val="single" w:sz="4" w:space="0" w:color="000000"/>
            </w:tcBorders>
          </w:tcPr>
          <w:p>
            <w:pPr>
              <w:rPr>
                <w:sz w:val="2"/>
                <w:szCs w:val="2"/>
              </w:rPr>
            </w:pPr>
          </w:p>
        </w:tc>
        <w:tc>
          <w:tcPr>
            <w:tcW w:w="1012" w:type="dxa"/>
            <w:tcBorders>
              <w:top w:val="nil"/>
              <w:left w:val="single" w:sz="4" w:space="0" w:color="000000"/>
              <w:bottom w:val="single" w:sz="4" w:space="0" w:color="000000"/>
              <w:right w:val="single" w:sz="4" w:space="0" w:color="000000"/>
            </w:tcBorders>
          </w:tcPr>
          <w:p>
            <w:pPr>
              <w:pStyle w:val="TableParagraph"/>
              <w:spacing w:line="240" w:lineRule="exact"/>
              <w:ind w:left="175" w:right="157"/>
              <w:jc w:val="center"/>
              <w:rPr>
                <w:sz w:val="21"/>
              </w:rPr>
            </w:pPr>
            <w:r>
              <w:rPr>
                <w:sz w:val="21"/>
              </w:rPr>
              <w:t>险防控</w:t>
            </w:r>
          </w:p>
        </w:tc>
        <w:tc>
          <w:tcPr>
            <w:tcW w:w="5187" w:type="dxa"/>
            <w:gridSpan w:val="2"/>
            <w:tcBorders>
              <w:top w:val="nil"/>
              <w:left w:val="single" w:sz="4" w:space="0" w:color="000000"/>
              <w:bottom w:val="single" w:sz="4" w:space="0" w:color="000000"/>
              <w:right w:val="single" w:sz="4" w:space="0" w:color="000000"/>
            </w:tcBorders>
          </w:tcPr>
          <w:p>
            <w:pPr>
              <w:pStyle w:val="TableParagraph"/>
              <w:spacing w:line="240" w:lineRule="exact"/>
              <w:ind w:left="113"/>
              <w:rPr>
                <w:sz w:val="21"/>
              </w:rPr>
            </w:pPr>
            <w:r>
              <w:rPr>
                <w:sz w:val="21"/>
              </w:rPr>
              <w:t>的其他危险化学品的船舶进入通榆河及主要供水河道。</w:t>
            </w:r>
          </w:p>
        </w:tc>
        <w:tc>
          <w:tcPr>
            <w:tcW w:w="1796"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1037"/>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single" w:sz="12" w:space="0" w:color="000000"/>
              <w:right w:val="single" w:sz="4" w:space="0" w:color="000000"/>
            </w:tcBorders>
          </w:tcPr>
          <w:p>
            <w:pPr>
              <w:pStyle w:val="TableParagraph"/>
              <w:spacing w:before="105" w:line="242" w:lineRule="auto"/>
              <w:ind w:left="180" w:right="159"/>
              <w:jc w:val="both"/>
              <w:rPr>
                <w:sz w:val="21"/>
              </w:rPr>
            </w:pPr>
            <w:r>
              <w:rPr>
                <w:sz w:val="21"/>
              </w:rPr>
              <w:t>资源开发效率要求</w:t>
            </w:r>
          </w:p>
        </w:tc>
        <w:tc>
          <w:tcPr>
            <w:tcW w:w="5187" w:type="dxa"/>
            <w:gridSpan w:val="2"/>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1"/>
              </w:rPr>
            </w:pPr>
          </w:p>
          <w:p>
            <w:pPr>
              <w:pStyle w:val="TableParagraph"/>
              <w:spacing w:line="242" w:lineRule="auto"/>
              <w:ind w:left="113" w:right="93"/>
              <w:rPr>
                <w:sz w:val="21"/>
              </w:rPr>
            </w:pPr>
            <w:r>
              <w:rPr>
                <w:spacing w:val="-5"/>
                <w:w w:val="95"/>
                <w:sz w:val="21"/>
              </w:rPr>
              <w:t xml:space="preserve">限制缺水地区发展耗水型产业，调整缺水地区的产业结 </w:t>
            </w:r>
            <w:r>
              <w:rPr>
                <w:spacing w:val="-5"/>
                <w:sz w:val="21"/>
              </w:rPr>
              <w:t>构，严格控制高耗水、高耗能和重污染的建设项目。</w:t>
            </w:r>
          </w:p>
        </w:tc>
        <w:tc>
          <w:tcPr>
            <w:tcW w:w="1796"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467"/>
          <w:jc w:val="left"/>
        </w:trPr>
        <w:tc>
          <w:tcPr>
            <w:tcW w:w="1044" w:type="dxa"/>
            <w:vMerge/>
            <w:tcBorders>
              <w:top w:val="nil"/>
              <w:right w:val="single" w:sz="4" w:space="0" w:color="000000"/>
            </w:tcBorders>
          </w:tcPr>
          <w:p>
            <w:pPr>
              <w:rPr>
                <w:sz w:val="2"/>
                <w:szCs w:val="2"/>
              </w:rPr>
            </w:pPr>
          </w:p>
        </w:tc>
        <w:tc>
          <w:tcPr>
            <w:tcW w:w="7995" w:type="dxa"/>
            <w:gridSpan w:val="4"/>
            <w:tcBorders>
              <w:top w:val="single" w:sz="12" w:space="0" w:color="000000"/>
              <w:left w:val="single" w:sz="4" w:space="0" w:color="000000"/>
              <w:bottom w:val="single" w:sz="12" w:space="0" w:color="000000"/>
            </w:tcBorders>
          </w:tcPr>
          <w:p>
            <w:pPr>
              <w:pStyle w:val="TableParagraph"/>
              <w:spacing w:before="3"/>
              <w:ind w:left="507" w:right="4"/>
              <w:jc w:val="center"/>
              <w:rPr>
                <w:b/>
                <w:sz w:val="24"/>
              </w:rPr>
            </w:pPr>
            <w:r>
              <w:rPr>
                <w:b/>
                <w:sz w:val="24"/>
              </w:rPr>
              <w:t xml:space="preserve">表 </w:t>
            </w:r>
            <w:r>
              <w:rPr>
                <w:rFonts w:ascii="Times New Roman" w:eastAsia="Times New Roman"/>
                <w:b/>
                <w:sz w:val="24"/>
              </w:rPr>
              <w:t xml:space="preserve">1-4 </w:t>
            </w:r>
            <w:r>
              <w:rPr>
                <w:b/>
                <w:sz w:val="24"/>
              </w:rPr>
              <w:t>环境管控单元准入清单表</w:t>
            </w:r>
          </w:p>
        </w:tc>
      </w:tr>
      <w:tr>
        <w:tblPrEx>
          <w:tblW w:w="0" w:type="auto"/>
          <w:jc w:val="left"/>
          <w:tblInd w:w="321" w:type="dxa"/>
          <w:tblLayout w:type="fixed"/>
          <w:tblCellMar>
            <w:top w:w="0" w:type="dxa"/>
            <w:left w:w="0" w:type="dxa"/>
            <w:bottom w:w="0" w:type="dxa"/>
            <w:right w:w="0" w:type="dxa"/>
          </w:tblCellMar>
          <w:tblLook w:val="01E0"/>
        </w:tblPrEx>
        <w:trPr>
          <w:trHeight w:val="274"/>
          <w:jc w:val="left"/>
        </w:trPr>
        <w:tc>
          <w:tcPr>
            <w:tcW w:w="1044" w:type="dxa"/>
            <w:vMerge/>
            <w:tcBorders>
              <w:top w:val="nil"/>
              <w:right w:val="single" w:sz="4" w:space="0" w:color="000000"/>
            </w:tcBorders>
          </w:tcPr>
          <w:p>
            <w:pPr>
              <w:rPr>
                <w:sz w:val="2"/>
                <w:szCs w:val="2"/>
              </w:rPr>
            </w:pPr>
          </w:p>
        </w:tc>
        <w:tc>
          <w:tcPr>
            <w:tcW w:w="1012" w:type="dxa"/>
            <w:tcBorders>
              <w:top w:val="single" w:sz="12" w:space="0" w:color="000000"/>
              <w:left w:val="single" w:sz="4" w:space="0" w:color="000000"/>
              <w:bottom w:val="nil"/>
              <w:right w:val="single" w:sz="4" w:space="0" w:color="000000"/>
            </w:tcBorders>
          </w:tcPr>
          <w:p>
            <w:pPr>
              <w:pStyle w:val="TableParagraph"/>
              <w:spacing w:before="14" w:line="240" w:lineRule="exact"/>
              <w:ind w:left="174" w:right="159"/>
              <w:jc w:val="center"/>
              <w:rPr>
                <w:b/>
                <w:sz w:val="21"/>
              </w:rPr>
            </w:pPr>
            <w:r>
              <w:rPr>
                <w:b/>
                <w:sz w:val="21"/>
              </w:rPr>
              <w:t>管控</w:t>
            </w:r>
          </w:p>
        </w:tc>
        <w:tc>
          <w:tcPr>
            <w:tcW w:w="4491"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48"/>
              <w:ind w:left="2009" w:right="2009"/>
              <w:jc w:val="center"/>
              <w:rPr>
                <w:b/>
                <w:sz w:val="21"/>
              </w:rPr>
            </w:pPr>
            <w:r>
              <w:rPr>
                <w:b/>
                <w:sz w:val="21"/>
              </w:rPr>
              <w:t>要求</w:t>
            </w:r>
          </w:p>
        </w:tc>
        <w:tc>
          <w:tcPr>
            <w:tcW w:w="2492" w:type="dxa"/>
            <w:gridSpan w:val="2"/>
            <w:vMerge w:val="restart"/>
            <w:tcBorders>
              <w:top w:val="single" w:sz="12" w:space="0" w:color="000000"/>
              <w:left w:val="single" w:sz="4" w:space="0" w:color="000000"/>
              <w:bottom w:val="single" w:sz="4" w:space="0" w:color="000000"/>
            </w:tcBorders>
          </w:tcPr>
          <w:p>
            <w:pPr>
              <w:pStyle w:val="TableParagraph"/>
              <w:spacing w:before="148"/>
              <w:ind w:left="674"/>
              <w:rPr>
                <w:b/>
                <w:sz w:val="21"/>
              </w:rPr>
            </w:pPr>
            <w:r>
              <w:rPr>
                <w:b/>
                <w:sz w:val="21"/>
              </w:rPr>
              <w:t>相符性分析</w:t>
            </w:r>
          </w:p>
        </w:tc>
      </w:tr>
      <w:tr>
        <w:tblPrEx>
          <w:tblW w:w="0" w:type="auto"/>
          <w:jc w:val="left"/>
          <w:tblInd w:w="321" w:type="dxa"/>
          <w:tblLayout w:type="fixed"/>
          <w:tblCellMar>
            <w:top w:w="0" w:type="dxa"/>
            <w:left w:w="0" w:type="dxa"/>
            <w:bottom w:w="0" w:type="dxa"/>
            <w:right w:w="0" w:type="dxa"/>
          </w:tblCellMar>
          <w:tblLook w:val="01E0"/>
        </w:tblPrEx>
        <w:trPr>
          <w:trHeight w:val="271"/>
          <w:jc w:val="left"/>
        </w:trPr>
        <w:tc>
          <w:tcPr>
            <w:tcW w:w="1044" w:type="dxa"/>
            <w:vMerge/>
            <w:tcBorders>
              <w:top w:val="nil"/>
              <w:right w:val="single" w:sz="4" w:space="0" w:color="000000"/>
            </w:tcBorders>
          </w:tcPr>
          <w:p>
            <w:pPr>
              <w:rPr>
                <w:sz w:val="2"/>
                <w:szCs w:val="2"/>
              </w:rPr>
            </w:pPr>
          </w:p>
        </w:tc>
        <w:tc>
          <w:tcPr>
            <w:tcW w:w="1012" w:type="dxa"/>
            <w:tcBorders>
              <w:top w:val="nil"/>
              <w:left w:val="single" w:sz="4" w:space="0" w:color="000000"/>
              <w:bottom w:val="single" w:sz="4" w:space="0" w:color="000000"/>
              <w:right w:val="single" w:sz="4" w:space="0" w:color="000000"/>
            </w:tcBorders>
          </w:tcPr>
          <w:p>
            <w:pPr>
              <w:pStyle w:val="TableParagraph"/>
              <w:spacing w:line="252" w:lineRule="exact"/>
              <w:ind w:left="174" w:right="159"/>
              <w:jc w:val="center"/>
              <w:rPr>
                <w:b/>
                <w:sz w:val="21"/>
              </w:rPr>
            </w:pPr>
            <w:r>
              <w:rPr>
                <w:b/>
                <w:sz w:val="21"/>
              </w:rPr>
              <w:t>类别</w:t>
            </w:r>
          </w:p>
        </w:tc>
        <w:tc>
          <w:tcPr>
            <w:tcW w:w="4491" w:type="dxa"/>
            <w:vMerge/>
            <w:tcBorders>
              <w:top w:val="nil"/>
              <w:left w:val="single" w:sz="4" w:space="0" w:color="000000"/>
              <w:bottom w:val="single" w:sz="4" w:space="0" w:color="000000"/>
              <w:right w:val="single" w:sz="4" w:space="0" w:color="000000"/>
            </w:tcBorders>
          </w:tcPr>
          <w:p>
            <w:pPr>
              <w:rPr>
                <w:sz w:val="2"/>
                <w:szCs w:val="2"/>
              </w:rPr>
            </w:pPr>
          </w:p>
        </w:tc>
        <w:tc>
          <w:tcPr>
            <w:tcW w:w="2492" w:type="dxa"/>
            <w:gridSpan w:val="2"/>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162"/>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2"/>
              </w:rPr>
            </w:pPr>
          </w:p>
          <w:p>
            <w:pPr>
              <w:pStyle w:val="TableParagraph"/>
              <w:spacing w:line="242" w:lineRule="auto"/>
              <w:ind w:left="180" w:right="159"/>
              <w:rPr>
                <w:sz w:val="21"/>
              </w:rPr>
            </w:pPr>
            <w:r>
              <w:rPr>
                <w:sz w:val="21"/>
              </w:rPr>
              <w:t>空间布局约束</w:t>
            </w:r>
          </w:p>
        </w:tc>
        <w:tc>
          <w:tcPr>
            <w:tcW w:w="4491" w:type="dxa"/>
            <w:tcBorders>
              <w:top w:val="single" w:sz="4" w:space="0" w:color="000000"/>
              <w:left w:val="single" w:sz="4" w:space="0" w:color="000000"/>
              <w:bottom w:val="nil"/>
              <w:right w:val="single" w:sz="4" w:space="0" w:color="000000"/>
            </w:tcBorders>
          </w:tcPr>
          <w:p>
            <w:pPr>
              <w:pStyle w:val="TableParagraph"/>
              <w:numPr>
                <w:ilvl w:val="0"/>
                <w:numId w:val="35"/>
              </w:numPr>
              <w:tabs>
                <w:tab w:val="left" w:pos="678"/>
              </w:tabs>
              <w:spacing w:before="0" w:after="0" w:line="242" w:lineRule="auto"/>
              <w:ind w:left="113" w:right="110" w:firstLine="0"/>
              <w:jc w:val="left"/>
              <w:rPr>
                <w:sz w:val="21"/>
              </w:rPr>
            </w:pPr>
            <w:r>
              <w:rPr>
                <w:spacing w:val="15"/>
                <w:sz w:val="21"/>
              </w:rPr>
              <w:t>各类开发建设活动应符合盐城市总体</w:t>
            </w:r>
            <w:r>
              <w:rPr>
                <w:spacing w:val="11"/>
                <w:w w:val="95"/>
                <w:sz w:val="21"/>
              </w:rPr>
              <w:t>规划、控制性详细规划、土地利用规划等相</w:t>
            </w:r>
            <w:r>
              <w:rPr>
                <w:spacing w:val="12"/>
                <w:sz w:val="21"/>
              </w:rPr>
              <w:t>关要求。</w:t>
            </w:r>
          </w:p>
          <w:p>
            <w:pPr>
              <w:pStyle w:val="TableParagraph"/>
              <w:numPr>
                <w:ilvl w:val="0"/>
                <w:numId w:val="35"/>
              </w:numPr>
              <w:tabs>
                <w:tab w:val="left" w:pos="678"/>
              </w:tabs>
              <w:spacing w:before="0" w:after="0" w:line="242" w:lineRule="auto"/>
              <w:ind w:left="113" w:right="201" w:firstLine="0"/>
              <w:jc w:val="left"/>
              <w:rPr>
                <w:sz w:val="21"/>
              </w:rPr>
            </w:pPr>
            <w:r>
              <w:rPr>
                <w:spacing w:val="15"/>
                <w:w w:val="95"/>
                <w:sz w:val="21"/>
              </w:rPr>
              <w:t>禁止引进列入《盐城市化工产业结构</w:t>
            </w:r>
            <w:r>
              <w:rPr>
                <w:spacing w:val="16"/>
                <w:sz w:val="21"/>
              </w:rPr>
              <w:t>调整指导目录</w:t>
            </w:r>
            <w:r>
              <w:rPr>
                <w:spacing w:val="7"/>
                <w:sz w:val="21"/>
              </w:rPr>
              <w:t>（</w:t>
            </w:r>
            <w:r>
              <w:rPr>
                <w:rFonts w:ascii="Times New Roman" w:eastAsia="Times New Roman"/>
                <w:spacing w:val="7"/>
                <w:sz w:val="21"/>
              </w:rPr>
              <w:t>2015</w:t>
            </w:r>
            <w:r>
              <w:rPr>
                <w:rFonts w:ascii="Times New Roman" w:eastAsia="Times New Roman"/>
                <w:spacing w:val="6"/>
                <w:sz w:val="21"/>
              </w:rPr>
              <w:t xml:space="preserve"> </w:t>
            </w:r>
            <w:r>
              <w:rPr>
                <w:spacing w:val="16"/>
                <w:sz w:val="21"/>
              </w:rPr>
              <w:t>年本）</w:t>
            </w:r>
            <w:r>
              <w:rPr>
                <w:spacing w:val="19"/>
                <w:sz w:val="21"/>
              </w:rPr>
              <w:t>》</w:t>
            </w:r>
            <w:r>
              <w:rPr>
                <w:spacing w:val="16"/>
                <w:sz w:val="21"/>
              </w:rPr>
              <w:t>（</w:t>
            </w:r>
            <w:r>
              <w:rPr>
                <w:spacing w:val="12"/>
                <w:sz w:val="21"/>
              </w:rPr>
              <w:t>盐政办发</w:t>
            </w:r>
          </w:p>
          <w:p>
            <w:pPr>
              <w:pStyle w:val="TableParagraph"/>
              <w:ind w:left="113"/>
              <w:rPr>
                <w:sz w:val="21"/>
              </w:rPr>
            </w:pPr>
            <w:r>
              <w:rPr>
                <w:sz w:val="21"/>
              </w:rPr>
              <w:t>〔</w:t>
            </w:r>
            <w:r>
              <w:rPr>
                <w:rFonts w:ascii="Times New Roman" w:eastAsia="Times New Roman"/>
                <w:sz w:val="21"/>
              </w:rPr>
              <w:t>2015</w:t>
            </w:r>
            <w:r>
              <w:rPr>
                <w:sz w:val="21"/>
              </w:rPr>
              <w:t>〕</w:t>
            </w:r>
            <w:r>
              <w:rPr>
                <w:rFonts w:ascii="Times New Roman" w:eastAsia="Times New Roman"/>
                <w:sz w:val="21"/>
              </w:rPr>
              <w:t xml:space="preserve">7 </w:t>
            </w:r>
            <w:r>
              <w:rPr>
                <w:sz w:val="21"/>
              </w:rPr>
              <w:t>号）淘汰类的产业。</w:t>
            </w:r>
          </w:p>
          <w:p>
            <w:pPr>
              <w:pStyle w:val="TableParagraph"/>
              <w:numPr>
                <w:ilvl w:val="0"/>
                <w:numId w:val="35"/>
              </w:numPr>
              <w:tabs>
                <w:tab w:val="left" w:pos="678"/>
              </w:tabs>
              <w:spacing w:before="0" w:after="0" w:line="240" w:lineRule="auto"/>
              <w:ind w:left="677" w:right="0" w:hanging="565"/>
              <w:jc w:val="left"/>
              <w:rPr>
                <w:sz w:val="21"/>
              </w:rPr>
            </w:pPr>
            <w:r>
              <w:rPr>
                <w:spacing w:val="15"/>
                <w:w w:val="95"/>
                <w:sz w:val="21"/>
              </w:rPr>
              <w:t>位于通榆河保护区的建设项目，符合</w:t>
            </w:r>
          </w:p>
          <w:p>
            <w:pPr>
              <w:pStyle w:val="TableParagraph"/>
              <w:spacing w:before="5" w:line="240" w:lineRule="exact"/>
              <w:ind w:left="113"/>
              <w:rPr>
                <w:sz w:val="21"/>
              </w:rPr>
            </w:pPr>
            <w:r>
              <w:rPr>
                <w:spacing w:val="13"/>
                <w:w w:val="95"/>
                <w:sz w:val="21"/>
              </w:rPr>
              <w:t>《江苏省通榆河水污染防治条例》等相关要</w:t>
            </w:r>
          </w:p>
        </w:tc>
        <w:tc>
          <w:tcPr>
            <w:tcW w:w="2492" w:type="dxa"/>
            <w:gridSpan w:val="2"/>
            <w:tcBorders>
              <w:top w:val="single" w:sz="4" w:space="0" w:color="000000"/>
              <w:left w:val="single" w:sz="4" w:space="0" w:color="000000"/>
              <w:bottom w:val="nil"/>
            </w:tcBorders>
          </w:tcPr>
          <w:p>
            <w:pPr>
              <w:pStyle w:val="TableParagraph"/>
              <w:rPr>
                <w:rFonts w:ascii="Times New Roman"/>
                <w:sz w:val="20"/>
              </w:rPr>
            </w:pPr>
          </w:p>
          <w:p>
            <w:pPr>
              <w:pStyle w:val="TableParagraph"/>
              <w:spacing w:before="172" w:line="242" w:lineRule="auto"/>
              <w:ind w:left="113" w:right="120"/>
              <w:jc w:val="both"/>
              <w:rPr>
                <w:sz w:val="21"/>
              </w:rPr>
            </w:pPr>
            <w:r>
              <w:rPr>
                <w:sz w:val="21"/>
              </w:rPr>
              <w:t>本项目符合相关总体规划、 控制性详细规划、土地利用规划等相关要求，不属于淘汰类项目、不属于通榆河保护区，符合文件要求。</w:t>
            </w:r>
          </w:p>
        </w:tc>
      </w:tr>
      <w:tr>
        <w:tblPrEx>
          <w:tblW w:w="0" w:type="auto"/>
          <w:jc w:val="left"/>
          <w:tblInd w:w="321" w:type="dxa"/>
          <w:tblLayout w:type="fixed"/>
          <w:tblCellMar>
            <w:top w:w="0" w:type="dxa"/>
            <w:left w:w="0" w:type="dxa"/>
            <w:bottom w:w="0" w:type="dxa"/>
            <w:right w:w="0" w:type="dxa"/>
          </w:tblCellMar>
          <w:tblLook w:val="01E0"/>
        </w:tblPrEx>
        <w:trPr>
          <w:trHeight w:val="258"/>
          <w:jc w:val="left"/>
        </w:trPr>
        <w:tc>
          <w:tcPr>
            <w:tcW w:w="1044" w:type="dxa"/>
            <w:vMerge/>
            <w:tcBorders>
              <w:top w:val="nil"/>
              <w:right w:val="single" w:sz="4" w:space="0" w:color="000000"/>
            </w:tcBorders>
          </w:tcPr>
          <w:p>
            <w:pPr>
              <w:rPr>
                <w:sz w:val="2"/>
                <w:szCs w:val="2"/>
              </w:rPr>
            </w:pPr>
          </w:p>
        </w:tc>
        <w:tc>
          <w:tcPr>
            <w:tcW w:w="1012"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491" w:type="dxa"/>
            <w:tcBorders>
              <w:top w:val="nil"/>
              <w:left w:val="single" w:sz="4" w:space="0" w:color="000000"/>
              <w:bottom w:val="single" w:sz="4" w:space="0" w:color="000000"/>
              <w:right w:val="single" w:sz="4" w:space="0" w:color="000000"/>
            </w:tcBorders>
          </w:tcPr>
          <w:p>
            <w:pPr>
              <w:pStyle w:val="TableParagraph"/>
              <w:spacing w:line="239" w:lineRule="exact"/>
              <w:ind w:left="113"/>
              <w:rPr>
                <w:sz w:val="21"/>
              </w:rPr>
            </w:pPr>
            <w:r>
              <w:rPr>
                <w:sz w:val="21"/>
              </w:rPr>
              <w:t>求。</w:t>
            </w:r>
          </w:p>
        </w:tc>
        <w:tc>
          <w:tcPr>
            <w:tcW w:w="2492" w:type="dxa"/>
            <w:gridSpan w:val="2"/>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321" w:type="dxa"/>
          <w:tblLayout w:type="fixed"/>
          <w:tblCellMar>
            <w:top w:w="0" w:type="dxa"/>
            <w:left w:w="0" w:type="dxa"/>
            <w:bottom w:w="0" w:type="dxa"/>
            <w:right w:w="0" w:type="dxa"/>
          </w:tblCellMar>
          <w:tblLook w:val="01E0"/>
        </w:tblPrEx>
        <w:trPr>
          <w:trHeight w:val="2149"/>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1"/>
              </w:rPr>
            </w:pPr>
          </w:p>
          <w:p>
            <w:pPr>
              <w:pStyle w:val="TableParagraph"/>
              <w:spacing w:line="242" w:lineRule="auto"/>
              <w:ind w:left="180" w:right="159"/>
              <w:jc w:val="center"/>
              <w:rPr>
                <w:sz w:val="21"/>
              </w:rPr>
            </w:pPr>
            <w:r>
              <w:rPr>
                <w:sz w:val="21"/>
              </w:rPr>
              <w:t>污染物排放管控</w:t>
            </w:r>
          </w:p>
        </w:tc>
        <w:tc>
          <w:tcPr>
            <w:tcW w:w="4491" w:type="dxa"/>
            <w:tcBorders>
              <w:top w:val="single" w:sz="4" w:space="0" w:color="000000"/>
              <w:left w:val="single" w:sz="4" w:space="0" w:color="000000"/>
              <w:bottom w:val="nil"/>
              <w:right w:val="single" w:sz="4" w:space="0" w:color="000000"/>
            </w:tcBorders>
          </w:tcPr>
          <w:p>
            <w:pPr>
              <w:pStyle w:val="TableParagraph"/>
              <w:numPr>
                <w:ilvl w:val="0"/>
                <w:numId w:val="34"/>
              </w:numPr>
              <w:tabs>
                <w:tab w:val="left" w:pos="678"/>
              </w:tabs>
              <w:spacing w:before="0" w:after="0" w:line="242" w:lineRule="auto"/>
              <w:ind w:left="113" w:right="88" w:firstLine="0"/>
              <w:jc w:val="left"/>
              <w:rPr>
                <w:sz w:val="21"/>
              </w:rPr>
            </w:pPr>
            <w:r>
              <w:rPr>
                <w:spacing w:val="15"/>
                <w:sz w:val="21"/>
              </w:rPr>
              <w:t>落实污染物总量控制制度，根据区域</w:t>
            </w:r>
            <w:r>
              <w:rPr>
                <w:spacing w:val="15"/>
                <w:w w:val="95"/>
                <w:sz w:val="21"/>
              </w:rPr>
              <w:t>环境质量改善目标，削减污染物排放总量。</w:t>
            </w:r>
          </w:p>
          <w:p>
            <w:pPr>
              <w:pStyle w:val="TableParagraph"/>
              <w:numPr>
                <w:ilvl w:val="0"/>
                <w:numId w:val="34"/>
              </w:numPr>
              <w:tabs>
                <w:tab w:val="left" w:pos="678"/>
              </w:tabs>
              <w:spacing w:before="0" w:after="0" w:line="240" w:lineRule="auto"/>
              <w:ind w:left="113" w:right="107" w:firstLine="0"/>
              <w:jc w:val="left"/>
              <w:rPr>
                <w:sz w:val="21"/>
              </w:rPr>
            </w:pPr>
            <w:r>
              <w:rPr>
                <w:spacing w:val="15"/>
                <w:sz w:val="21"/>
              </w:rPr>
              <w:t>进一步开展管网排查，提升污水收集</w:t>
            </w:r>
            <w:r>
              <w:rPr>
                <w:spacing w:val="11"/>
                <w:w w:val="95"/>
                <w:sz w:val="21"/>
              </w:rPr>
              <w:t>效率。强化餐饮油烟治理，加强噪声污染防</w:t>
            </w:r>
            <w:r>
              <w:rPr>
                <w:spacing w:val="12"/>
                <w:w w:val="95"/>
                <w:sz w:val="21"/>
              </w:rPr>
              <w:t>治，严格施工扬尘监管，加强土壤和地下水</w:t>
            </w:r>
            <w:r>
              <w:rPr>
                <w:spacing w:val="14"/>
                <w:sz w:val="21"/>
              </w:rPr>
              <w:t>污染防治与修复。</w:t>
            </w:r>
          </w:p>
          <w:p>
            <w:pPr>
              <w:pStyle w:val="TableParagraph"/>
              <w:numPr>
                <w:ilvl w:val="0"/>
                <w:numId w:val="34"/>
              </w:numPr>
              <w:tabs>
                <w:tab w:val="left" w:pos="678"/>
              </w:tabs>
              <w:spacing w:before="0" w:after="0" w:line="268" w:lineRule="exact"/>
              <w:ind w:left="677" w:right="0" w:hanging="565"/>
              <w:jc w:val="left"/>
              <w:rPr>
                <w:sz w:val="21"/>
              </w:rPr>
            </w:pPr>
            <w:r>
              <w:rPr>
                <w:spacing w:val="15"/>
                <w:w w:val="95"/>
                <w:sz w:val="21"/>
              </w:rPr>
              <w:t>加强农业面源污染治理，严格控制化</w:t>
            </w:r>
          </w:p>
          <w:p>
            <w:pPr>
              <w:pStyle w:val="TableParagraph"/>
              <w:spacing w:before="1" w:line="240" w:lineRule="exact"/>
              <w:ind w:left="113"/>
              <w:rPr>
                <w:sz w:val="21"/>
              </w:rPr>
            </w:pPr>
            <w:r>
              <w:rPr>
                <w:spacing w:val="12"/>
                <w:w w:val="95"/>
                <w:sz w:val="21"/>
              </w:rPr>
              <w:t>肥农药施加量，合理水产养殖布局，控制水</w:t>
            </w:r>
          </w:p>
        </w:tc>
        <w:tc>
          <w:tcPr>
            <w:tcW w:w="2492" w:type="dxa"/>
            <w:gridSpan w:val="2"/>
            <w:tcBorders>
              <w:top w:val="single" w:sz="4" w:space="0" w:color="000000"/>
              <w:left w:val="single" w:sz="4" w:space="0" w:color="000000"/>
              <w:bottom w:val="nil"/>
            </w:tcBorders>
          </w:tcPr>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9"/>
              </w:rPr>
            </w:pPr>
          </w:p>
          <w:p>
            <w:pPr>
              <w:pStyle w:val="TableParagraph"/>
              <w:spacing w:line="242" w:lineRule="auto"/>
              <w:ind w:left="112" w:right="120" w:hanging="3"/>
              <w:jc w:val="center"/>
              <w:rPr>
                <w:sz w:val="21"/>
              </w:rPr>
            </w:pPr>
            <w:r>
              <w:rPr>
                <w:w w:val="95"/>
                <w:sz w:val="21"/>
              </w:rPr>
              <w:t xml:space="preserve">本项目为串通河（阜宁段）整治工程，为有利水质改善的工程建设， </w:t>
            </w:r>
            <w:r>
              <w:rPr>
                <w:sz w:val="21"/>
              </w:rPr>
              <w:t>符合要求。</w:t>
            </w:r>
          </w:p>
        </w:tc>
      </w:tr>
      <w:tr>
        <w:tblPrEx>
          <w:tblW w:w="0" w:type="auto"/>
          <w:jc w:val="left"/>
          <w:tblInd w:w="321" w:type="dxa"/>
          <w:tblLayout w:type="fixed"/>
          <w:tblCellMar>
            <w:top w:w="0" w:type="dxa"/>
            <w:left w:w="0" w:type="dxa"/>
            <w:bottom w:w="0" w:type="dxa"/>
            <w:right w:w="0" w:type="dxa"/>
          </w:tblCellMar>
          <w:tblLook w:val="01E0"/>
        </w:tblPrEx>
        <w:trPr>
          <w:trHeight w:val="252"/>
          <w:jc w:val="left"/>
        </w:trPr>
        <w:tc>
          <w:tcPr>
            <w:tcW w:w="1044" w:type="dxa"/>
            <w:vMerge/>
            <w:tcBorders>
              <w:top w:val="nil"/>
              <w:right w:val="single" w:sz="4" w:space="0" w:color="000000"/>
            </w:tcBorders>
          </w:tcPr>
          <w:p>
            <w:pPr>
              <w:rPr>
                <w:sz w:val="2"/>
                <w:szCs w:val="2"/>
              </w:rPr>
            </w:pPr>
          </w:p>
        </w:tc>
        <w:tc>
          <w:tcPr>
            <w:tcW w:w="1012" w:type="dxa"/>
            <w:tcBorders>
              <w:top w:val="nil"/>
              <w:left w:val="single" w:sz="4" w:space="0" w:color="000000"/>
              <w:bottom w:val="nil"/>
              <w:right w:val="single" w:sz="4" w:space="0" w:color="000000"/>
            </w:tcBorders>
          </w:tcPr>
          <w:p>
            <w:pPr>
              <w:pStyle w:val="TableParagraph"/>
              <w:rPr>
                <w:rFonts w:ascii="Times New Roman"/>
                <w:sz w:val="18"/>
              </w:rPr>
            </w:pPr>
          </w:p>
        </w:tc>
        <w:tc>
          <w:tcPr>
            <w:tcW w:w="4491" w:type="dxa"/>
            <w:tcBorders>
              <w:top w:val="nil"/>
              <w:left w:val="single" w:sz="4" w:space="0" w:color="000000"/>
              <w:bottom w:val="nil"/>
              <w:right w:val="single" w:sz="4" w:space="0" w:color="000000"/>
            </w:tcBorders>
          </w:tcPr>
          <w:p>
            <w:pPr>
              <w:pStyle w:val="TableParagraph"/>
              <w:spacing w:line="232" w:lineRule="exact"/>
              <w:ind w:left="113"/>
              <w:rPr>
                <w:sz w:val="21"/>
              </w:rPr>
            </w:pPr>
            <w:r>
              <w:rPr>
                <w:sz w:val="21"/>
              </w:rPr>
              <w:t>产养殖污染，逐步削减农业面源污染物排放</w:t>
            </w:r>
          </w:p>
        </w:tc>
        <w:tc>
          <w:tcPr>
            <w:tcW w:w="2492" w:type="dxa"/>
            <w:gridSpan w:val="2"/>
            <w:tcBorders>
              <w:top w:val="nil"/>
              <w:left w:val="single" w:sz="4" w:space="0" w:color="000000"/>
              <w:bottom w:val="nil"/>
            </w:tcBorders>
          </w:tcPr>
          <w:p>
            <w:pPr>
              <w:pStyle w:val="TableParagraph"/>
              <w:rPr>
                <w:rFonts w:ascii="Times New Roman"/>
                <w:sz w:val="18"/>
              </w:rPr>
            </w:pPr>
          </w:p>
        </w:tc>
      </w:tr>
      <w:tr>
        <w:tblPrEx>
          <w:tblW w:w="0" w:type="auto"/>
          <w:jc w:val="left"/>
          <w:tblInd w:w="321" w:type="dxa"/>
          <w:tblLayout w:type="fixed"/>
          <w:tblCellMar>
            <w:top w:w="0" w:type="dxa"/>
            <w:left w:w="0" w:type="dxa"/>
            <w:bottom w:w="0" w:type="dxa"/>
            <w:right w:w="0" w:type="dxa"/>
          </w:tblCellMar>
          <w:tblLook w:val="01E0"/>
        </w:tblPrEx>
        <w:trPr>
          <w:trHeight w:val="257"/>
          <w:jc w:val="left"/>
        </w:trPr>
        <w:tc>
          <w:tcPr>
            <w:tcW w:w="1044" w:type="dxa"/>
            <w:vMerge/>
            <w:tcBorders>
              <w:top w:val="nil"/>
              <w:right w:val="single" w:sz="4" w:space="0" w:color="000000"/>
            </w:tcBorders>
          </w:tcPr>
          <w:p>
            <w:pPr>
              <w:rPr>
                <w:sz w:val="2"/>
                <w:szCs w:val="2"/>
              </w:rPr>
            </w:pPr>
          </w:p>
        </w:tc>
        <w:tc>
          <w:tcPr>
            <w:tcW w:w="1012"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491" w:type="dxa"/>
            <w:tcBorders>
              <w:top w:val="nil"/>
              <w:left w:val="single" w:sz="4" w:space="0" w:color="000000"/>
              <w:bottom w:val="single" w:sz="4" w:space="0" w:color="000000"/>
              <w:right w:val="single" w:sz="4" w:space="0" w:color="000000"/>
            </w:tcBorders>
          </w:tcPr>
          <w:p>
            <w:pPr>
              <w:pStyle w:val="TableParagraph"/>
              <w:spacing w:line="237" w:lineRule="exact"/>
              <w:ind w:left="113"/>
              <w:rPr>
                <w:sz w:val="21"/>
              </w:rPr>
            </w:pPr>
            <w:r>
              <w:rPr>
                <w:sz w:val="21"/>
              </w:rPr>
              <w:t>量。</w:t>
            </w:r>
          </w:p>
        </w:tc>
        <w:tc>
          <w:tcPr>
            <w:tcW w:w="2492" w:type="dxa"/>
            <w:gridSpan w:val="2"/>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321" w:type="dxa"/>
          <w:tblLayout w:type="fixed"/>
          <w:tblCellMar>
            <w:top w:w="0" w:type="dxa"/>
            <w:left w:w="0" w:type="dxa"/>
            <w:bottom w:w="0" w:type="dxa"/>
            <w:right w:w="0" w:type="dxa"/>
          </w:tblCellMar>
          <w:tblLook w:val="01E0"/>
        </w:tblPrEx>
        <w:trPr>
          <w:trHeight w:val="1609"/>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18"/>
              </w:rPr>
            </w:pPr>
          </w:p>
          <w:p>
            <w:pPr>
              <w:pStyle w:val="TableParagraph"/>
              <w:spacing w:line="242" w:lineRule="auto"/>
              <w:ind w:left="180" w:right="159"/>
              <w:rPr>
                <w:sz w:val="21"/>
              </w:rPr>
            </w:pPr>
            <w:r>
              <w:rPr>
                <w:sz w:val="21"/>
              </w:rPr>
              <w:t>环境风险防控</w:t>
            </w:r>
          </w:p>
        </w:tc>
        <w:tc>
          <w:tcPr>
            <w:tcW w:w="4491" w:type="dxa"/>
            <w:tcBorders>
              <w:top w:val="single" w:sz="4" w:space="0" w:color="000000"/>
              <w:left w:val="single" w:sz="4" w:space="0" w:color="000000"/>
              <w:bottom w:val="nil"/>
              <w:right w:val="single" w:sz="4" w:space="0" w:color="000000"/>
            </w:tcBorders>
          </w:tcPr>
          <w:p>
            <w:pPr>
              <w:pStyle w:val="TableParagraph"/>
              <w:numPr>
                <w:ilvl w:val="0"/>
                <w:numId w:val="33"/>
              </w:numPr>
              <w:tabs>
                <w:tab w:val="left" w:pos="678"/>
              </w:tabs>
              <w:spacing w:before="0" w:after="0" w:line="240" w:lineRule="auto"/>
              <w:ind w:left="113" w:right="88" w:firstLine="0"/>
              <w:jc w:val="left"/>
              <w:rPr>
                <w:sz w:val="21"/>
              </w:rPr>
            </w:pPr>
            <w:r>
              <w:rPr>
                <w:spacing w:val="6"/>
                <w:sz w:val="21"/>
              </w:rPr>
              <w:t>加强环境风险防范应急体系建设， 加</w:t>
            </w:r>
            <w:r>
              <w:rPr>
                <w:spacing w:val="3"/>
                <w:sz w:val="21"/>
              </w:rPr>
              <w:t xml:space="preserve">强环境应急预案管理， 定期开展应急演练， </w:t>
            </w:r>
            <w:r>
              <w:rPr>
                <w:spacing w:val="13"/>
                <w:sz w:val="21"/>
              </w:rPr>
              <w:t>持续开展环境安全隐患排查整治，提升应急</w:t>
            </w:r>
            <w:r>
              <w:rPr>
                <w:spacing w:val="14"/>
                <w:sz w:val="21"/>
              </w:rPr>
              <w:t>监测能力，加强应急物资管理。</w:t>
            </w:r>
          </w:p>
          <w:p>
            <w:pPr>
              <w:pStyle w:val="TableParagraph"/>
              <w:numPr>
                <w:ilvl w:val="0"/>
                <w:numId w:val="33"/>
              </w:numPr>
              <w:tabs>
                <w:tab w:val="left" w:pos="678"/>
              </w:tabs>
              <w:spacing w:before="0" w:after="0" w:line="268" w:lineRule="exact"/>
              <w:ind w:left="677" w:right="0" w:hanging="565"/>
              <w:jc w:val="left"/>
              <w:rPr>
                <w:sz w:val="21"/>
              </w:rPr>
            </w:pPr>
            <w:r>
              <w:rPr>
                <w:spacing w:val="15"/>
                <w:w w:val="95"/>
                <w:sz w:val="21"/>
              </w:rPr>
              <w:t>合理布局商业、居住、科教等功能区</w:t>
            </w:r>
          </w:p>
          <w:p>
            <w:pPr>
              <w:pStyle w:val="TableParagraph"/>
              <w:spacing w:before="5" w:line="240" w:lineRule="exact"/>
              <w:ind w:left="113"/>
              <w:rPr>
                <w:sz w:val="21"/>
              </w:rPr>
            </w:pPr>
            <w:r>
              <w:rPr>
                <w:spacing w:val="11"/>
                <w:w w:val="95"/>
                <w:sz w:val="21"/>
              </w:rPr>
              <w:t>块，严格控制噪声、恶臭、油烟等污染排放</w:t>
            </w:r>
          </w:p>
        </w:tc>
        <w:tc>
          <w:tcPr>
            <w:tcW w:w="2492" w:type="dxa"/>
            <w:gridSpan w:val="2"/>
            <w:tcBorders>
              <w:top w:val="single" w:sz="4" w:space="0" w:color="000000"/>
              <w:left w:val="single" w:sz="4" w:space="0" w:color="000000"/>
              <w:bottom w:val="nil"/>
            </w:tcBorders>
          </w:tcPr>
          <w:p>
            <w:pPr>
              <w:pStyle w:val="TableParagraph"/>
              <w:rPr>
                <w:rFonts w:ascii="Times New Roman"/>
                <w:sz w:val="20"/>
              </w:rPr>
            </w:pPr>
          </w:p>
          <w:p>
            <w:pPr>
              <w:pStyle w:val="TableParagraph"/>
              <w:spacing w:before="6"/>
              <w:rPr>
                <w:rFonts w:ascii="Times New Roman"/>
                <w:sz w:val="26"/>
              </w:rPr>
            </w:pPr>
          </w:p>
          <w:p>
            <w:pPr>
              <w:pStyle w:val="TableParagraph"/>
              <w:spacing w:line="242" w:lineRule="auto"/>
              <w:ind w:left="336" w:right="348"/>
              <w:jc w:val="center"/>
              <w:rPr>
                <w:sz w:val="21"/>
              </w:rPr>
            </w:pPr>
            <w:r>
              <w:rPr>
                <w:w w:val="95"/>
                <w:sz w:val="21"/>
              </w:rPr>
              <w:t>本项目建设严格落实施工期风险应急</w:t>
            </w:r>
            <w:r>
              <w:rPr>
                <w:sz w:val="21"/>
              </w:rPr>
              <w:t>预案要求。</w:t>
            </w:r>
          </w:p>
        </w:tc>
      </w:tr>
      <w:tr>
        <w:tblPrEx>
          <w:tblW w:w="0" w:type="auto"/>
          <w:jc w:val="left"/>
          <w:tblInd w:w="321" w:type="dxa"/>
          <w:tblLayout w:type="fixed"/>
          <w:tblCellMar>
            <w:top w:w="0" w:type="dxa"/>
            <w:left w:w="0" w:type="dxa"/>
            <w:bottom w:w="0" w:type="dxa"/>
            <w:right w:w="0" w:type="dxa"/>
          </w:tblCellMar>
          <w:tblLook w:val="01E0"/>
        </w:tblPrEx>
        <w:trPr>
          <w:trHeight w:val="257"/>
          <w:jc w:val="left"/>
        </w:trPr>
        <w:tc>
          <w:tcPr>
            <w:tcW w:w="1044" w:type="dxa"/>
            <w:vMerge/>
            <w:tcBorders>
              <w:top w:val="nil"/>
              <w:right w:val="single" w:sz="4" w:space="0" w:color="000000"/>
            </w:tcBorders>
          </w:tcPr>
          <w:p>
            <w:pPr>
              <w:rPr>
                <w:sz w:val="2"/>
                <w:szCs w:val="2"/>
              </w:rPr>
            </w:pPr>
          </w:p>
        </w:tc>
        <w:tc>
          <w:tcPr>
            <w:tcW w:w="1012"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491" w:type="dxa"/>
            <w:tcBorders>
              <w:top w:val="nil"/>
              <w:left w:val="single" w:sz="4" w:space="0" w:color="000000"/>
              <w:bottom w:val="single" w:sz="4" w:space="0" w:color="000000"/>
              <w:right w:val="single" w:sz="4" w:space="0" w:color="000000"/>
            </w:tcBorders>
          </w:tcPr>
          <w:p>
            <w:pPr>
              <w:pStyle w:val="TableParagraph"/>
              <w:spacing w:line="237" w:lineRule="exact"/>
              <w:ind w:left="113"/>
              <w:rPr>
                <w:sz w:val="21"/>
              </w:rPr>
            </w:pPr>
            <w:r>
              <w:rPr>
                <w:sz w:val="21"/>
              </w:rPr>
              <w:t>较大的建设项目布局。</w:t>
            </w:r>
          </w:p>
        </w:tc>
        <w:tc>
          <w:tcPr>
            <w:tcW w:w="2492" w:type="dxa"/>
            <w:gridSpan w:val="2"/>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321" w:type="dxa"/>
          <w:tblLayout w:type="fixed"/>
          <w:tblCellMar>
            <w:top w:w="0" w:type="dxa"/>
            <w:left w:w="0" w:type="dxa"/>
            <w:bottom w:w="0" w:type="dxa"/>
            <w:right w:w="0" w:type="dxa"/>
          </w:tblCellMar>
          <w:tblLook w:val="01E0"/>
        </w:tblPrEx>
        <w:trPr>
          <w:trHeight w:val="1913"/>
          <w:jc w:val="left"/>
        </w:trPr>
        <w:tc>
          <w:tcPr>
            <w:tcW w:w="1044" w:type="dxa"/>
            <w:vMerge/>
            <w:tcBorders>
              <w:top w:val="nil"/>
              <w:right w:val="single" w:sz="4" w:space="0" w:color="000000"/>
            </w:tcBorders>
          </w:tcPr>
          <w:p>
            <w:pPr>
              <w:rPr>
                <w:sz w:val="2"/>
                <w:szCs w:val="2"/>
              </w:rPr>
            </w:pPr>
          </w:p>
        </w:tc>
        <w:tc>
          <w:tcPr>
            <w:tcW w:w="1012" w:type="dxa"/>
            <w:tcBorders>
              <w:top w:val="single" w:sz="4" w:space="0" w:color="000000"/>
              <w:left w:val="single" w:sz="4" w:space="0" w:color="000000"/>
              <w:bottom w:val="thinThickMediumGap" w:sz="6"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42" w:lineRule="auto"/>
              <w:ind w:left="180" w:right="159"/>
              <w:jc w:val="both"/>
              <w:rPr>
                <w:sz w:val="21"/>
              </w:rPr>
            </w:pPr>
            <w:r>
              <w:rPr>
                <w:sz w:val="21"/>
              </w:rPr>
              <w:t>资源开发效率要求</w:t>
            </w:r>
          </w:p>
        </w:tc>
        <w:tc>
          <w:tcPr>
            <w:tcW w:w="4491" w:type="dxa"/>
            <w:tcBorders>
              <w:top w:val="single" w:sz="4" w:space="0" w:color="000000"/>
              <w:left w:val="single" w:sz="4" w:space="0" w:color="000000"/>
              <w:bottom w:val="thinThickMediumGap" w:sz="6" w:space="0" w:color="000000"/>
              <w:right w:val="single" w:sz="4" w:space="0" w:color="000000"/>
            </w:tcBorders>
          </w:tcPr>
          <w:p>
            <w:pPr>
              <w:pStyle w:val="TableParagraph"/>
              <w:numPr>
                <w:ilvl w:val="0"/>
                <w:numId w:val="32"/>
              </w:numPr>
              <w:tabs>
                <w:tab w:val="left" w:pos="678"/>
              </w:tabs>
              <w:spacing w:before="0" w:after="0" w:line="266" w:lineRule="exact"/>
              <w:ind w:left="677" w:right="0" w:hanging="565"/>
              <w:jc w:val="left"/>
              <w:rPr>
                <w:sz w:val="21"/>
              </w:rPr>
            </w:pPr>
            <w:r>
              <w:rPr>
                <w:spacing w:val="15"/>
                <w:sz w:val="21"/>
              </w:rPr>
              <w:t>优化能源结构，加强能源清洁利用。</w:t>
            </w:r>
          </w:p>
          <w:p>
            <w:pPr>
              <w:pStyle w:val="TableParagraph"/>
              <w:numPr>
                <w:ilvl w:val="0"/>
                <w:numId w:val="32"/>
              </w:numPr>
              <w:tabs>
                <w:tab w:val="left" w:pos="678"/>
              </w:tabs>
              <w:spacing w:before="2" w:after="0" w:line="242" w:lineRule="auto"/>
              <w:ind w:left="113" w:right="220" w:firstLine="0"/>
              <w:jc w:val="left"/>
              <w:rPr>
                <w:sz w:val="21"/>
              </w:rPr>
            </w:pPr>
            <w:r>
              <w:rPr>
                <w:spacing w:val="-7"/>
                <w:sz w:val="21"/>
              </w:rPr>
              <w:t xml:space="preserve">万元 </w:t>
            </w:r>
            <w:r>
              <w:rPr>
                <w:rFonts w:ascii="Times New Roman" w:eastAsia="Times New Roman"/>
                <w:spacing w:val="4"/>
                <w:sz w:val="21"/>
              </w:rPr>
              <w:t>GDP</w:t>
            </w:r>
            <w:r>
              <w:rPr>
                <w:rFonts w:ascii="Times New Roman" w:eastAsia="Times New Roman"/>
                <w:spacing w:val="12"/>
                <w:sz w:val="21"/>
              </w:rPr>
              <w:t xml:space="preserve"> </w:t>
            </w:r>
            <w:r>
              <w:rPr>
                <w:spacing w:val="4"/>
                <w:sz w:val="21"/>
              </w:rPr>
              <w:t xml:space="preserve">能耗、万元 </w:t>
            </w:r>
            <w:r>
              <w:rPr>
                <w:rFonts w:ascii="Times New Roman" w:eastAsia="Times New Roman"/>
                <w:spacing w:val="4"/>
                <w:sz w:val="21"/>
              </w:rPr>
              <w:t>GDP</w:t>
            </w:r>
            <w:r>
              <w:rPr>
                <w:rFonts w:ascii="Times New Roman" w:eastAsia="Times New Roman"/>
                <w:spacing w:val="13"/>
                <w:sz w:val="21"/>
              </w:rPr>
              <w:t xml:space="preserve"> </w:t>
            </w:r>
            <w:r>
              <w:rPr>
                <w:spacing w:val="12"/>
                <w:sz w:val="21"/>
              </w:rPr>
              <w:t>用水量等</w:t>
            </w:r>
            <w:r>
              <w:rPr>
                <w:spacing w:val="14"/>
                <w:sz w:val="21"/>
              </w:rPr>
              <w:t>指标达到市定目标。</w:t>
            </w:r>
          </w:p>
          <w:p>
            <w:pPr>
              <w:pStyle w:val="TableParagraph"/>
              <w:numPr>
                <w:ilvl w:val="0"/>
                <w:numId w:val="32"/>
              </w:numPr>
              <w:tabs>
                <w:tab w:val="left" w:pos="678"/>
              </w:tabs>
              <w:spacing w:before="1" w:after="0" w:line="244" w:lineRule="auto"/>
              <w:ind w:left="113" w:right="201" w:firstLine="0"/>
              <w:jc w:val="left"/>
              <w:rPr>
                <w:sz w:val="21"/>
              </w:rPr>
            </w:pPr>
            <w:r>
              <w:rPr>
                <w:spacing w:val="15"/>
                <w:w w:val="95"/>
                <w:sz w:val="21"/>
              </w:rPr>
              <w:t>提高土地利用效率、节约集约利用土</w:t>
            </w:r>
            <w:r>
              <w:rPr>
                <w:spacing w:val="12"/>
                <w:sz w:val="21"/>
              </w:rPr>
              <w:t>地资源。</w:t>
            </w:r>
          </w:p>
          <w:p>
            <w:pPr>
              <w:pStyle w:val="TableParagraph"/>
              <w:numPr>
                <w:ilvl w:val="0"/>
                <w:numId w:val="32"/>
              </w:numPr>
              <w:tabs>
                <w:tab w:val="left" w:pos="678"/>
              </w:tabs>
              <w:spacing w:before="0" w:after="0" w:line="265" w:lineRule="exact"/>
              <w:ind w:left="677" w:right="0" w:hanging="565"/>
              <w:jc w:val="left"/>
              <w:rPr>
                <w:sz w:val="21"/>
              </w:rPr>
            </w:pPr>
            <w:r>
              <w:rPr>
                <w:spacing w:val="15"/>
                <w:sz w:val="21"/>
              </w:rPr>
              <w:t>严格按照《高污染燃料目录》要求，</w:t>
            </w:r>
          </w:p>
          <w:p>
            <w:pPr>
              <w:pStyle w:val="TableParagraph"/>
              <w:spacing w:before="5" w:line="262" w:lineRule="exact"/>
              <w:ind w:left="113"/>
              <w:rPr>
                <w:sz w:val="21"/>
              </w:rPr>
            </w:pPr>
            <w:r>
              <w:rPr>
                <w:sz w:val="21"/>
              </w:rPr>
              <w:t>落实相应的禁燃区管控要求。</w:t>
            </w:r>
          </w:p>
        </w:tc>
        <w:tc>
          <w:tcPr>
            <w:tcW w:w="2492" w:type="dxa"/>
            <w:gridSpan w:val="2"/>
            <w:tcBorders>
              <w:top w:val="single" w:sz="4" w:space="0" w:color="000000"/>
              <w:left w:val="single" w:sz="4" w:space="0" w:color="000000"/>
              <w:bottom w:val="thinThickMediumGap" w:sz="6"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42" w:lineRule="auto"/>
              <w:ind w:left="113" w:right="122" w:hanging="3"/>
              <w:jc w:val="center"/>
              <w:rPr>
                <w:sz w:val="21"/>
              </w:rPr>
            </w:pPr>
            <w:r>
              <w:rPr>
                <w:spacing w:val="14"/>
                <w:sz w:val="21"/>
              </w:rPr>
              <w:t xml:space="preserve">项目资源利用主要包 </w:t>
            </w:r>
            <w:r>
              <w:rPr>
                <w:spacing w:val="12"/>
                <w:w w:val="95"/>
                <w:sz w:val="21"/>
              </w:rPr>
              <w:t>括水、电能等，不超出</w:t>
            </w:r>
            <w:r>
              <w:rPr>
                <w:spacing w:val="14"/>
                <w:sz w:val="21"/>
              </w:rPr>
              <w:t>当地资源利用上限。</w:t>
            </w:r>
          </w:p>
        </w:tc>
      </w:tr>
    </w:tbl>
    <w:p>
      <w:pPr>
        <w:spacing w:after="0" w:line="242" w:lineRule="auto"/>
        <w:jc w:val="center"/>
        <w:rPr>
          <w:sz w:val="21"/>
        </w:rPr>
        <w:sectPr>
          <w:headerReference w:type="default" r:id="rId20"/>
          <w:footerReference w:type="default" r:id="rId21"/>
          <w:pgSz w:w="11910" w:h="16840"/>
          <w:pgMar w:top="1340" w:right="1120" w:bottom="1160" w:left="1220" w:header="891" w:footer="969"/>
          <w:pgNumType w:start="9"/>
          <w:cols w:space="708"/>
        </w:sectPr>
      </w:pPr>
    </w:p>
    <w:p>
      <w:pPr>
        <w:pStyle w:val="BodyText"/>
        <w:spacing w:before="9"/>
        <w:rPr>
          <w:rFonts w:ascii="Times New Roman"/>
          <w:sz w:val="29"/>
        </w:rPr>
      </w:pPr>
    </w:p>
    <w:tbl>
      <w:tblPr>
        <w:tblStyle w:val="TableNormal5"/>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01"/>
        <w:gridCol w:w="4230"/>
        <w:gridCol w:w="2060"/>
        <w:gridCol w:w="1104"/>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896"/>
          <w:jc w:val="left"/>
        </w:trPr>
        <w:tc>
          <w:tcPr>
            <w:tcW w:w="1044" w:type="dxa"/>
            <w:vMerge w:val="restart"/>
            <w:tcBorders>
              <w:right w:val="single" w:sz="4" w:space="0" w:color="000000"/>
            </w:tcBorders>
          </w:tcPr>
          <w:p>
            <w:pPr>
              <w:pStyle w:val="TableParagraph"/>
              <w:rPr>
                <w:rFonts w:ascii="Times New Roman"/>
                <w:sz w:val="20"/>
              </w:rPr>
            </w:pPr>
          </w:p>
        </w:tc>
        <w:tc>
          <w:tcPr>
            <w:tcW w:w="7995" w:type="dxa"/>
            <w:gridSpan w:val="4"/>
            <w:tcBorders>
              <w:left w:val="single" w:sz="4" w:space="0" w:color="000000"/>
              <w:bottom w:val="single" w:sz="12" w:space="0" w:color="000000"/>
            </w:tcBorders>
          </w:tcPr>
          <w:p>
            <w:pPr>
              <w:pStyle w:val="TableParagraph"/>
              <w:spacing w:before="8" w:line="362" w:lineRule="auto"/>
              <w:ind w:left="21" w:right="-15" w:firstLine="480"/>
              <w:rPr>
                <w:sz w:val="24"/>
              </w:rPr>
            </w:pPr>
            <w:r>
              <w:rPr>
                <w:spacing w:val="-15"/>
                <w:sz w:val="24"/>
              </w:rPr>
              <w:t xml:space="preserve">对照表 </w:t>
            </w:r>
            <w:r>
              <w:rPr>
                <w:rFonts w:ascii="Times New Roman" w:eastAsia="Times New Roman" w:hAnsi="Times New Roman"/>
                <w:spacing w:val="-7"/>
                <w:sz w:val="24"/>
              </w:rPr>
              <w:t>1-4</w:t>
            </w:r>
            <w:r>
              <w:rPr>
                <w:spacing w:val="-9"/>
                <w:sz w:val="24"/>
              </w:rPr>
              <w:t>，本项目建设符合《盐城市“三线一单”生态环境分区管控实施方案》（盐环办〔</w:t>
            </w:r>
            <w:r>
              <w:rPr>
                <w:rFonts w:ascii="Times New Roman" w:eastAsia="Times New Roman" w:hAnsi="Times New Roman"/>
                <w:spacing w:val="-9"/>
                <w:sz w:val="24"/>
              </w:rPr>
              <w:t>2020</w:t>
            </w:r>
            <w:r>
              <w:rPr>
                <w:spacing w:val="-9"/>
                <w:sz w:val="24"/>
              </w:rPr>
              <w:t>〕</w:t>
            </w:r>
            <w:r>
              <w:rPr>
                <w:rFonts w:ascii="Times New Roman" w:eastAsia="Times New Roman" w:hAnsi="Times New Roman"/>
                <w:spacing w:val="-9"/>
                <w:sz w:val="24"/>
              </w:rPr>
              <w:t xml:space="preserve">200 </w:t>
            </w:r>
            <w:r>
              <w:rPr>
                <w:spacing w:val="-9"/>
                <w:sz w:val="24"/>
              </w:rPr>
              <w:t>号）中的环境准入条件。</w:t>
            </w:r>
          </w:p>
          <w:p>
            <w:pPr>
              <w:pStyle w:val="TableParagraph"/>
              <w:spacing w:before="5"/>
              <w:ind w:left="501"/>
              <w:rPr>
                <w:sz w:val="24"/>
              </w:rPr>
            </w:pPr>
            <w:r>
              <w:rPr>
                <w:sz w:val="24"/>
              </w:rPr>
              <w:t>（</w:t>
            </w:r>
            <w:r>
              <w:rPr>
                <w:rFonts w:ascii="Times New Roman" w:eastAsia="Times New Roman" w:hAnsi="Times New Roman"/>
                <w:sz w:val="24"/>
              </w:rPr>
              <w:t>6</w:t>
            </w:r>
            <w:r>
              <w:rPr>
                <w:sz w:val="24"/>
              </w:rPr>
              <w:t>）与“长江经济带发展负面清单指南”的相符性分析</w:t>
            </w:r>
          </w:p>
          <w:p>
            <w:pPr>
              <w:pStyle w:val="TableParagraph"/>
              <w:spacing w:before="158" w:line="364" w:lineRule="auto"/>
              <w:ind w:left="21" w:right="-15" w:firstLine="480"/>
              <w:jc w:val="both"/>
              <w:rPr>
                <w:sz w:val="24"/>
              </w:rPr>
            </w:pPr>
            <w:r>
              <w:rPr>
                <w:spacing w:val="-2"/>
                <w:sz w:val="24"/>
              </w:rPr>
              <w:t>①对照《长江经济带发展负面清单指南</w:t>
            </w:r>
            <w:r>
              <w:rPr>
                <w:sz w:val="24"/>
              </w:rPr>
              <w:t>（试行，</w:t>
            </w:r>
            <w:r>
              <w:rPr>
                <w:rFonts w:ascii="Times New Roman" w:eastAsia="Times New Roman" w:hAnsi="Times New Roman"/>
                <w:sz w:val="24"/>
              </w:rPr>
              <w:t xml:space="preserve">2022 </w:t>
            </w:r>
            <w:r>
              <w:rPr>
                <w:sz w:val="24"/>
              </w:rPr>
              <w:t>版</w:t>
            </w:r>
            <w:r>
              <w:rPr>
                <w:spacing w:val="-3"/>
                <w:sz w:val="24"/>
              </w:rPr>
              <w:t xml:space="preserve">）》，项目属于河道整治项目，不属于禁止建设的项目类型，符合“长江经济带发展负面清单指南”要求。本项目与关于印发《长江经济带发展负面清单指南（试行， </w:t>
            </w:r>
            <w:r>
              <w:rPr>
                <w:rFonts w:ascii="Times New Roman" w:eastAsia="Times New Roman" w:hAnsi="Times New Roman"/>
                <w:spacing w:val="-3"/>
                <w:sz w:val="24"/>
              </w:rPr>
              <w:t xml:space="preserve">2022 </w:t>
            </w:r>
            <w:r>
              <w:rPr>
                <w:sz w:val="24"/>
              </w:rPr>
              <w:t>版）</w:t>
            </w:r>
            <w:r>
              <w:rPr>
                <w:spacing w:val="-5"/>
                <w:sz w:val="24"/>
              </w:rPr>
              <w:t xml:space="preserve">》的通知相符性分析详见表 </w:t>
            </w:r>
            <w:r>
              <w:rPr>
                <w:rFonts w:ascii="Times New Roman" w:eastAsia="Times New Roman" w:hAnsi="Times New Roman"/>
                <w:sz w:val="24"/>
              </w:rPr>
              <w:t>1-5</w:t>
            </w:r>
            <w:r>
              <w:rPr>
                <w:sz w:val="24"/>
              </w:rPr>
              <w:t>。</w:t>
            </w:r>
          </w:p>
          <w:p>
            <w:pPr>
              <w:pStyle w:val="TableParagraph"/>
              <w:ind w:left="40" w:right="4"/>
              <w:jc w:val="center"/>
              <w:rPr>
                <w:b/>
                <w:sz w:val="24"/>
              </w:rPr>
            </w:pPr>
            <w:r>
              <w:rPr>
                <w:b/>
                <w:w w:val="95"/>
                <w:sz w:val="24"/>
              </w:rPr>
              <w:t>表</w:t>
            </w:r>
            <w:r>
              <w:rPr>
                <w:rFonts w:ascii="Times New Roman" w:eastAsia="Times New Roman"/>
                <w:b/>
                <w:w w:val="95"/>
                <w:sz w:val="24"/>
              </w:rPr>
              <w:t>1-5</w:t>
            </w:r>
            <w:r>
              <w:rPr>
                <w:b/>
                <w:spacing w:val="-3"/>
                <w:w w:val="95"/>
                <w:sz w:val="24"/>
              </w:rPr>
              <w:t>项目与关于印发《长江经济带发展负面清单指南</w:t>
            </w:r>
            <w:r>
              <w:rPr>
                <w:b/>
                <w:w w:val="95"/>
                <w:sz w:val="24"/>
              </w:rPr>
              <w:t>（</w:t>
            </w:r>
            <w:r>
              <w:rPr>
                <w:b/>
                <w:spacing w:val="-1"/>
                <w:w w:val="95"/>
                <w:sz w:val="24"/>
              </w:rPr>
              <w:t>试行，</w:t>
            </w:r>
            <w:r>
              <w:rPr>
                <w:rFonts w:ascii="Times New Roman" w:eastAsia="Times New Roman"/>
                <w:b/>
                <w:spacing w:val="-3"/>
                <w:w w:val="95"/>
                <w:sz w:val="24"/>
              </w:rPr>
              <w:t>2022</w:t>
            </w:r>
            <w:r>
              <w:rPr>
                <w:b/>
                <w:w w:val="95"/>
                <w:sz w:val="24"/>
              </w:rPr>
              <w:t>版</w:t>
            </w:r>
            <w:r>
              <w:rPr>
                <w:b/>
                <w:spacing w:val="-12"/>
                <w:w w:val="95"/>
                <w:sz w:val="24"/>
              </w:rPr>
              <w:t>）</w:t>
            </w:r>
            <w:r>
              <w:rPr>
                <w:b/>
                <w:spacing w:val="-6"/>
                <w:w w:val="95"/>
                <w:sz w:val="24"/>
              </w:rPr>
              <w:t>》的</w:t>
            </w:r>
          </w:p>
          <w:p>
            <w:pPr>
              <w:pStyle w:val="TableParagraph"/>
              <w:spacing w:before="2" w:line="290" w:lineRule="exact"/>
              <w:ind w:left="27" w:right="4"/>
              <w:jc w:val="center"/>
              <w:rPr>
                <w:b/>
                <w:sz w:val="24"/>
              </w:rPr>
            </w:pPr>
            <w:r>
              <w:rPr>
                <w:b/>
                <w:sz w:val="24"/>
              </w:rPr>
              <w:t>通知相符性分析表</w:t>
            </w:r>
          </w:p>
        </w:tc>
      </w:tr>
      <w:tr>
        <w:tblPrEx>
          <w:tblW w:w="0" w:type="auto"/>
          <w:jc w:val="left"/>
          <w:tblInd w:w="321" w:type="dxa"/>
          <w:tblLayout w:type="fixed"/>
          <w:tblCellMar>
            <w:top w:w="0" w:type="dxa"/>
            <w:left w:w="0" w:type="dxa"/>
            <w:bottom w:w="0" w:type="dxa"/>
            <w:right w:w="0" w:type="dxa"/>
          </w:tblCellMar>
          <w:tblLook w:val="01E0"/>
        </w:tblPrEx>
        <w:trPr>
          <w:trHeight w:val="630"/>
          <w:jc w:val="left"/>
        </w:trPr>
        <w:tc>
          <w:tcPr>
            <w:tcW w:w="1044" w:type="dxa"/>
            <w:vMerge/>
            <w:tcBorders>
              <w:top w:val="nil"/>
              <w:right w:val="single" w:sz="4" w:space="0" w:color="000000"/>
            </w:tcBorders>
          </w:tcPr>
          <w:p>
            <w:pPr>
              <w:rPr>
                <w:sz w:val="2"/>
                <w:szCs w:val="2"/>
              </w:rPr>
            </w:pPr>
          </w:p>
        </w:tc>
        <w:tc>
          <w:tcPr>
            <w:tcW w:w="601" w:type="dxa"/>
            <w:tcBorders>
              <w:top w:val="single" w:sz="12" w:space="0" w:color="000000"/>
              <w:left w:val="single" w:sz="4" w:space="0" w:color="000000"/>
              <w:bottom w:val="single" w:sz="4" w:space="0" w:color="000000"/>
              <w:right w:val="single" w:sz="4" w:space="0" w:color="000000"/>
            </w:tcBorders>
          </w:tcPr>
          <w:p>
            <w:pPr>
              <w:pStyle w:val="TableParagraph"/>
              <w:spacing w:before="23" w:line="261" w:lineRule="auto"/>
              <w:ind w:left="206" w:right="173"/>
              <w:rPr>
                <w:b/>
                <w:sz w:val="21"/>
              </w:rPr>
            </w:pPr>
            <w:r>
              <w:rPr>
                <w:b/>
                <w:sz w:val="21"/>
              </w:rPr>
              <w:t>序号</w:t>
            </w:r>
          </w:p>
        </w:tc>
        <w:tc>
          <w:tcPr>
            <w:tcW w:w="4230" w:type="dxa"/>
            <w:tcBorders>
              <w:top w:val="single" w:sz="12" w:space="0" w:color="000000"/>
              <w:left w:val="single" w:sz="4" w:space="0" w:color="000000"/>
              <w:bottom w:val="single" w:sz="4" w:space="0" w:color="000000"/>
              <w:right w:val="single" w:sz="4" w:space="0" w:color="000000"/>
            </w:tcBorders>
          </w:tcPr>
          <w:p>
            <w:pPr>
              <w:pStyle w:val="TableParagraph"/>
              <w:spacing w:before="170"/>
              <w:ind w:left="123" w:right="105"/>
              <w:jc w:val="center"/>
              <w:rPr>
                <w:b/>
                <w:sz w:val="21"/>
              </w:rPr>
            </w:pPr>
            <w:r>
              <w:rPr>
                <w:b/>
                <w:sz w:val="21"/>
              </w:rPr>
              <w:t>管控条款</w:t>
            </w:r>
          </w:p>
        </w:tc>
        <w:tc>
          <w:tcPr>
            <w:tcW w:w="2060" w:type="dxa"/>
            <w:tcBorders>
              <w:top w:val="single" w:sz="12" w:space="0" w:color="000000"/>
              <w:left w:val="single" w:sz="4" w:space="0" w:color="000000"/>
              <w:bottom w:val="single" w:sz="4" w:space="0" w:color="000000"/>
              <w:right w:val="single" w:sz="4" w:space="0" w:color="000000"/>
            </w:tcBorders>
          </w:tcPr>
          <w:p>
            <w:pPr>
              <w:pStyle w:val="TableParagraph"/>
              <w:spacing w:before="170"/>
              <w:ind w:left="484" w:right="470"/>
              <w:jc w:val="center"/>
              <w:rPr>
                <w:b/>
                <w:sz w:val="21"/>
              </w:rPr>
            </w:pPr>
            <w:r>
              <w:rPr>
                <w:b/>
                <w:sz w:val="21"/>
              </w:rPr>
              <w:t>本项目情况</w:t>
            </w:r>
          </w:p>
        </w:tc>
        <w:tc>
          <w:tcPr>
            <w:tcW w:w="1104" w:type="dxa"/>
            <w:tcBorders>
              <w:top w:val="single" w:sz="12" w:space="0" w:color="000000"/>
              <w:left w:val="single" w:sz="4" w:space="0" w:color="000000"/>
              <w:bottom w:val="single" w:sz="4" w:space="0" w:color="000000"/>
            </w:tcBorders>
          </w:tcPr>
          <w:p>
            <w:pPr>
              <w:pStyle w:val="TableParagraph"/>
              <w:spacing w:before="23" w:line="261" w:lineRule="auto"/>
              <w:ind w:left="443" w:right="117" w:hanging="317"/>
              <w:rPr>
                <w:b/>
                <w:sz w:val="21"/>
              </w:rPr>
            </w:pPr>
            <w:r>
              <w:rPr>
                <w:b/>
                <w:sz w:val="21"/>
              </w:rPr>
              <w:t>符合性说明</w:t>
            </w:r>
          </w:p>
        </w:tc>
      </w:tr>
      <w:tr>
        <w:tblPrEx>
          <w:tblW w:w="0" w:type="auto"/>
          <w:jc w:val="left"/>
          <w:tblInd w:w="321" w:type="dxa"/>
          <w:tblLayout w:type="fixed"/>
          <w:tblCellMar>
            <w:top w:w="0" w:type="dxa"/>
            <w:left w:w="0" w:type="dxa"/>
            <w:bottom w:w="0" w:type="dxa"/>
            <w:right w:w="0" w:type="dxa"/>
          </w:tblCellMar>
          <w:tblLook w:val="01E0"/>
        </w:tblPrEx>
        <w:trPr>
          <w:trHeight w:val="1213"/>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5"/>
              <w:rPr>
                <w:rFonts w:ascii="Times New Roman"/>
                <w:sz w:val="19"/>
              </w:rPr>
            </w:pPr>
          </w:p>
          <w:p>
            <w:pPr>
              <w:pStyle w:val="TableParagraph"/>
              <w:ind w:left="36"/>
              <w:jc w:val="center"/>
              <w:rPr>
                <w:rFonts w:ascii="Times New Roman"/>
                <w:sz w:val="21"/>
              </w:rPr>
            </w:pPr>
            <w:r>
              <w:rPr>
                <w:rFonts w:ascii="Times New Roman"/>
                <w:w w:val="99"/>
                <w:sz w:val="21"/>
              </w:rPr>
              <w:t>1</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21" w:line="261" w:lineRule="auto"/>
              <w:ind w:left="123" w:right="105"/>
              <w:jc w:val="both"/>
              <w:rPr>
                <w:sz w:val="21"/>
              </w:rPr>
            </w:pPr>
            <w:r>
              <w:rPr>
                <w:w w:val="95"/>
                <w:sz w:val="21"/>
              </w:rPr>
              <w:t>禁止建设不符合国家港口布局规划以及港口 总体规划的码头项目，禁止建设不符合《长 江干线过江通道布局规划》的过长江干线通</w:t>
            </w:r>
          </w:p>
          <w:p>
            <w:pPr>
              <w:pStyle w:val="TableParagraph"/>
              <w:spacing w:before="1"/>
              <w:ind w:left="123" w:right="105"/>
              <w:jc w:val="center"/>
              <w:rPr>
                <w:sz w:val="21"/>
              </w:rPr>
            </w:pPr>
            <w:r>
              <w:rPr>
                <w:sz w:val="21"/>
              </w:rPr>
              <w:t>道项目。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20"/>
              </w:rPr>
            </w:pPr>
          </w:p>
          <w:p>
            <w:pPr>
              <w:pStyle w:val="TableParagraph"/>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0"/>
              <w:rPr>
                <w:rFonts w:ascii="Times New Roman"/>
                <w:sz w:val="20"/>
              </w:rPr>
            </w:pPr>
          </w:p>
          <w:p>
            <w:pPr>
              <w:pStyle w:val="TableParagraph"/>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1508"/>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
              <w:rPr>
                <w:rFonts w:ascii="Times New Roman"/>
                <w:sz w:val="32"/>
              </w:rPr>
            </w:pPr>
          </w:p>
          <w:p>
            <w:pPr>
              <w:pStyle w:val="TableParagraph"/>
              <w:ind w:left="36"/>
              <w:jc w:val="center"/>
              <w:rPr>
                <w:rFonts w:ascii="Times New Roman"/>
                <w:sz w:val="21"/>
              </w:rPr>
            </w:pPr>
            <w:r>
              <w:rPr>
                <w:rFonts w:ascii="Times New Roman"/>
                <w:w w:val="99"/>
                <w:sz w:val="21"/>
              </w:rPr>
              <w:t>2</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21" w:line="261" w:lineRule="auto"/>
              <w:ind w:left="123" w:right="105"/>
              <w:jc w:val="center"/>
              <w:rPr>
                <w:sz w:val="21"/>
              </w:rPr>
            </w:pPr>
            <w:r>
              <w:rPr>
                <w:w w:val="95"/>
                <w:sz w:val="21"/>
              </w:rPr>
              <w:t>禁止在自然保护区核心区、缓冲区的岸线和 河段范围内投资建设旅游和生产经营项目。 禁止在风景名胜区核心景区的岸线和河段范 围内投资建设与风景名胜资源保护无关的项</w:t>
            </w:r>
            <w:r>
              <w:rPr>
                <w:sz w:val="21"/>
              </w:rPr>
              <w:t>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6"/>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6"/>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2095"/>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57"/>
              <w:ind w:left="36"/>
              <w:jc w:val="center"/>
              <w:rPr>
                <w:rFonts w:ascii="Times New Roman"/>
                <w:sz w:val="21"/>
              </w:rPr>
            </w:pPr>
            <w:r>
              <w:rPr>
                <w:rFonts w:ascii="Times New Roman"/>
                <w:w w:val="99"/>
                <w:sz w:val="21"/>
              </w:rPr>
              <w:t>3</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11" w:right="-15" w:hanging="106"/>
              <w:jc w:val="center"/>
              <w:rPr>
                <w:sz w:val="21"/>
              </w:rPr>
            </w:pPr>
            <w:r>
              <w:rPr>
                <w:sz w:val="21"/>
              </w:rPr>
              <w:t xml:space="preserve">禁止在饮用水水源一级保护区的岸线和河段 范围内新建、改建、扩建与供水设施和保护 </w:t>
            </w:r>
            <w:r>
              <w:rPr>
                <w:spacing w:val="-9"/>
                <w:w w:val="95"/>
                <w:sz w:val="21"/>
              </w:rPr>
              <w:t xml:space="preserve">水源无关的项目，以及网箱养殖、畜禽养殖、  </w:t>
            </w:r>
            <w:r>
              <w:rPr>
                <w:spacing w:val="-9"/>
                <w:sz w:val="21"/>
              </w:rPr>
              <w:t>旅游等可能污染饮用水水体的投资建设项</w:t>
            </w:r>
          </w:p>
          <w:p>
            <w:pPr>
              <w:pStyle w:val="TableParagraph"/>
              <w:spacing w:before="3" w:line="261" w:lineRule="auto"/>
              <w:ind w:left="123" w:right="105"/>
              <w:jc w:val="center"/>
              <w:rPr>
                <w:sz w:val="21"/>
              </w:rPr>
            </w:pPr>
            <w:r>
              <w:rPr>
                <w:w w:val="95"/>
                <w:sz w:val="21"/>
              </w:rPr>
              <w:t>目；禁止在饮用水水源二级保护区的岸线和 河段范围内新建、改建、扩建排放污染物的</w:t>
            </w:r>
          </w:p>
          <w:p>
            <w:pPr>
              <w:pStyle w:val="TableParagraph"/>
              <w:spacing w:before="1"/>
              <w:ind w:left="121" w:right="105"/>
              <w:jc w:val="center"/>
              <w:rPr>
                <w:sz w:val="21"/>
              </w:rPr>
            </w:pPr>
            <w:r>
              <w:rPr>
                <w:sz w:val="21"/>
              </w:rPr>
              <w:t>投资建设项目。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7" w:line="261" w:lineRule="auto"/>
              <w:ind w:left="113" w:right="91" w:hanging="3"/>
              <w:jc w:val="center"/>
              <w:rPr>
                <w:sz w:val="21"/>
              </w:rPr>
            </w:pPr>
            <w:r>
              <w:rPr>
                <w:sz w:val="21"/>
              </w:rPr>
              <w:t>项目属于河道治理</w:t>
            </w:r>
            <w:r>
              <w:rPr>
                <w:w w:val="95"/>
                <w:sz w:val="21"/>
              </w:rPr>
              <w:t>类项目，有利于水源</w:t>
            </w:r>
            <w:r>
              <w:rPr>
                <w:sz w:val="21"/>
              </w:rPr>
              <w:t>保护。</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18"/>
              </w:rPr>
            </w:pPr>
          </w:p>
          <w:p>
            <w:pPr>
              <w:pStyle w:val="TableParagraph"/>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1507"/>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2"/>
              <w:rPr>
                <w:rFonts w:ascii="Times New Roman"/>
                <w:sz w:val="32"/>
              </w:rPr>
            </w:pPr>
          </w:p>
          <w:p>
            <w:pPr>
              <w:pStyle w:val="TableParagraph"/>
              <w:ind w:left="36"/>
              <w:jc w:val="center"/>
              <w:rPr>
                <w:rFonts w:ascii="Times New Roman"/>
                <w:sz w:val="21"/>
              </w:rPr>
            </w:pPr>
            <w:r>
              <w:rPr>
                <w:rFonts w:ascii="Times New Roman"/>
                <w:w w:val="99"/>
                <w:sz w:val="21"/>
              </w:rPr>
              <w:t>4</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8" w:line="261" w:lineRule="auto"/>
              <w:ind w:left="123" w:right="105"/>
              <w:jc w:val="center"/>
              <w:rPr>
                <w:sz w:val="21"/>
              </w:rPr>
            </w:pPr>
            <w:r>
              <w:rPr>
                <w:w w:val="95"/>
                <w:sz w:val="21"/>
              </w:rPr>
              <w:t>禁止在水产种质资源保护区的岸线和河段范 围内新建围湖造田、围海造地或围填海等投 资建设项目。禁止在国家湿地公园的岸线和 河段范围内挖沙、采矿，以及任何不符合主</w:t>
            </w:r>
            <w:r>
              <w:rPr>
                <w:sz w:val="21"/>
              </w:rPr>
              <w:t>体功能定位的投资建设项目。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6"/>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6"/>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2366"/>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5"/>
              <w:rPr>
                <w:rFonts w:ascii="Times New Roman"/>
                <w:sz w:val="25"/>
              </w:rPr>
            </w:pPr>
          </w:p>
          <w:p>
            <w:pPr>
              <w:pStyle w:val="TableParagraph"/>
              <w:ind w:left="36"/>
              <w:jc w:val="center"/>
              <w:rPr>
                <w:rFonts w:ascii="Times New Roman"/>
                <w:sz w:val="21"/>
              </w:rPr>
            </w:pPr>
            <w:r>
              <w:rPr>
                <w:rFonts w:ascii="Times New Roman"/>
                <w:w w:val="99"/>
                <w:sz w:val="21"/>
              </w:rPr>
              <w:t>5</w:t>
            </w:r>
          </w:p>
        </w:tc>
        <w:tc>
          <w:tcPr>
            <w:tcW w:w="4230" w:type="dxa"/>
            <w:tcBorders>
              <w:top w:val="single" w:sz="4" w:space="0" w:color="000000"/>
              <w:left w:val="single" w:sz="4" w:space="0" w:color="000000"/>
              <w:bottom w:val="single" w:sz="18" w:space="0" w:color="000000"/>
              <w:right w:val="single" w:sz="4" w:space="0" w:color="000000"/>
            </w:tcBorders>
          </w:tcPr>
          <w:p>
            <w:pPr>
              <w:pStyle w:val="TableParagraph"/>
              <w:spacing w:before="20" w:line="261" w:lineRule="auto"/>
              <w:ind w:left="111" w:right="-15" w:firstLine="12"/>
              <w:jc w:val="both"/>
              <w:rPr>
                <w:sz w:val="21"/>
              </w:rPr>
            </w:pPr>
            <w:r>
              <w:rPr>
                <w:sz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w:t>
            </w:r>
            <w:r>
              <w:rPr>
                <w:w w:val="95"/>
                <w:sz w:val="21"/>
              </w:rPr>
              <w:t>要江河湖泊水功能区划》划定的河段保护区、</w:t>
            </w:r>
          </w:p>
          <w:p>
            <w:pPr>
              <w:pStyle w:val="TableParagraph"/>
              <w:spacing w:before="4"/>
              <w:ind w:left="123"/>
              <w:rPr>
                <w:sz w:val="21"/>
              </w:rPr>
            </w:pPr>
            <w:r>
              <w:rPr>
                <w:sz w:val="21"/>
              </w:rPr>
              <w:t>保留区内投资建设不利于水资源及自然生态</w:t>
            </w:r>
          </w:p>
        </w:tc>
        <w:tc>
          <w:tcPr>
            <w:tcW w:w="2060"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4"/>
              </w:rPr>
            </w:pPr>
          </w:p>
          <w:p>
            <w:pPr>
              <w:pStyle w:val="TableParagraph"/>
              <w:spacing w:before="1" w:line="261" w:lineRule="auto"/>
              <w:ind w:left="113" w:right="91" w:hanging="3"/>
              <w:jc w:val="center"/>
              <w:rPr>
                <w:sz w:val="21"/>
              </w:rPr>
            </w:pPr>
            <w:r>
              <w:rPr>
                <w:sz w:val="21"/>
              </w:rPr>
              <w:t>项目属于河道治理</w:t>
            </w:r>
            <w:r>
              <w:rPr>
                <w:w w:val="95"/>
                <w:sz w:val="21"/>
              </w:rPr>
              <w:t>类项目，有利于水资</w:t>
            </w:r>
            <w:r>
              <w:rPr>
                <w:sz w:val="21"/>
              </w:rPr>
              <w:t>源及自然生态保护</w:t>
            </w:r>
          </w:p>
        </w:tc>
        <w:tc>
          <w:tcPr>
            <w:tcW w:w="1104" w:type="dxa"/>
            <w:tcBorders>
              <w:top w:val="single" w:sz="4" w:space="0" w:color="000000"/>
              <w:left w:val="single" w:sz="4" w:space="0" w:color="000000"/>
              <w:bottom w:val="single" w:sz="18"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5"/>
              <w:ind w:left="315" w:right="311"/>
              <w:jc w:val="center"/>
              <w:rPr>
                <w:sz w:val="21"/>
              </w:rPr>
            </w:pPr>
            <w:r>
              <w:rPr>
                <w:sz w:val="21"/>
              </w:rPr>
              <w:t>符合</w:t>
            </w:r>
          </w:p>
        </w:tc>
      </w:tr>
    </w:tbl>
    <w:p>
      <w:pPr>
        <w:spacing w:after="0"/>
        <w:jc w:val="center"/>
        <w:rPr>
          <w:sz w:val="21"/>
        </w:rPr>
        <w:sectPr>
          <w:headerReference w:type="default" r:id="rId22"/>
          <w:footerReference w:type="default" r:id="rId23"/>
          <w:pgSz w:w="11910" w:h="16840"/>
          <w:pgMar w:top="1340" w:right="1120" w:bottom="1160" w:left="1220" w:header="891" w:footer="969"/>
          <w:pgNumType w:start="10"/>
          <w:cols w:space="708"/>
        </w:sectPr>
      </w:pPr>
    </w:p>
    <w:p>
      <w:pPr>
        <w:pStyle w:val="BodyText"/>
        <w:rPr>
          <w:rFonts w:ascii="Times New Roman"/>
          <w:sz w:val="20"/>
        </w:rPr>
      </w:pPr>
      <w:r>
        <w:pict>
          <v:shape id="_x0000_s1041" type="#_x0000_t202" style="width:453.4pt;height:657.9pt;margin-top:85.7pt;margin-left:76.07pt;mso-position-horizontal-relative:page;mso-position-vertical-relative:page;position:absolute;z-index:251665408" filled="f" stroked="f">
            <v:textbox inset="0,0,0,0">
              <w:txbxContent>
                <w:tbl>
                  <w:tblPr>
                    <w:tblStyle w:val="TableNormal6"/>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01"/>
                    <w:gridCol w:w="4230"/>
                    <w:gridCol w:w="2060"/>
                    <w:gridCol w:w="1104"/>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40"/>
                      <w:jc w:val="left"/>
                    </w:trPr>
                    <w:tc>
                      <w:tcPr>
                        <w:tcW w:w="1044" w:type="dxa"/>
                        <w:vMerge w:val="restart"/>
                        <w:tcBorders>
                          <w:right w:val="single" w:sz="4" w:space="0" w:color="000000"/>
                        </w:tcBorders>
                      </w:tcPr>
                      <w:p>
                        <w:pPr>
                          <w:pStyle w:val="TableParagraph"/>
                          <w:rPr>
                            <w:rFonts w:ascii="Times New Roman"/>
                            <w:sz w:val="20"/>
                          </w:rPr>
                        </w:pPr>
                      </w:p>
                    </w:tc>
                    <w:tc>
                      <w:tcPr>
                        <w:tcW w:w="601"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230"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121" w:right="105"/>
                          <w:jc w:val="center"/>
                          <w:rPr>
                            <w:sz w:val="21"/>
                          </w:rPr>
                        </w:pPr>
                        <w:r>
                          <w:rPr>
                            <w:sz w:val="21"/>
                          </w:rPr>
                          <w:t>保护的项目。</w:t>
                        </w:r>
                      </w:p>
                    </w:tc>
                    <w:tc>
                      <w:tcPr>
                        <w:tcW w:w="2060"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4"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10" w:type="dxa"/>
                      <w:tblLayout w:type="fixed"/>
                      <w:tblCellMar>
                        <w:top w:w="0" w:type="dxa"/>
                        <w:left w:w="0" w:type="dxa"/>
                        <w:bottom w:w="0" w:type="dxa"/>
                        <w:right w:w="0" w:type="dxa"/>
                      </w:tblCellMar>
                      <w:tblLook w:val="01E0"/>
                    </w:tblPrEx>
                    <w:trPr>
                      <w:trHeight w:val="625"/>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spacing w:before="182"/>
                          <w:ind w:left="36"/>
                          <w:jc w:val="center"/>
                          <w:rPr>
                            <w:rFonts w:ascii="Times New Roman"/>
                            <w:sz w:val="21"/>
                          </w:rPr>
                        </w:pPr>
                        <w:r>
                          <w:rPr>
                            <w:rFonts w:ascii="Times New Roman"/>
                            <w:w w:val="99"/>
                            <w:sz w:val="21"/>
                          </w:rPr>
                          <w:t>6</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280" w:right="105" w:hanging="1157"/>
                          <w:rPr>
                            <w:sz w:val="21"/>
                          </w:rPr>
                        </w:pPr>
                        <w:r>
                          <w:rPr>
                            <w:w w:val="95"/>
                            <w:sz w:val="21"/>
                          </w:rPr>
                          <w:t>禁止未经许可在长江干支流及湖泊新设、改</w:t>
                        </w:r>
                        <w:r>
                          <w:rPr>
                            <w:sz w:val="21"/>
                          </w:rPr>
                          <w:t>设或扩大排污口。</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165"/>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165"/>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625"/>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spacing w:before="181"/>
                          <w:ind w:left="36"/>
                          <w:jc w:val="center"/>
                          <w:rPr>
                            <w:rFonts w:ascii="Times New Roman"/>
                            <w:sz w:val="21"/>
                          </w:rPr>
                        </w:pPr>
                        <w:r>
                          <w:rPr>
                            <w:rFonts w:ascii="Times New Roman"/>
                            <w:w w:val="99"/>
                            <w:sz w:val="21"/>
                          </w:rPr>
                          <w:t>7</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8" w:line="261" w:lineRule="auto"/>
                          <w:ind w:left="755" w:right="39" w:hanging="632"/>
                          <w:rPr>
                            <w:sz w:val="21"/>
                          </w:rPr>
                        </w:pPr>
                        <w:r>
                          <w:rPr>
                            <w:sz w:val="21"/>
                          </w:rPr>
                          <w:t xml:space="preserve">禁止在“一江一口两湖七河”和 </w:t>
                        </w:r>
                        <w:r>
                          <w:rPr>
                            <w:rFonts w:ascii="Times New Roman" w:eastAsia="Times New Roman" w:hAnsi="Times New Roman"/>
                            <w:sz w:val="21"/>
                          </w:rPr>
                          <w:t xml:space="preserve">332 </w:t>
                        </w:r>
                        <w:r>
                          <w:rPr>
                            <w:sz w:val="21"/>
                          </w:rPr>
                          <w:t>个水生生物保护区开展生产性捕捞。</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165"/>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165"/>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1801"/>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16"/>
                          </w:rPr>
                        </w:pPr>
                      </w:p>
                      <w:p>
                        <w:pPr>
                          <w:pStyle w:val="TableParagraph"/>
                          <w:ind w:left="36"/>
                          <w:jc w:val="center"/>
                          <w:rPr>
                            <w:rFonts w:ascii="Times New Roman"/>
                            <w:sz w:val="21"/>
                          </w:rPr>
                        </w:pPr>
                        <w:r>
                          <w:rPr>
                            <w:rFonts w:ascii="Times New Roman"/>
                            <w:w w:val="99"/>
                            <w:sz w:val="21"/>
                          </w:rPr>
                          <w:t>8</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8" w:line="261" w:lineRule="auto"/>
                          <w:ind w:left="123" w:right="105"/>
                          <w:jc w:val="center"/>
                          <w:rPr>
                            <w:sz w:val="21"/>
                          </w:rPr>
                        </w:pPr>
                        <w:r>
                          <w:rPr>
                            <w:w w:val="95"/>
                            <w:sz w:val="21"/>
                          </w:rPr>
                          <w:t>禁止在长江干支流、重要湖泊岸线一公里范 围内新建、扩建化工园区和化工项目。禁止 在长江干流岸线三公里范围内和重要支流岸 线一公里范围内新建、改建、扩建尾矿库、 冶炼渣库和磷石膏库，以提升安全、生态环</w:t>
                        </w:r>
                        <w:r>
                          <w:rPr>
                            <w:sz w:val="21"/>
                          </w:rPr>
                          <w:t>境保护水平为目的的改建除外。</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9"/>
                          <w:rPr>
                            <w:sz w:val="18"/>
                          </w:rPr>
                        </w:pPr>
                      </w:p>
                      <w:p>
                        <w:pPr>
                          <w:pStyle w:val="TableParagraph"/>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spacing w:before="9"/>
                          <w:rPr>
                            <w:sz w:val="18"/>
                          </w:rPr>
                        </w:pPr>
                      </w:p>
                      <w:p>
                        <w:pPr>
                          <w:pStyle w:val="TableParagraph"/>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920"/>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spacing w:before="7"/>
                          <w:rPr>
                            <w:sz w:val="25"/>
                          </w:rPr>
                        </w:pPr>
                      </w:p>
                      <w:p>
                        <w:pPr>
                          <w:pStyle w:val="TableParagraph"/>
                          <w:spacing w:before="1"/>
                          <w:ind w:left="36"/>
                          <w:jc w:val="center"/>
                          <w:rPr>
                            <w:rFonts w:ascii="Times New Roman"/>
                            <w:sz w:val="21"/>
                          </w:rPr>
                        </w:pPr>
                        <w:r>
                          <w:rPr>
                            <w:rFonts w:ascii="Times New Roman"/>
                            <w:w w:val="99"/>
                            <w:sz w:val="21"/>
                          </w:rPr>
                          <w:t>9</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23" w:right="105"/>
                          <w:jc w:val="center"/>
                          <w:rPr>
                            <w:sz w:val="21"/>
                          </w:rPr>
                        </w:pPr>
                        <w:r>
                          <w:rPr>
                            <w:w w:val="95"/>
                            <w:sz w:val="21"/>
                          </w:rPr>
                          <w:t>禁止在合规园区外新建、扩建钢铁、石化、 化工、焦化、建材、有色、制浆造纸等高污</w:t>
                        </w:r>
                        <w:r>
                          <w:rPr>
                            <w:sz w:val="21"/>
                          </w:rPr>
                          <w:t>染项目。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6"/>
                          <w:rPr>
                            <w:sz w:val="24"/>
                          </w:rPr>
                        </w:pPr>
                      </w:p>
                      <w:p>
                        <w:pPr>
                          <w:pStyle w:val="TableParagraph"/>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6"/>
                          <w:rPr>
                            <w:sz w:val="24"/>
                          </w:rPr>
                        </w:pPr>
                      </w:p>
                      <w:p>
                        <w:pPr>
                          <w:pStyle w:val="TableParagraph"/>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626"/>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spacing w:before="180"/>
                          <w:ind w:left="186" w:right="155"/>
                          <w:jc w:val="center"/>
                          <w:rPr>
                            <w:rFonts w:ascii="Times New Roman"/>
                            <w:sz w:val="21"/>
                          </w:rPr>
                        </w:pPr>
                        <w:r>
                          <w:rPr>
                            <w:rFonts w:ascii="Times New Roman"/>
                            <w:sz w:val="21"/>
                          </w:rPr>
                          <w:t>10</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20"/>
                          <w:ind w:left="82" w:right="66"/>
                          <w:jc w:val="center"/>
                          <w:rPr>
                            <w:sz w:val="21"/>
                          </w:rPr>
                        </w:pPr>
                        <w:r>
                          <w:rPr>
                            <w:sz w:val="21"/>
                          </w:rPr>
                          <w:t>禁止新建、扩建不符合国家石化、现代煤化</w:t>
                        </w:r>
                      </w:p>
                      <w:p>
                        <w:pPr>
                          <w:pStyle w:val="TableParagraph"/>
                          <w:spacing w:before="23"/>
                          <w:ind w:left="123" w:right="105"/>
                          <w:jc w:val="center"/>
                          <w:rPr>
                            <w:sz w:val="21"/>
                          </w:rPr>
                        </w:pPr>
                        <w:r>
                          <w:rPr>
                            <w:sz w:val="21"/>
                          </w:rPr>
                          <w:t>工等产业布局规划的项目。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166"/>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166"/>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1805"/>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12" w:space="0" w:color="000000"/>
                          <w:right w:val="single" w:sz="4" w:space="0" w:color="000000"/>
                        </w:tcBorders>
                      </w:tcPr>
                      <w:p>
                        <w:pPr>
                          <w:pStyle w:val="TableParagraph"/>
                          <w:rPr>
                            <w:sz w:val="22"/>
                          </w:rPr>
                        </w:pPr>
                      </w:p>
                      <w:p>
                        <w:pPr>
                          <w:pStyle w:val="TableParagraph"/>
                          <w:rPr>
                            <w:sz w:val="22"/>
                          </w:rPr>
                        </w:pPr>
                      </w:p>
                      <w:p>
                        <w:pPr>
                          <w:pStyle w:val="TableParagraph"/>
                          <w:spacing w:before="1"/>
                          <w:rPr>
                            <w:sz w:val="16"/>
                          </w:rPr>
                        </w:pPr>
                      </w:p>
                      <w:p>
                        <w:pPr>
                          <w:pStyle w:val="TableParagraph"/>
                          <w:ind w:left="186" w:right="155"/>
                          <w:jc w:val="center"/>
                          <w:rPr>
                            <w:rFonts w:ascii="Times New Roman"/>
                            <w:sz w:val="21"/>
                          </w:rPr>
                        </w:pPr>
                        <w:r>
                          <w:rPr>
                            <w:rFonts w:ascii="Times New Roman"/>
                            <w:sz w:val="21"/>
                          </w:rPr>
                          <w:t>11</w:t>
                        </w:r>
                      </w:p>
                    </w:tc>
                    <w:tc>
                      <w:tcPr>
                        <w:tcW w:w="4230" w:type="dxa"/>
                        <w:tcBorders>
                          <w:top w:val="single" w:sz="4" w:space="0" w:color="000000"/>
                          <w:left w:val="single" w:sz="4" w:space="0" w:color="000000"/>
                          <w:bottom w:val="single" w:sz="12" w:space="0" w:color="000000"/>
                          <w:right w:val="single" w:sz="4" w:space="0" w:color="000000"/>
                        </w:tcBorders>
                      </w:tcPr>
                      <w:p>
                        <w:pPr>
                          <w:pStyle w:val="TableParagraph"/>
                          <w:spacing w:before="19" w:line="261" w:lineRule="auto"/>
                          <w:ind w:left="123" w:right="105"/>
                          <w:jc w:val="center"/>
                          <w:rPr>
                            <w:sz w:val="21"/>
                          </w:rPr>
                        </w:pPr>
                        <w:r>
                          <w:rPr>
                            <w:w w:val="95"/>
                            <w:sz w:val="21"/>
                          </w:rPr>
                          <w:t>禁止新建、扩建法律法规和相关政策明令禁 止的落后产能项目，以及明令淘汰的安全生 产落后工艺及装备项目。禁止新建、扩建不 符合国家产能置换要求的严重过剩产能行业 的项目。禁止新建、扩建不符合要求的高能</w:t>
                        </w:r>
                        <w:r>
                          <w:rPr>
                            <w:sz w:val="21"/>
                          </w:rPr>
                          <w:t>耗高排放项目。</w:t>
                        </w:r>
                      </w:p>
                    </w:tc>
                    <w:tc>
                      <w:tcPr>
                        <w:tcW w:w="2060" w:type="dxa"/>
                        <w:tcBorders>
                          <w:top w:val="single" w:sz="4" w:space="0" w:color="000000"/>
                          <w:left w:val="single" w:sz="4" w:space="0" w:color="000000"/>
                          <w:bottom w:val="single" w:sz="12" w:space="0" w:color="000000"/>
                          <w:right w:val="single" w:sz="4" w:space="0" w:color="000000"/>
                        </w:tcBorders>
                      </w:tcPr>
                      <w:p>
                        <w:pPr>
                          <w:pStyle w:val="TableParagraph"/>
                          <w:rPr>
                            <w:sz w:val="20"/>
                          </w:rPr>
                        </w:pPr>
                      </w:p>
                      <w:p>
                        <w:pPr>
                          <w:pStyle w:val="TableParagraph"/>
                          <w:rPr>
                            <w:sz w:val="20"/>
                          </w:rPr>
                        </w:pPr>
                      </w:p>
                      <w:p>
                        <w:pPr>
                          <w:pStyle w:val="TableParagraph"/>
                          <w:spacing w:before="10"/>
                          <w:rPr>
                            <w:sz w:val="18"/>
                          </w:rPr>
                        </w:pPr>
                      </w:p>
                      <w:p>
                        <w:pPr>
                          <w:pStyle w:val="TableParagraph"/>
                          <w:ind w:left="484" w:right="468"/>
                          <w:jc w:val="center"/>
                          <w:rPr>
                            <w:sz w:val="21"/>
                          </w:rPr>
                        </w:pPr>
                        <w:r>
                          <w:rPr>
                            <w:sz w:val="21"/>
                          </w:rPr>
                          <w:t>不涉及。</w:t>
                        </w:r>
                      </w:p>
                    </w:tc>
                    <w:tc>
                      <w:tcPr>
                        <w:tcW w:w="1104" w:type="dxa"/>
                        <w:tcBorders>
                          <w:top w:val="single" w:sz="4" w:space="0" w:color="000000"/>
                          <w:left w:val="single" w:sz="4" w:space="0" w:color="000000"/>
                          <w:bottom w:val="single" w:sz="12" w:space="0" w:color="000000"/>
                        </w:tcBorders>
                      </w:tcPr>
                      <w:p>
                        <w:pPr>
                          <w:pStyle w:val="TableParagraph"/>
                          <w:rPr>
                            <w:sz w:val="20"/>
                          </w:rPr>
                        </w:pPr>
                      </w:p>
                      <w:p>
                        <w:pPr>
                          <w:pStyle w:val="TableParagraph"/>
                          <w:rPr>
                            <w:sz w:val="20"/>
                          </w:rPr>
                        </w:pPr>
                      </w:p>
                      <w:p>
                        <w:pPr>
                          <w:pStyle w:val="TableParagraph"/>
                          <w:spacing w:before="10"/>
                          <w:rPr>
                            <w:sz w:val="18"/>
                          </w:rPr>
                        </w:pPr>
                      </w:p>
                      <w:p>
                        <w:pPr>
                          <w:pStyle w:val="TableParagraph"/>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2490"/>
                      <w:jc w:val="left"/>
                    </w:trPr>
                    <w:tc>
                      <w:tcPr>
                        <w:tcW w:w="1044" w:type="dxa"/>
                        <w:vMerge/>
                        <w:tcBorders>
                          <w:top w:val="nil"/>
                          <w:right w:val="single" w:sz="4" w:space="0" w:color="000000"/>
                        </w:tcBorders>
                      </w:tcPr>
                      <w:p>
                        <w:pPr>
                          <w:rPr>
                            <w:sz w:val="2"/>
                            <w:szCs w:val="2"/>
                          </w:rPr>
                        </w:pPr>
                      </w:p>
                    </w:tc>
                    <w:tc>
                      <w:tcPr>
                        <w:tcW w:w="7995" w:type="dxa"/>
                        <w:gridSpan w:val="4"/>
                        <w:tcBorders>
                          <w:top w:val="single" w:sz="12" w:space="0" w:color="000000"/>
                          <w:left w:val="single" w:sz="4" w:space="0" w:color="000000"/>
                          <w:bottom w:val="single" w:sz="12" w:space="0" w:color="000000"/>
                        </w:tcBorders>
                      </w:tcPr>
                      <w:p>
                        <w:pPr>
                          <w:pStyle w:val="TableParagraph"/>
                          <w:spacing w:before="1" w:line="362" w:lineRule="auto"/>
                          <w:ind w:left="21" w:right="115" w:firstLine="480"/>
                          <w:rPr>
                            <w:sz w:val="24"/>
                          </w:rPr>
                        </w:pPr>
                        <w:r>
                          <w:rPr>
                            <w:spacing w:val="-8"/>
                            <w:sz w:val="24"/>
                          </w:rPr>
                          <w:t>②与《长江经济带发展负面清单指南</w:t>
                        </w:r>
                        <w:r>
                          <w:rPr>
                            <w:sz w:val="24"/>
                          </w:rPr>
                          <w:t>（</w:t>
                        </w:r>
                        <w:r>
                          <w:rPr>
                            <w:spacing w:val="-3"/>
                            <w:sz w:val="24"/>
                          </w:rPr>
                          <w:t>试行，</w:t>
                        </w:r>
                        <w:r>
                          <w:rPr>
                            <w:rFonts w:ascii="Times New Roman" w:eastAsia="Times New Roman" w:hAnsi="Times New Roman"/>
                            <w:spacing w:val="-7"/>
                            <w:sz w:val="24"/>
                          </w:rPr>
                          <w:t xml:space="preserve">2022 </w:t>
                        </w:r>
                        <w:r>
                          <w:rPr>
                            <w:sz w:val="24"/>
                          </w:rPr>
                          <w:t>版</w:t>
                        </w:r>
                        <w:r>
                          <w:rPr>
                            <w:spacing w:val="-36"/>
                            <w:sz w:val="24"/>
                          </w:rPr>
                          <w:t>）</w:t>
                        </w:r>
                        <w:r>
                          <w:rPr>
                            <w:spacing w:val="-3"/>
                            <w:sz w:val="24"/>
                          </w:rPr>
                          <w:t>江苏省实施细则</w:t>
                        </w:r>
                        <w:r>
                          <w:rPr>
                            <w:sz w:val="24"/>
                          </w:rPr>
                          <w:t>的相符性分析</w:t>
                        </w:r>
                      </w:p>
                      <w:p>
                        <w:pPr>
                          <w:pStyle w:val="TableParagraph"/>
                          <w:spacing w:before="5" w:line="364" w:lineRule="auto"/>
                          <w:ind w:left="21" w:right="-15" w:firstLine="480"/>
                          <w:rPr>
                            <w:sz w:val="24"/>
                          </w:rPr>
                        </w:pPr>
                        <w:r>
                          <w:rPr>
                            <w:spacing w:val="-3"/>
                            <w:sz w:val="24"/>
                          </w:rPr>
                          <w:t>本项目与关于印发《长江经济带发展负面清单指南（</w:t>
                        </w:r>
                        <w:r>
                          <w:rPr>
                            <w:sz w:val="24"/>
                          </w:rPr>
                          <w:t>试行，</w:t>
                        </w:r>
                        <w:r>
                          <w:rPr>
                            <w:rFonts w:ascii="Times New Roman" w:eastAsia="Times New Roman"/>
                            <w:sz w:val="24"/>
                          </w:rPr>
                          <w:t>2022</w:t>
                        </w:r>
                        <w:r>
                          <w:rPr>
                            <w:rFonts w:ascii="Times New Roman" w:eastAsia="Times New Roman"/>
                            <w:spacing w:val="-4"/>
                            <w:sz w:val="24"/>
                          </w:rPr>
                          <w:t xml:space="preserve"> </w:t>
                        </w:r>
                        <w:r>
                          <w:rPr>
                            <w:sz w:val="24"/>
                          </w:rPr>
                          <w:t>版</w:t>
                        </w:r>
                        <w:r>
                          <w:rPr>
                            <w:spacing w:val="-5"/>
                            <w:sz w:val="24"/>
                          </w:rPr>
                          <w:t>）</w:t>
                        </w:r>
                        <w:r>
                          <w:rPr>
                            <w:sz w:val="24"/>
                          </w:rPr>
                          <w:t>江</w:t>
                        </w:r>
                        <w:r>
                          <w:rPr>
                            <w:spacing w:val="-4"/>
                            <w:sz w:val="24"/>
                          </w:rPr>
                          <w:t xml:space="preserve">苏省实施细则》的通知相符性分析详见表 </w:t>
                        </w:r>
                        <w:r>
                          <w:rPr>
                            <w:rFonts w:ascii="Times New Roman" w:eastAsia="Times New Roman"/>
                            <w:sz w:val="24"/>
                          </w:rPr>
                          <w:t>1-6</w:t>
                        </w:r>
                        <w:r>
                          <w:rPr>
                            <w:sz w:val="24"/>
                          </w:rPr>
                          <w:t>。</w:t>
                        </w:r>
                      </w:p>
                      <w:p>
                        <w:pPr>
                          <w:pStyle w:val="TableParagraph"/>
                          <w:spacing w:line="306" w:lineRule="exact"/>
                          <w:ind w:left="21" w:right="-15"/>
                          <w:jc w:val="center"/>
                          <w:rPr>
                            <w:b/>
                            <w:sz w:val="24"/>
                          </w:rPr>
                        </w:pPr>
                        <w:r>
                          <w:rPr>
                            <w:b/>
                            <w:sz w:val="24"/>
                          </w:rPr>
                          <w:t>表</w:t>
                        </w:r>
                        <w:r>
                          <w:rPr>
                            <w:rFonts w:ascii="Times New Roman" w:eastAsia="Times New Roman"/>
                            <w:b/>
                            <w:sz w:val="24"/>
                          </w:rPr>
                          <w:t>1-6</w:t>
                        </w:r>
                        <w:r>
                          <w:rPr>
                            <w:b/>
                            <w:spacing w:val="-4"/>
                            <w:sz w:val="24"/>
                          </w:rPr>
                          <w:t>项目与关于印发《长江经济带发展负面清单指南</w:t>
                        </w:r>
                        <w:r>
                          <w:rPr>
                            <w:b/>
                            <w:sz w:val="24"/>
                          </w:rPr>
                          <w:t>（</w:t>
                        </w:r>
                        <w:r>
                          <w:rPr>
                            <w:b/>
                            <w:spacing w:val="-2"/>
                            <w:sz w:val="24"/>
                          </w:rPr>
                          <w:t>试行，</w:t>
                        </w:r>
                        <w:r>
                          <w:rPr>
                            <w:rFonts w:ascii="Times New Roman" w:eastAsia="Times New Roman"/>
                            <w:b/>
                            <w:spacing w:val="-4"/>
                            <w:sz w:val="24"/>
                          </w:rPr>
                          <w:t>2022</w:t>
                        </w:r>
                        <w:r>
                          <w:rPr>
                            <w:b/>
                            <w:sz w:val="24"/>
                          </w:rPr>
                          <w:t>版</w:t>
                        </w:r>
                        <w:r>
                          <w:rPr>
                            <w:b/>
                            <w:spacing w:val="-15"/>
                            <w:sz w:val="24"/>
                          </w:rPr>
                          <w:t>）</w:t>
                        </w:r>
                        <w:r>
                          <w:rPr>
                            <w:b/>
                            <w:sz w:val="24"/>
                          </w:rPr>
                          <w:t>江苏</w:t>
                        </w:r>
                      </w:p>
                      <w:p>
                        <w:pPr>
                          <w:pStyle w:val="TableParagraph"/>
                          <w:spacing w:before="5" w:line="289" w:lineRule="exact"/>
                          <w:ind w:left="23" w:right="4"/>
                          <w:jc w:val="center"/>
                          <w:rPr>
                            <w:b/>
                            <w:sz w:val="24"/>
                          </w:rPr>
                        </w:pPr>
                        <w:r>
                          <w:rPr>
                            <w:b/>
                            <w:sz w:val="24"/>
                          </w:rPr>
                          <w:t>省实施细则》的通知相符性分析表</w:t>
                        </w:r>
                      </w:p>
                    </w:tc>
                  </w:tr>
                  <w:tr>
                    <w:tblPrEx>
                      <w:tblW w:w="0" w:type="auto"/>
                      <w:jc w:val="left"/>
                      <w:tblInd w:w="10" w:type="dxa"/>
                      <w:tblLayout w:type="fixed"/>
                      <w:tblCellMar>
                        <w:top w:w="0" w:type="dxa"/>
                        <w:left w:w="0" w:type="dxa"/>
                        <w:bottom w:w="0" w:type="dxa"/>
                        <w:right w:w="0" w:type="dxa"/>
                      </w:tblCellMar>
                      <w:tblLook w:val="01E0"/>
                    </w:tblPrEx>
                    <w:trPr>
                      <w:trHeight w:val="631"/>
                      <w:jc w:val="left"/>
                    </w:trPr>
                    <w:tc>
                      <w:tcPr>
                        <w:tcW w:w="1044" w:type="dxa"/>
                        <w:vMerge/>
                        <w:tcBorders>
                          <w:top w:val="nil"/>
                          <w:right w:val="single" w:sz="4" w:space="0" w:color="000000"/>
                        </w:tcBorders>
                      </w:tcPr>
                      <w:p>
                        <w:pPr>
                          <w:rPr>
                            <w:sz w:val="2"/>
                            <w:szCs w:val="2"/>
                          </w:rPr>
                        </w:pPr>
                      </w:p>
                    </w:tc>
                    <w:tc>
                      <w:tcPr>
                        <w:tcW w:w="601" w:type="dxa"/>
                        <w:tcBorders>
                          <w:top w:val="single" w:sz="12" w:space="0" w:color="000000"/>
                          <w:left w:val="single" w:sz="4" w:space="0" w:color="000000"/>
                          <w:bottom w:val="single" w:sz="4" w:space="0" w:color="000000"/>
                          <w:right w:val="single" w:sz="4" w:space="0" w:color="000000"/>
                        </w:tcBorders>
                      </w:tcPr>
                      <w:p>
                        <w:pPr>
                          <w:pStyle w:val="TableParagraph"/>
                          <w:spacing w:before="24" w:line="261" w:lineRule="auto"/>
                          <w:ind w:left="206" w:right="173"/>
                          <w:rPr>
                            <w:b/>
                            <w:sz w:val="21"/>
                          </w:rPr>
                        </w:pPr>
                        <w:r>
                          <w:rPr>
                            <w:b/>
                            <w:sz w:val="21"/>
                          </w:rPr>
                          <w:t>序号</w:t>
                        </w:r>
                      </w:p>
                    </w:tc>
                    <w:tc>
                      <w:tcPr>
                        <w:tcW w:w="4230" w:type="dxa"/>
                        <w:tcBorders>
                          <w:top w:val="single" w:sz="12" w:space="0" w:color="000000"/>
                          <w:left w:val="single" w:sz="4" w:space="0" w:color="000000"/>
                          <w:bottom w:val="single" w:sz="4" w:space="0" w:color="000000"/>
                          <w:right w:val="single" w:sz="4" w:space="0" w:color="000000"/>
                        </w:tcBorders>
                      </w:tcPr>
                      <w:p>
                        <w:pPr>
                          <w:pStyle w:val="TableParagraph"/>
                          <w:spacing w:before="171"/>
                          <w:ind w:left="123" w:right="105"/>
                          <w:jc w:val="center"/>
                          <w:rPr>
                            <w:b/>
                            <w:sz w:val="21"/>
                          </w:rPr>
                        </w:pPr>
                        <w:r>
                          <w:rPr>
                            <w:b/>
                            <w:sz w:val="21"/>
                          </w:rPr>
                          <w:t>管控条款</w:t>
                        </w:r>
                      </w:p>
                    </w:tc>
                    <w:tc>
                      <w:tcPr>
                        <w:tcW w:w="2060" w:type="dxa"/>
                        <w:tcBorders>
                          <w:top w:val="single" w:sz="12" w:space="0" w:color="000000"/>
                          <w:left w:val="single" w:sz="4" w:space="0" w:color="000000"/>
                          <w:bottom w:val="single" w:sz="4" w:space="0" w:color="000000"/>
                          <w:right w:val="single" w:sz="4" w:space="0" w:color="000000"/>
                        </w:tcBorders>
                      </w:tcPr>
                      <w:p>
                        <w:pPr>
                          <w:pStyle w:val="TableParagraph"/>
                          <w:spacing w:before="171"/>
                          <w:ind w:left="484" w:right="470"/>
                          <w:jc w:val="center"/>
                          <w:rPr>
                            <w:b/>
                            <w:sz w:val="21"/>
                          </w:rPr>
                        </w:pPr>
                        <w:r>
                          <w:rPr>
                            <w:b/>
                            <w:sz w:val="21"/>
                          </w:rPr>
                          <w:t>本项目情况</w:t>
                        </w:r>
                      </w:p>
                    </w:tc>
                    <w:tc>
                      <w:tcPr>
                        <w:tcW w:w="1104" w:type="dxa"/>
                        <w:tcBorders>
                          <w:top w:val="single" w:sz="12" w:space="0" w:color="000000"/>
                          <w:left w:val="single" w:sz="4" w:space="0" w:color="000000"/>
                          <w:bottom w:val="single" w:sz="4" w:space="0" w:color="000000"/>
                        </w:tcBorders>
                      </w:tcPr>
                      <w:p>
                        <w:pPr>
                          <w:pStyle w:val="TableParagraph"/>
                          <w:spacing w:before="24" w:line="261" w:lineRule="auto"/>
                          <w:ind w:left="443" w:right="117" w:hanging="317"/>
                          <w:rPr>
                            <w:b/>
                            <w:sz w:val="21"/>
                          </w:rPr>
                        </w:pPr>
                        <w:r>
                          <w:rPr>
                            <w:b/>
                            <w:sz w:val="21"/>
                          </w:rPr>
                          <w:t>符合性说明</w:t>
                        </w:r>
                      </w:p>
                    </w:tc>
                  </w:tr>
                  <w:tr>
                    <w:tblPrEx>
                      <w:tblW w:w="0" w:type="auto"/>
                      <w:jc w:val="left"/>
                      <w:tblInd w:w="10" w:type="dxa"/>
                      <w:tblLayout w:type="fixed"/>
                      <w:tblCellMar>
                        <w:top w:w="0" w:type="dxa"/>
                        <w:left w:w="0" w:type="dxa"/>
                        <w:bottom w:w="0" w:type="dxa"/>
                        <w:right w:w="0" w:type="dxa"/>
                      </w:tblCellMar>
                      <w:tblLook w:val="01E0"/>
                    </w:tblPrEx>
                    <w:trPr>
                      <w:trHeight w:val="1801"/>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16"/>
                          </w:rPr>
                        </w:pPr>
                      </w:p>
                      <w:p>
                        <w:pPr>
                          <w:pStyle w:val="TableParagraph"/>
                          <w:ind w:left="36"/>
                          <w:jc w:val="center"/>
                          <w:rPr>
                            <w:rFonts w:ascii="Times New Roman"/>
                            <w:sz w:val="21"/>
                          </w:rPr>
                        </w:pPr>
                        <w:r>
                          <w:rPr>
                            <w:rFonts w:ascii="Times New Roman"/>
                            <w:w w:val="99"/>
                            <w:sz w:val="21"/>
                          </w:rPr>
                          <w:t>1</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8" w:line="261" w:lineRule="auto"/>
                          <w:ind w:left="111" w:right="98" w:firstLine="4"/>
                          <w:jc w:val="center"/>
                          <w:rPr>
                            <w:sz w:val="21"/>
                          </w:rPr>
                        </w:pPr>
                        <w:r>
                          <w:rPr>
                            <w:rFonts w:ascii="Times New Roman" w:eastAsia="Times New Roman"/>
                            <w:sz w:val="21"/>
                          </w:rPr>
                          <w:t>1.</w:t>
                        </w:r>
                        <w:r>
                          <w:rPr>
                            <w:sz w:val="21"/>
                          </w:rPr>
                          <w:t>禁止建设不符合国家港口布局规划和《江</w:t>
                        </w:r>
                        <w:r>
                          <w:rPr>
                            <w:spacing w:val="-5"/>
                            <w:sz w:val="21"/>
                          </w:rPr>
                          <w:t>苏省沿江沿海港口布局规划</w:t>
                        </w:r>
                        <w:r>
                          <w:rPr>
                            <w:sz w:val="21"/>
                          </w:rPr>
                          <w:t>（</w:t>
                        </w:r>
                        <w:r>
                          <w:rPr>
                            <w:rFonts w:ascii="Times New Roman" w:eastAsia="Times New Roman"/>
                            <w:sz w:val="21"/>
                          </w:rPr>
                          <w:t xml:space="preserve">2015-2030 </w:t>
                        </w:r>
                        <w:r>
                          <w:rPr>
                            <w:sz w:val="21"/>
                          </w:rPr>
                          <w:t>年</w:t>
                        </w:r>
                        <w:r>
                          <w:rPr>
                            <w:spacing w:val="-51"/>
                            <w:sz w:val="21"/>
                          </w:rPr>
                          <w:t>）</w:t>
                        </w:r>
                      </w:p>
                      <w:p>
                        <w:pPr>
                          <w:pStyle w:val="TableParagraph"/>
                          <w:spacing w:before="2" w:line="261" w:lineRule="auto"/>
                          <w:ind w:left="111" w:right="-15" w:hanging="111"/>
                          <w:jc w:val="center"/>
                          <w:rPr>
                            <w:sz w:val="21"/>
                          </w:rPr>
                        </w:pPr>
                        <w:r>
                          <w:rPr>
                            <w:spacing w:val="-5"/>
                            <w:sz w:val="21"/>
                          </w:rPr>
                          <w:t>《江苏省内河港口布局规划</w:t>
                        </w:r>
                        <w:r>
                          <w:rPr>
                            <w:sz w:val="21"/>
                          </w:rPr>
                          <w:t>（</w:t>
                        </w:r>
                        <w:r>
                          <w:rPr>
                            <w:rFonts w:ascii="Times New Roman" w:eastAsia="Times New Roman"/>
                            <w:sz w:val="21"/>
                          </w:rPr>
                          <w:t>2017-2035</w:t>
                        </w:r>
                        <w:r>
                          <w:rPr>
                            <w:rFonts w:ascii="Times New Roman" w:eastAsia="Times New Roman"/>
                            <w:spacing w:val="-5"/>
                            <w:sz w:val="21"/>
                          </w:rPr>
                          <w:t xml:space="preserve"> </w:t>
                        </w:r>
                        <w:r>
                          <w:rPr>
                            <w:sz w:val="21"/>
                          </w:rPr>
                          <w:t>年</w:t>
                        </w:r>
                        <w:r>
                          <w:rPr>
                            <w:spacing w:val="-51"/>
                            <w:sz w:val="21"/>
                          </w:rPr>
                          <w:t xml:space="preserve">） </w:t>
                        </w:r>
                        <w:r>
                          <w:rPr>
                            <w:sz w:val="21"/>
                          </w:rPr>
                          <w:t xml:space="preserve">以及我省有关港口总体规划的码头项目，禁 </w:t>
                        </w:r>
                        <w:r>
                          <w:rPr>
                            <w:spacing w:val="-9"/>
                            <w:w w:val="95"/>
                            <w:sz w:val="21"/>
                          </w:rPr>
                          <w:t xml:space="preserve">止建设未纳入《长江干线过江通道布局规划》  </w:t>
                        </w:r>
                        <w:r>
                          <w:rPr>
                            <w:spacing w:val="-9"/>
                            <w:sz w:val="21"/>
                          </w:rPr>
                          <w:t>的过长江通道项目。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4"/>
                          <w:rPr>
                            <w:sz w:val="24"/>
                          </w:rPr>
                        </w:pPr>
                      </w:p>
                      <w:p>
                        <w:pPr>
                          <w:pStyle w:val="TableParagraph"/>
                          <w:ind w:left="-111"/>
                          <w:rPr>
                            <w:sz w:val="21"/>
                          </w:rPr>
                        </w:pPr>
                        <w:r>
                          <w:rPr>
                            <w:w w:val="99"/>
                            <w:sz w:val="21"/>
                          </w:rPr>
                          <w:t>》</w:t>
                        </w:r>
                      </w:p>
                      <w:p>
                        <w:pPr>
                          <w:pStyle w:val="TableParagraph"/>
                          <w:spacing w:before="26" w:line="214" w:lineRule="exact"/>
                          <w:ind w:left="-111"/>
                          <w:rPr>
                            <w:sz w:val="21"/>
                          </w:rPr>
                        </w:pPr>
                        <w:r>
                          <w:rPr>
                            <w:w w:val="99"/>
                            <w:sz w:val="21"/>
                          </w:rPr>
                          <w:t>》</w:t>
                        </w:r>
                      </w:p>
                      <w:p>
                        <w:pPr>
                          <w:pStyle w:val="TableParagraph"/>
                          <w:spacing w:line="214" w:lineRule="exact"/>
                          <w:ind w:left="614"/>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spacing w:before="9"/>
                          <w:rPr>
                            <w:sz w:val="19"/>
                          </w:rPr>
                        </w:pPr>
                      </w:p>
                      <w:p>
                        <w:pPr>
                          <w:pStyle w:val="TableParagraph"/>
                          <w:ind w:left="315" w:right="311"/>
                          <w:jc w:val="center"/>
                          <w:rPr>
                            <w:sz w:val="21"/>
                          </w:rPr>
                        </w:pPr>
                        <w:r>
                          <w:rPr>
                            <w:sz w:val="21"/>
                          </w:rPr>
                          <w:t>符合</w:t>
                        </w:r>
                      </w:p>
                    </w:tc>
                  </w:tr>
                  <w:tr>
                    <w:tblPrEx>
                      <w:tblW w:w="0" w:type="auto"/>
                      <w:jc w:val="left"/>
                      <w:tblInd w:w="10" w:type="dxa"/>
                      <w:tblLayout w:type="fixed"/>
                      <w:tblCellMar>
                        <w:top w:w="0" w:type="dxa"/>
                        <w:left w:w="0" w:type="dxa"/>
                        <w:bottom w:w="0" w:type="dxa"/>
                        <w:right w:w="0" w:type="dxa"/>
                      </w:tblCellMar>
                      <w:tblLook w:val="01E0"/>
                    </w:tblPrEx>
                    <w:trPr>
                      <w:trHeight w:val="1190"/>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18" w:space="0" w:color="000000"/>
                          <w:right w:val="single" w:sz="4" w:space="0" w:color="000000"/>
                        </w:tcBorders>
                      </w:tcPr>
                      <w:p>
                        <w:pPr>
                          <w:pStyle w:val="TableParagraph"/>
                          <w:rPr>
                            <w:sz w:val="22"/>
                          </w:rPr>
                        </w:pPr>
                      </w:p>
                      <w:p>
                        <w:pPr>
                          <w:pStyle w:val="TableParagraph"/>
                          <w:spacing w:before="181"/>
                          <w:ind w:left="36"/>
                          <w:jc w:val="center"/>
                          <w:rPr>
                            <w:rFonts w:ascii="Times New Roman"/>
                            <w:sz w:val="21"/>
                          </w:rPr>
                        </w:pPr>
                        <w:r>
                          <w:rPr>
                            <w:rFonts w:ascii="Times New Roman"/>
                            <w:w w:val="99"/>
                            <w:sz w:val="21"/>
                          </w:rPr>
                          <w:t>2</w:t>
                        </w:r>
                      </w:p>
                    </w:tc>
                    <w:tc>
                      <w:tcPr>
                        <w:tcW w:w="4230" w:type="dxa"/>
                        <w:tcBorders>
                          <w:top w:val="single" w:sz="4" w:space="0" w:color="000000"/>
                          <w:left w:val="single" w:sz="4" w:space="0" w:color="000000"/>
                          <w:bottom w:val="single" w:sz="18" w:space="0" w:color="000000"/>
                          <w:right w:val="single" w:sz="4" w:space="0" w:color="000000"/>
                        </w:tcBorders>
                      </w:tcPr>
                      <w:p>
                        <w:pPr>
                          <w:pStyle w:val="TableParagraph"/>
                          <w:spacing w:before="19" w:line="261" w:lineRule="auto"/>
                          <w:ind w:left="123" w:right="105" w:firstLine="105"/>
                          <w:rPr>
                            <w:sz w:val="21"/>
                          </w:rPr>
                        </w:pPr>
                        <w:r>
                          <w:rPr>
                            <w:sz w:val="21"/>
                          </w:rPr>
                          <w:t>严格执行《中华人民共和国自然保护区条</w:t>
                        </w:r>
                        <w:r>
                          <w:rPr>
                            <w:w w:val="95"/>
                            <w:sz w:val="21"/>
                          </w:rPr>
                          <w:t>例》，禁止在自然保护区核心区、缓冲区的 岸线和河段范围内投资建设旅游和生产经营</w:t>
                        </w:r>
                      </w:p>
                      <w:p>
                        <w:pPr>
                          <w:pStyle w:val="TableParagraph"/>
                          <w:spacing w:before="1"/>
                          <w:ind w:left="123"/>
                          <w:rPr>
                            <w:sz w:val="21"/>
                          </w:rPr>
                        </w:pPr>
                        <w:r>
                          <w:rPr>
                            <w:w w:val="95"/>
                            <w:sz w:val="21"/>
                          </w:rPr>
                          <w:t>项目。严格执行《风景名胜区条例》《江苏</w:t>
                        </w:r>
                      </w:p>
                    </w:tc>
                    <w:tc>
                      <w:tcPr>
                        <w:tcW w:w="2060" w:type="dxa"/>
                        <w:tcBorders>
                          <w:top w:val="single" w:sz="4" w:space="0" w:color="000000"/>
                          <w:left w:val="single" w:sz="4" w:space="0" w:color="000000"/>
                          <w:bottom w:val="single" w:sz="18" w:space="0" w:color="000000"/>
                          <w:right w:val="single" w:sz="4" w:space="0" w:color="000000"/>
                        </w:tcBorders>
                      </w:tcPr>
                      <w:p>
                        <w:pPr>
                          <w:pStyle w:val="TableParagraph"/>
                          <w:rPr>
                            <w:sz w:val="20"/>
                          </w:rPr>
                        </w:pPr>
                      </w:p>
                      <w:p>
                        <w:pPr>
                          <w:pStyle w:val="TableParagraph"/>
                          <w:rPr>
                            <w:sz w:val="15"/>
                          </w:rPr>
                        </w:pPr>
                      </w:p>
                      <w:p>
                        <w:pPr>
                          <w:pStyle w:val="TableParagraph"/>
                          <w:ind w:left="484" w:right="468"/>
                          <w:jc w:val="center"/>
                          <w:rPr>
                            <w:sz w:val="21"/>
                          </w:rPr>
                        </w:pPr>
                        <w:r>
                          <w:rPr>
                            <w:sz w:val="21"/>
                          </w:rPr>
                          <w:t>不涉及。</w:t>
                        </w:r>
                      </w:p>
                    </w:tc>
                    <w:tc>
                      <w:tcPr>
                        <w:tcW w:w="1104" w:type="dxa"/>
                        <w:tcBorders>
                          <w:top w:val="single" w:sz="4" w:space="0" w:color="000000"/>
                          <w:left w:val="single" w:sz="4" w:space="0" w:color="000000"/>
                          <w:bottom w:val="single" w:sz="18" w:space="0" w:color="000000"/>
                        </w:tcBorders>
                      </w:tcPr>
                      <w:p>
                        <w:pPr>
                          <w:pStyle w:val="TableParagraph"/>
                          <w:rPr>
                            <w:sz w:val="20"/>
                          </w:rPr>
                        </w:pPr>
                      </w:p>
                      <w:p>
                        <w:pPr>
                          <w:pStyle w:val="TableParagraph"/>
                          <w:rPr>
                            <w:sz w:val="15"/>
                          </w:rPr>
                        </w:pPr>
                      </w:p>
                      <w:p>
                        <w:pPr>
                          <w:pStyle w:val="TableParagraph"/>
                          <w:ind w:left="315" w:right="311"/>
                          <w:jc w:val="center"/>
                          <w:rPr>
                            <w:sz w:val="21"/>
                          </w:rPr>
                        </w:pPr>
                        <w:r>
                          <w:rPr>
                            <w:sz w:val="21"/>
                          </w:rPr>
                          <w:t>符合</w:t>
                        </w:r>
                      </w:p>
                    </w:tc>
                  </w:tr>
                </w:tbl>
                <w:p>
                  <w:pPr>
                    <w:pStyle w:val="BodyText"/>
                  </w:pPr>
                </w:p>
              </w:txbxContent>
            </v:textbox>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7"/>
        </w:rPr>
      </w:pPr>
    </w:p>
    <w:p>
      <w:pPr>
        <w:pStyle w:val="BodyText"/>
        <w:spacing w:before="76"/>
        <w:ind w:right="111"/>
        <w:jc w:val="right"/>
      </w:pPr>
      <w:r>
        <w:t>》</w:t>
      </w:r>
    </w:p>
    <w:p>
      <w:pPr>
        <w:spacing w:after="0"/>
        <w:jc w:val="right"/>
        <w:sectPr>
          <w:headerReference w:type="default" r:id="rId24"/>
          <w:footerReference w:type="default" r:id="rId25"/>
          <w:pgSz w:w="11910" w:h="16840"/>
          <w:pgMar w:top="1340" w:right="1120" w:bottom="1160" w:left="1220" w:header="891" w:footer="969"/>
          <w:pgNumType w:start="10"/>
          <w:cols w:space="708"/>
        </w:sectPr>
      </w:pPr>
    </w:p>
    <w:p>
      <w:pPr>
        <w:pStyle w:val="BodyText"/>
        <w:rPr>
          <w:rFonts w:ascii="Times New Roman"/>
          <w:sz w:val="20"/>
        </w:rPr>
      </w:pPr>
    </w:p>
    <w:p>
      <w:pPr>
        <w:pStyle w:val="BodyText"/>
        <w:spacing w:before="11"/>
        <w:rPr>
          <w:rFonts w:ascii="Times New Roman"/>
          <w:sz w:val="10"/>
        </w:rPr>
      </w:pPr>
    </w:p>
    <w:tbl>
      <w:tblPr>
        <w:tblStyle w:val="TableNormal7"/>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01"/>
        <w:gridCol w:w="4230"/>
        <w:gridCol w:w="2060"/>
        <w:gridCol w:w="1104"/>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180"/>
          <w:jc w:val="left"/>
        </w:trPr>
        <w:tc>
          <w:tcPr>
            <w:tcW w:w="1044" w:type="dxa"/>
            <w:vMerge w:val="restart"/>
            <w:tcBorders>
              <w:right w:val="single" w:sz="4" w:space="0" w:color="000000"/>
            </w:tcBorders>
          </w:tcPr>
          <w:p>
            <w:pPr>
              <w:pStyle w:val="TableParagraph"/>
              <w:rPr>
                <w:rFonts w:ascii="Times New Roman"/>
                <w:sz w:val="20"/>
              </w:rPr>
            </w:pPr>
          </w:p>
        </w:tc>
        <w:tc>
          <w:tcPr>
            <w:tcW w:w="601"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230"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82" w:right="66"/>
              <w:jc w:val="center"/>
              <w:rPr>
                <w:sz w:val="21"/>
              </w:rPr>
            </w:pPr>
            <w:r>
              <w:rPr>
                <w:sz w:val="21"/>
              </w:rPr>
              <w:t>省风景名胜区管理条例》，禁止在国家级和</w:t>
            </w:r>
          </w:p>
          <w:p>
            <w:pPr>
              <w:pStyle w:val="TableParagraph"/>
              <w:spacing w:before="23" w:line="261" w:lineRule="auto"/>
              <w:ind w:left="123" w:right="105"/>
              <w:jc w:val="center"/>
              <w:rPr>
                <w:sz w:val="21"/>
              </w:rPr>
            </w:pPr>
            <w:r>
              <w:rPr>
                <w:w w:val="95"/>
                <w:sz w:val="21"/>
              </w:rPr>
              <w:t>省级风景名胜区核心景区的岸线和河段范围</w:t>
            </w:r>
            <w:r>
              <w:rPr>
                <w:sz w:val="21"/>
              </w:rPr>
              <w:t>内投资建设与风景名胜资源保护无关的项 目。</w:t>
            </w:r>
          </w:p>
        </w:tc>
        <w:tc>
          <w:tcPr>
            <w:tcW w:w="2060"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4"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3857"/>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3"/>
              <w:rPr>
                <w:rFonts w:ascii="Times New Roman"/>
                <w:sz w:val="24"/>
              </w:rPr>
            </w:pPr>
          </w:p>
          <w:p>
            <w:pPr>
              <w:pStyle w:val="TableParagraph"/>
              <w:ind w:left="36"/>
              <w:jc w:val="center"/>
              <w:rPr>
                <w:rFonts w:ascii="Times New Roman"/>
                <w:sz w:val="21"/>
              </w:rPr>
            </w:pPr>
            <w:r>
              <w:rPr>
                <w:rFonts w:ascii="Times New Roman"/>
                <w:w w:val="99"/>
                <w:sz w:val="21"/>
              </w:rPr>
              <w:t>3</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ind w:left="82" w:right="66"/>
              <w:jc w:val="center"/>
              <w:rPr>
                <w:sz w:val="21"/>
              </w:rPr>
            </w:pPr>
            <w:r>
              <w:rPr>
                <w:sz w:val="21"/>
              </w:rPr>
              <w:t>严格执行《中华人民共和国水污染防治法》</w:t>
            </w:r>
          </w:p>
          <w:p>
            <w:pPr>
              <w:pStyle w:val="TableParagraph"/>
              <w:spacing w:before="24" w:line="261" w:lineRule="auto"/>
              <w:ind w:left="111" w:right="-15" w:hanging="106"/>
              <w:jc w:val="center"/>
              <w:rPr>
                <w:sz w:val="21"/>
              </w:rPr>
            </w:pPr>
            <w:r>
              <w:rPr>
                <w:sz w:val="21"/>
              </w:rPr>
              <w:t xml:space="preserve">《江苏省人民代表大会常务委员会关于加强 饮用水源地保护的决定》《江苏省水污染防 治条例》，禁止在饮用水水源一级保护区的 岸线和河段范围内新建、改建、扩建与供水 </w:t>
            </w:r>
            <w:r>
              <w:rPr>
                <w:spacing w:val="-7"/>
                <w:w w:val="95"/>
                <w:sz w:val="21"/>
              </w:rPr>
              <w:t xml:space="preserve">设施和保护水源无关的项目，以及网箱养殖、  </w:t>
            </w:r>
            <w:r>
              <w:rPr>
                <w:spacing w:val="-7"/>
                <w:sz w:val="21"/>
              </w:rPr>
              <w:t>畜禽养殖、旅游等可能污染饮用水水体的投 资建设项目；禁止在饮用水水源二级保护区 的岸线和河段范围内新建、改建、扩建排放 污染物的投资建设项目；禁止在饮用水水源 准保护区的岸线和河段范围内新建、扩建对 水体污染严重的投资建设项目，改建项目应 当消减排污量。</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9"/>
              </w:rPr>
            </w:pPr>
          </w:p>
          <w:p>
            <w:pPr>
              <w:pStyle w:val="TableParagraph"/>
              <w:spacing w:line="261" w:lineRule="auto"/>
              <w:ind w:left="113" w:right="91" w:hanging="3"/>
              <w:jc w:val="center"/>
              <w:rPr>
                <w:sz w:val="21"/>
              </w:rPr>
            </w:pPr>
            <w:r>
              <w:rPr>
                <w:sz w:val="21"/>
              </w:rPr>
              <w:t>项目属于河道治理</w:t>
            </w:r>
            <w:r>
              <w:rPr>
                <w:w w:val="95"/>
                <w:sz w:val="21"/>
              </w:rPr>
              <w:t>类项目，有利于水源</w:t>
            </w:r>
            <w:r>
              <w:rPr>
                <w:sz w:val="21"/>
              </w:rPr>
              <w:t>保护。</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3"/>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2390"/>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5"/>
              <w:rPr>
                <w:rFonts w:ascii="Times New Roman"/>
                <w:sz w:val="26"/>
              </w:rPr>
            </w:pPr>
          </w:p>
          <w:p>
            <w:pPr>
              <w:pStyle w:val="TableParagraph"/>
              <w:ind w:left="36"/>
              <w:jc w:val="center"/>
              <w:rPr>
                <w:rFonts w:ascii="Times New Roman"/>
                <w:sz w:val="21"/>
              </w:rPr>
            </w:pPr>
            <w:r>
              <w:rPr>
                <w:rFonts w:ascii="Times New Roman"/>
                <w:w w:val="99"/>
                <w:sz w:val="21"/>
              </w:rPr>
              <w:t>4</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23" w:right="105"/>
              <w:jc w:val="both"/>
              <w:rPr>
                <w:sz w:val="21"/>
              </w:rPr>
            </w:pPr>
            <w:r>
              <w:rPr>
                <w:w w:val="95"/>
                <w:sz w:val="21"/>
              </w:rPr>
              <w:t>严格执行《水产种质资源保护区管理暂行办 法》，禁止在国家级和省级水产种质资源保 护区的岸线和河段范围内新建围湖造田、围 海造地或围填海等投资建设项目。严格执行</w:t>
            </w:r>
          </w:p>
          <w:p>
            <w:pPr>
              <w:pStyle w:val="TableParagraph"/>
              <w:spacing w:before="3" w:line="261" w:lineRule="auto"/>
              <w:ind w:left="123" w:right="105"/>
              <w:jc w:val="center"/>
              <w:rPr>
                <w:sz w:val="21"/>
              </w:rPr>
            </w:pPr>
            <w:r>
              <w:rPr>
                <w:w w:val="95"/>
                <w:sz w:val="21"/>
              </w:rPr>
              <w:t>《中华人民共和国湿地保护法》《江苏省湿 地保护条例》，禁止在国家湿地公园的岸线 和河段范围内挖沙、采矿，以及任何不符合</w:t>
            </w:r>
            <w:r>
              <w:rPr>
                <w:sz w:val="21"/>
              </w:rPr>
              <w:t>主体功能定位的投资建设项目。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9"/>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9"/>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3857"/>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3"/>
              <w:rPr>
                <w:rFonts w:ascii="Times New Roman"/>
                <w:sz w:val="24"/>
              </w:rPr>
            </w:pPr>
          </w:p>
          <w:p>
            <w:pPr>
              <w:pStyle w:val="TableParagraph"/>
              <w:ind w:left="36"/>
              <w:jc w:val="center"/>
              <w:rPr>
                <w:rFonts w:ascii="Times New Roman"/>
                <w:sz w:val="21"/>
              </w:rPr>
            </w:pPr>
            <w:r>
              <w:rPr>
                <w:rFonts w:ascii="Times New Roman"/>
                <w:w w:val="99"/>
                <w:sz w:val="21"/>
              </w:rPr>
              <w:t>5</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23" w:right="105"/>
              <w:jc w:val="center"/>
              <w:rPr>
                <w:sz w:val="21"/>
              </w:rPr>
            </w:pPr>
            <w:r>
              <w:rPr>
                <w:w w:val="95"/>
                <w:sz w:val="21"/>
              </w:rPr>
              <w:t>禁止违法利用、占用长江流域河湖岸线。禁 止在《长江岸线保护和开发利用总体规划》 划定的岸线保护区和保留区内投资建设除事 关公共安全及公众利益的防洪护岸、河道治 理、供水、生态环境保护、航道整治、国家 重要基础设施以外的项目。长江干支流基础 设施项目，应按照《长江岸线保护和开发利 用总体规划》和生态环境保护、岸线保护等 要求，按规定开展项目前期论证并办理相关 手续。禁止在《全国重要江河湖泊水功能区 划》划定的河段及湖泊保护区、保留区内投</w:t>
            </w:r>
            <w:r>
              <w:rPr>
                <w:sz w:val="21"/>
              </w:rPr>
              <w:t>资建设不利于水资源及自然生态保护的项 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9"/>
              </w:rPr>
            </w:pPr>
          </w:p>
          <w:p>
            <w:pPr>
              <w:pStyle w:val="TableParagraph"/>
              <w:spacing w:line="261" w:lineRule="auto"/>
              <w:ind w:left="113" w:right="91" w:hanging="3"/>
              <w:jc w:val="center"/>
              <w:rPr>
                <w:sz w:val="21"/>
              </w:rPr>
            </w:pPr>
            <w:r>
              <w:rPr>
                <w:sz w:val="21"/>
              </w:rPr>
              <w:t>项目属于河道治理</w:t>
            </w:r>
            <w:r>
              <w:rPr>
                <w:w w:val="95"/>
                <w:sz w:val="21"/>
              </w:rPr>
              <w:t>类项目，有利于水资</w:t>
            </w:r>
            <w:r>
              <w:rPr>
                <w:sz w:val="21"/>
              </w:rPr>
              <w:t>源及自然生态保护</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3"/>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626"/>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4" w:space="0" w:color="000000"/>
              <w:right w:val="single" w:sz="4" w:space="0" w:color="000000"/>
            </w:tcBorders>
          </w:tcPr>
          <w:p>
            <w:pPr>
              <w:pStyle w:val="TableParagraph"/>
              <w:spacing w:before="182"/>
              <w:ind w:left="36"/>
              <w:jc w:val="center"/>
              <w:rPr>
                <w:rFonts w:ascii="Times New Roman"/>
                <w:sz w:val="21"/>
              </w:rPr>
            </w:pPr>
            <w:r>
              <w:rPr>
                <w:rFonts w:ascii="Times New Roman"/>
                <w:w w:val="99"/>
                <w:sz w:val="21"/>
              </w:rPr>
              <w:t>6</w:t>
            </w:r>
          </w:p>
        </w:tc>
        <w:tc>
          <w:tcPr>
            <w:tcW w:w="4230" w:type="dxa"/>
            <w:tcBorders>
              <w:top w:val="single" w:sz="4" w:space="0" w:color="000000"/>
              <w:left w:val="single" w:sz="4" w:space="0" w:color="000000"/>
              <w:bottom w:val="single" w:sz="4" w:space="0" w:color="000000"/>
              <w:right w:val="single" w:sz="4" w:space="0" w:color="000000"/>
            </w:tcBorders>
          </w:tcPr>
          <w:p>
            <w:pPr>
              <w:pStyle w:val="TableParagraph"/>
              <w:spacing w:before="19"/>
              <w:ind w:left="82" w:right="66"/>
              <w:jc w:val="center"/>
              <w:rPr>
                <w:sz w:val="21"/>
              </w:rPr>
            </w:pPr>
            <w:r>
              <w:rPr>
                <w:sz w:val="21"/>
              </w:rPr>
              <w:t>禁止未经许可在长江干支流及湖泊新设、改</w:t>
            </w:r>
          </w:p>
          <w:p>
            <w:pPr>
              <w:pStyle w:val="TableParagraph"/>
              <w:spacing w:before="24"/>
              <w:ind w:left="123" w:right="105"/>
              <w:jc w:val="center"/>
              <w:rPr>
                <w:sz w:val="21"/>
              </w:rPr>
            </w:pPr>
            <w:r>
              <w:rPr>
                <w:sz w:val="21"/>
              </w:rPr>
              <w:t>设或扩大排污口。</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166"/>
              <w:ind w:left="484" w:right="468"/>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166"/>
              <w:ind w:left="315" w:right="311"/>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1214"/>
          <w:jc w:val="left"/>
        </w:trPr>
        <w:tc>
          <w:tcPr>
            <w:tcW w:w="1044" w:type="dxa"/>
            <w:vMerge/>
            <w:tcBorders>
              <w:top w:val="nil"/>
              <w:right w:val="single" w:sz="4" w:space="0" w:color="000000"/>
            </w:tcBorders>
          </w:tcPr>
          <w:p>
            <w:pPr>
              <w:rPr>
                <w:sz w:val="2"/>
                <w:szCs w:val="2"/>
              </w:rPr>
            </w:pPr>
          </w:p>
        </w:tc>
        <w:tc>
          <w:tcPr>
            <w:tcW w:w="601"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2"/>
              </w:rPr>
            </w:pPr>
          </w:p>
          <w:p>
            <w:pPr>
              <w:pStyle w:val="TableParagraph"/>
              <w:spacing w:before="5"/>
              <w:rPr>
                <w:rFonts w:ascii="Times New Roman"/>
                <w:sz w:val="19"/>
              </w:rPr>
            </w:pPr>
          </w:p>
          <w:p>
            <w:pPr>
              <w:pStyle w:val="TableParagraph"/>
              <w:ind w:left="36"/>
              <w:jc w:val="center"/>
              <w:rPr>
                <w:rFonts w:ascii="Times New Roman"/>
                <w:sz w:val="21"/>
              </w:rPr>
            </w:pPr>
            <w:r>
              <w:rPr>
                <w:rFonts w:ascii="Times New Roman"/>
                <w:w w:val="99"/>
                <w:sz w:val="21"/>
              </w:rPr>
              <w:t>7</w:t>
            </w:r>
          </w:p>
        </w:tc>
        <w:tc>
          <w:tcPr>
            <w:tcW w:w="4230" w:type="dxa"/>
            <w:tcBorders>
              <w:top w:val="single" w:sz="4" w:space="0" w:color="000000"/>
              <w:left w:val="single" w:sz="4" w:space="0" w:color="000000"/>
              <w:bottom w:val="single" w:sz="18" w:space="0" w:color="000000"/>
              <w:right w:val="single" w:sz="4" w:space="0" w:color="000000"/>
            </w:tcBorders>
          </w:tcPr>
          <w:p>
            <w:pPr>
              <w:pStyle w:val="TableParagraph"/>
              <w:spacing w:before="19" w:line="261" w:lineRule="auto"/>
              <w:ind w:left="84" w:right="66"/>
              <w:jc w:val="center"/>
              <w:rPr>
                <w:sz w:val="21"/>
              </w:rPr>
            </w:pPr>
            <w:r>
              <w:rPr>
                <w:sz w:val="21"/>
              </w:rPr>
              <w:t>禁止长江干流、长江口、</w:t>
            </w:r>
            <w:r>
              <w:rPr>
                <w:rFonts w:ascii="Times New Roman" w:eastAsia="Times New Roman"/>
                <w:sz w:val="21"/>
              </w:rPr>
              <w:t xml:space="preserve">34 </w:t>
            </w:r>
            <w:r>
              <w:rPr>
                <w:sz w:val="21"/>
              </w:rPr>
              <w:t>个列入《率先全面禁捕的长江流域水生生物保护区名录》的水生生物保护区以及省规定的其它禁渔水域开展生产性捕捞。</w:t>
            </w:r>
          </w:p>
        </w:tc>
        <w:tc>
          <w:tcPr>
            <w:tcW w:w="2060"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
              <w:ind w:left="484" w:right="468"/>
              <w:jc w:val="center"/>
              <w:rPr>
                <w:sz w:val="21"/>
              </w:rPr>
            </w:pPr>
            <w:r>
              <w:rPr>
                <w:sz w:val="21"/>
              </w:rPr>
              <w:t>不涉及。</w:t>
            </w:r>
          </w:p>
        </w:tc>
        <w:tc>
          <w:tcPr>
            <w:tcW w:w="1104" w:type="dxa"/>
            <w:tcBorders>
              <w:top w:val="single" w:sz="4" w:space="0" w:color="000000"/>
              <w:left w:val="single" w:sz="4" w:space="0" w:color="000000"/>
              <w:bottom w:val="single" w:sz="18" w:space="0" w:color="000000"/>
            </w:tcBorders>
          </w:tcPr>
          <w:p>
            <w:pPr>
              <w:pStyle w:val="TableParagraph"/>
              <w:rPr>
                <w:rFonts w:ascii="Times New Roman"/>
                <w:sz w:val="20"/>
              </w:rPr>
            </w:pPr>
          </w:p>
          <w:p>
            <w:pPr>
              <w:pStyle w:val="TableParagraph"/>
              <w:rPr>
                <w:rFonts w:ascii="Times New Roman"/>
                <w:sz w:val="20"/>
              </w:rPr>
            </w:pPr>
          </w:p>
          <w:p>
            <w:pPr>
              <w:pStyle w:val="TableParagraph"/>
              <w:spacing w:before="1"/>
              <w:ind w:left="315" w:right="311"/>
              <w:jc w:val="center"/>
              <w:rPr>
                <w:sz w:val="21"/>
              </w:rPr>
            </w:pPr>
            <w:r>
              <w:rPr>
                <w:sz w:val="21"/>
              </w:rPr>
              <w:t>符合</w:t>
            </w:r>
          </w:p>
        </w:tc>
      </w:tr>
    </w:tbl>
    <w:p>
      <w:pPr>
        <w:spacing w:after="0"/>
        <w:jc w:val="center"/>
        <w:rPr>
          <w:sz w:val="21"/>
        </w:rPr>
        <w:sectPr>
          <w:headerReference w:type="default" r:id="rId26"/>
          <w:footerReference w:type="default" r:id="rId27"/>
          <w:pgSz w:w="11910" w:h="16840"/>
          <w:pgMar w:top="1340" w:right="1120" w:bottom="1160" w:left="1220" w:header="891" w:footer="969"/>
          <w:pgNumType w:start="11"/>
          <w:cols w:space="708"/>
        </w:sectPr>
      </w:pPr>
    </w:p>
    <w:p>
      <w:pPr>
        <w:pStyle w:val="BodyText"/>
        <w:rPr>
          <w:rFonts w:ascii="Times New Roman"/>
          <w:sz w:val="20"/>
        </w:rPr>
      </w:pPr>
    </w:p>
    <w:p>
      <w:pPr>
        <w:pStyle w:val="BodyText"/>
        <w:spacing w:before="11"/>
        <w:rPr>
          <w:rFonts w:ascii="Times New Roman"/>
          <w:sz w:val="10"/>
        </w:rPr>
      </w:pPr>
    </w:p>
    <w:tbl>
      <w:tblPr>
        <w:tblStyle w:val="TableNormal8"/>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28"/>
        <w:gridCol w:w="3924"/>
        <w:gridCol w:w="280"/>
        <w:gridCol w:w="2060"/>
        <w:gridCol w:w="1104"/>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224"/>
          <w:jc w:val="left"/>
        </w:trPr>
        <w:tc>
          <w:tcPr>
            <w:tcW w:w="1044" w:type="dxa"/>
            <w:vMerge w:val="restart"/>
            <w:tcBorders>
              <w:right w:val="single" w:sz="4" w:space="0" w:color="000000"/>
            </w:tcBorders>
          </w:tcPr>
          <w:p>
            <w:pPr>
              <w:pStyle w:val="TableParagraph"/>
              <w:rPr>
                <w:rFonts w:ascii="Times New Roman"/>
                <w:sz w:val="20"/>
              </w:rPr>
            </w:pPr>
          </w:p>
        </w:tc>
        <w:tc>
          <w:tcPr>
            <w:tcW w:w="628"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4"/>
              <w:rPr>
                <w:rFonts w:ascii="Times New Roman"/>
                <w:sz w:val="20"/>
              </w:rPr>
            </w:pPr>
          </w:p>
          <w:p>
            <w:pPr>
              <w:pStyle w:val="TableParagraph"/>
              <w:ind w:left="9"/>
              <w:jc w:val="center"/>
              <w:rPr>
                <w:rFonts w:ascii="Times New Roman"/>
                <w:sz w:val="21"/>
              </w:rPr>
            </w:pPr>
            <w:r>
              <w:rPr>
                <w:rFonts w:ascii="Times New Roman"/>
                <w:w w:val="99"/>
                <w:sz w:val="21"/>
              </w:rPr>
              <w:t>8</w:t>
            </w:r>
          </w:p>
        </w:tc>
        <w:tc>
          <w:tcPr>
            <w:tcW w:w="4204" w:type="dxa"/>
            <w:gridSpan w:val="2"/>
            <w:tcBorders>
              <w:top w:val="thinThickMediumGap" w:sz="6" w:space="0" w:color="000000"/>
              <w:left w:val="single" w:sz="4" w:space="0" w:color="000000"/>
              <w:bottom w:val="single" w:sz="4" w:space="0" w:color="000000"/>
              <w:right w:val="single" w:sz="4" w:space="0" w:color="000000"/>
            </w:tcBorders>
          </w:tcPr>
          <w:p>
            <w:pPr>
              <w:pStyle w:val="TableParagraph"/>
              <w:spacing w:before="32" w:line="261" w:lineRule="auto"/>
              <w:ind w:left="96" w:right="106"/>
              <w:jc w:val="both"/>
              <w:rPr>
                <w:sz w:val="21"/>
              </w:rPr>
            </w:pPr>
            <w:r>
              <w:rPr>
                <w:w w:val="95"/>
                <w:sz w:val="21"/>
              </w:rPr>
              <w:t>禁止在长江干支流岸线一公里范围内新建、 扩建化工园区和化工项目。长江干支流一公 里按照长江干支流岸线边界（即水利部门河</w:t>
            </w:r>
          </w:p>
          <w:p>
            <w:pPr>
              <w:pStyle w:val="TableParagraph"/>
              <w:spacing w:before="1"/>
              <w:ind w:left="96"/>
              <w:rPr>
                <w:sz w:val="21"/>
              </w:rPr>
            </w:pPr>
            <w:r>
              <w:rPr>
                <w:w w:val="95"/>
                <w:sz w:val="21"/>
              </w:rPr>
              <w:t>道管理范围边界）向陆域纵深一公里执行。</w:t>
            </w:r>
          </w:p>
        </w:tc>
        <w:tc>
          <w:tcPr>
            <w:tcW w:w="2060"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1"/>
              <w:rPr>
                <w:rFonts w:ascii="Times New Roman"/>
                <w:sz w:val="20"/>
              </w:rPr>
            </w:pPr>
          </w:p>
          <w:p>
            <w:pPr>
              <w:pStyle w:val="TableParagraph"/>
              <w:ind w:left="484" w:right="470"/>
              <w:jc w:val="center"/>
              <w:rPr>
                <w:sz w:val="21"/>
              </w:rPr>
            </w:pPr>
            <w:r>
              <w:rPr>
                <w:sz w:val="21"/>
              </w:rPr>
              <w:t>不涉及。</w:t>
            </w:r>
          </w:p>
        </w:tc>
        <w:tc>
          <w:tcPr>
            <w:tcW w:w="1104" w:type="dxa"/>
            <w:tcBorders>
              <w:top w:val="thinThickMediumGap" w:sz="6" w:space="0" w:color="000000"/>
              <w:left w:val="single" w:sz="4" w:space="0" w:color="000000"/>
              <w:bottom w:val="single" w:sz="4" w:space="0" w:color="000000"/>
            </w:tcBorders>
          </w:tcPr>
          <w:p>
            <w:pPr>
              <w:pStyle w:val="TableParagraph"/>
              <w:rPr>
                <w:rFonts w:ascii="Times New Roman"/>
                <w:sz w:val="20"/>
              </w:rPr>
            </w:pPr>
          </w:p>
          <w:p>
            <w:pPr>
              <w:pStyle w:val="TableParagraph"/>
              <w:spacing w:before="11"/>
              <w:rPr>
                <w:rFonts w:ascii="Times New Roman"/>
                <w:sz w:val="20"/>
              </w:rPr>
            </w:pPr>
          </w:p>
          <w:p>
            <w:pPr>
              <w:pStyle w:val="TableParagraph"/>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1212"/>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2"/>
              <w:rPr>
                <w:rFonts w:ascii="Times New Roman"/>
                <w:sz w:val="19"/>
              </w:rPr>
            </w:pPr>
          </w:p>
          <w:p>
            <w:pPr>
              <w:pStyle w:val="TableParagraph"/>
              <w:ind w:left="9"/>
              <w:jc w:val="center"/>
              <w:rPr>
                <w:rFonts w:ascii="Times New Roman"/>
                <w:sz w:val="21"/>
              </w:rPr>
            </w:pPr>
            <w:r>
              <w:rPr>
                <w:rFonts w:ascii="Times New Roman"/>
                <w:w w:val="99"/>
                <w:sz w:val="21"/>
              </w:rPr>
              <w:t>9</w:t>
            </w:r>
          </w:p>
        </w:tc>
        <w:tc>
          <w:tcPr>
            <w:tcW w:w="42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 w:line="261" w:lineRule="auto"/>
              <w:ind w:left="96" w:right="106"/>
              <w:jc w:val="center"/>
              <w:rPr>
                <w:sz w:val="21"/>
              </w:rPr>
            </w:pPr>
            <w:r>
              <w:rPr>
                <w:w w:val="95"/>
                <w:sz w:val="21"/>
              </w:rPr>
              <w:t>禁止在长江干流岸线三公里范围内新建、改 建、扩建尾矿库、冶炼渣库和磷石膏库，以 提升安全、生态环境保护水平为目的的改建</w:t>
            </w:r>
            <w:r>
              <w:rPr>
                <w:sz w:val="21"/>
              </w:rPr>
              <w:t>除外。</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ind w:left="484" w:right="470"/>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920"/>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8"/>
              </w:rPr>
            </w:pPr>
          </w:p>
          <w:p>
            <w:pPr>
              <w:pStyle w:val="TableParagraph"/>
              <w:ind w:left="186" w:right="182"/>
              <w:jc w:val="center"/>
              <w:rPr>
                <w:rFonts w:ascii="Times New Roman"/>
                <w:sz w:val="21"/>
              </w:rPr>
            </w:pPr>
            <w:r>
              <w:rPr>
                <w:rFonts w:ascii="Times New Roman"/>
                <w:sz w:val="21"/>
              </w:rPr>
              <w:t>10</w:t>
            </w:r>
          </w:p>
        </w:tc>
        <w:tc>
          <w:tcPr>
            <w:tcW w:w="42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
              <w:ind w:left="96"/>
              <w:rPr>
                <w:sz w:val="21"/>
              </w:rPr>
            </w:pPr>
            <w:r>
              <w:rPr>
                <w:sz w:val="21"/>
              </w:rPr>
              <w:t>禁止在太湖流域一、二、三级保护区内开展</w:t>
            </w:r>
          </w:p>
          <w:p>
            <w:pPr>
              <w:pStyle w:val="TableParagraph"/>
              <w:spacing w:before="5" w:line="290" w:lineRule="atLeast"/>
              <w:ind w:left="1568" w:right="106" w:hanging="1472"/>
              <w:rPr>
                <w:sz w:val="21"/>
              </w:rPr>
            </w:pPr>
            <w:r>
              <w:rPr>
                <w:w w:val="95"/>
                <w:sz w:val="21"/>
              </w:rPr>
              <w:t>《江苏省太湖水污染防治条例》禁止的投资</w:t>
            </w:r>
            <w:r>
              <w:rPr>
                <w:sz w:val="21"/>
              </w:rPr>
              <w:t>建设活动。</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7"/>
              </w:rPr>
            </w:pPr>
          </w:p>
          <w:p>
            <w:pPr>
              <w:pStyle w:val="TableParagraph"/>
              <w:ind w:left="484" w:right="470"/>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3"/>
              <w:rPr>
                <w:rFonts w:ascii="Times New Roman"/>
                <w:sz w:val="27"/>
              </w:rPr>
            </w:pPr>
          </w:p>
          <w:p>
            <w:pPr>
              <w:pStyle w:val="TableParagraph"/>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626"/>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4" w:space="0" w:color="000000"/>
              <w:right w:val="single" w:sz="4" w:space="0" w:color="000000"/>
            </w:tcBorders>
          </w:tcPr>
          <w:p>
            <w:pPr>
              <w:pStyle w:val="TableParagraph"/>
              <w:spacing w:before="180"/>
              <w:ind w:left="186" w:right="182"/>
              <w:jc w:val="center"/>
              <w:rPr>
                <w:rFonts w:ascii="Times New Roman"/>
                <w:sz w:val="21"/>
              </w:rPr>
            </w:pPr>
            <w:r>
              <w:rPr>
                <w:rFonts w:ascii="Times New Roman"/>
                <w:sz w:val="21"/>
              </w:rPr>
              <w:t>11</w:t>
            </w:r>
          </w:p>
        </w:tc>
        <w:tc>
          <w:tcPr>
            <w:tcW w:w="42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0"/>
              <w:ind w:left="77" w:right="86"/>
              <w:jc w:val="center"/>
              <w:rPr>
                <w:sz w:val="21"/>
              </w:rPr>
            </w:pPr>
            <w:r>
              <w:rPr>
                <w:sz w:val="21"/>
              </w:rPr>
              <w:t>禁止在沿江地区新建、扩建未纳入国家和省</w:t>
            </w:r>
          </w:p>
          <w:p>
            <w:pPr>
              <w:pStyle w:val="TableParagraph"/>
              <w:spacing w:before="23"/>
              <w:ind w:left="96" w:right="103"/>
              <w:jc w:val="center"/>
              <w:rPr>
                <w:sz w:val="21"/>
              </w:rPr>
            </w:pPr>
            <w:r>
              <w:rPr>
                <w:sz w:val="21"/>
              </w:rPr>
              <w:t>布局规划的燃煤发电项目。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166"/>
              <w:ind w:left="484" w:right="470"/>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166"/>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1506"/>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32"/>
              </w:rPr>
            </w:pPr>
          </w:p>
          <w:p>
            <w:pPr>
              <w:pStyle w:val="TableParagraph"/>
              <w:ind w:left="186" w:right="182"/>
              <w:jc w:val="center"/>
              <w:rPr>
                <w:rFonts w:ascii="Times New Roman"/>
                <w:sz w:val="21"/>
              </w:rPr>
            </w:pPr>
            <w:r>
              <w:rPr>
                <w:rFonts w:ascii="Times New Roman"/>
                <w:sz w:val="21"/>
              </w:rPr>
              <w:t>12</w:t>
            </w:r>
          </w:p>
        </w:tc>
        <w:tc>
          <w:tcPr>
            <w:tcW w:w="42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84" w:right="94" w:hanging="1"/>
              <w:jc w:val="center"/>
              <w:rPr>
                <w:sz w:val="21"/>
              </w:rPr>
            </w:pPr>
            <w:r>
              <w:rPr>
                <w:sz w:val="21"/>
              </w:rPr>
              <w:t>禁止在合规园区外新建、扩建钢铁、石化、化工、焦化、建材、有色、制浆造纸等高污染项目。合规园区名录按照《〈长江经济带</w:t>
            </w:r>
            <w:r>
              <w:rPr>
                <w:spacing w:val="-1"/>
                <w:sz w:val="21"/>
              </w:rPr>
              <w:t>发展负面清单指南</w:t>
            </w:r>
            <w:r>
              <w:rPr>
                <w:sz w:val="21"/>
              </w:rPr>
              <w:t>（试行，</w:t>
            </w:r>
            <w:r>
              <w:rPr>
                <w:rFonts w:ascii="Times New Roman" w:eastAsia="Times New Roman"/>
                <w:sz w:val="21"/>
              </w:rPr>
              <w:t>2022</w:t>
            </w:r>
            <w:r>
              <w:rPr>
                <w:rFonts w:ascii="Times New Roman" w:eastAsia="Times New Roman"/>
                <w:spacing w:val="-18"/>
                <w:sz w:val="21"/>
              </w:rPr>
              <w:t xml:space="preserve"> </w:t>
            </w:r>
            <w:r>
              <w:rPr>
                <w:sz w:val="21"/>
              </w:rPr>
              <w:t>年版</w:t>
            </w:r>
            <w:r>
              <w:rPr>
                <w:spacing w:val="-5"/>
                <w:sz w:val="21"/>
              </w:rPr>
              <w:t>）</w:t>
            </w:r>
            <w:r>
              <w:rPr>
                <w:spacing w:val="-4"/>
                <w:sz w:val="21"/>
              </w:rPr>
              <w:t>〉江苏省实施细则合规园区名录》执行。</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5"/>
              <w:ind w:left="484" w:right="470"/>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45"/>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626"/>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4" w:space="0" w:color="000000"/>
              <w:right w:val="single" w:sz="4" w:space="0" w:color="000000"/>
            </w:tcBorders>
          </w:tcPr>
          <w:p>
            <w:pPr>
              <w:pStyle w:val="TableParagraph"/>
              <w:spacing w:before="181"/>
              <w:ind w:left="186" w:right="182"/>
              <w:jc w:val="center"/>
              <w:rPr>
                <w:rFonts w:ascii="Times New Roman"/>
                <w:sz w:val="21"/>
              </w:rPr>
            </w:pPr>
            <w:r>
              <w:rPr>
                <w:rFonts w:ascii="Times New Roman"/>
                <w:sz w:val="21"/>
              </w:rPr>
              <w:t>13</w:t>
            </w:r>
          </w:p>
        </w:tc>
        <w:tc>
          <w:tcPr>
            <w:tcW w:w="42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1"/>
              <w:ind w:left="77" w:right="86"/>
              <w:jc w:val="center"/>
              <w:rPr>
                <w:sz w:val="21"/>
              </w:rPr>
            </w:pPr>
            <w:r>
              <w:rPr>
                <w:sz w:val="21"/>
              </w:rPr>
              <w:t>禁止在取消化工定位的园区（集中区）内新</w:t>
            </w:r>
          </w:p>
          <w:p>
            <w:pPr>
              <w:pStyle w:val="TableParagraph"/>
              <w:spacing w:before="24"/>
              <w:ind w:left="96" w:right="105"/>
              <w:jc w:val="center"/>
              <w:rPr>
                <w:sz w:val="21"/>
              </w:rPr>
            </w:pPr>
            <w:r>
              <w:rPr>
                <w:sz w:val="21"/>
              </w:rPr>
              <w:t>建化工项目。</w:t>
            </w:r>
          </w:p>
        </w:tc>
        <w:tc>
          <w:tcPr>
            <w:tcW w:w="2060" w:type="dxa"/>
            <w:tcBorders>
              <w:top w:val="single" w:sz="4" w:space="0" w:color="000000"/>
              <w:left w:val="single" w:sz="4" w:space="0" w:color="000000"/>
              <w:bottom w:val="single" w:sz="4" w:space="0" w:color="000000"/>
              <w:right w:val="single" w:sz="4" w:space="0" w:color="000000"/>
            </w:tcBorders>
          </w:tcPr>
          <w:p>
            <w:pPr>
              <w:pStyle w:val="TableParagraph"/>
              <w:spacing w:before="165"/>
              <w:ind w:left="484" w:right="470"/>
              <w:jc w:val="center"/>
              <w:rPr>
                <w:sz w:val="21"/>
              </w:rPr>
            </w:pPr>
            <w:r>
              <w:rPr>
                <w:sz w:val="21"/>
              </w:rPr>
              <w:t>不涉及。</w:t>
            </w:r>
          </w:p>
        </w:tc>
        <w:tc>
          <w:tcPr>
            <w:tcW w:w="1104" w:type="dxa"/>
            <w:tcBorders>
              <w:top w:val="single" w:sz="4" w:space="0" w:color="000000"/>
              <w:left w:val="single" w:sz="4" w:space="0" w:color="000000"/>
              <w:bottom w:val="single" w:sz="4" w:space="0" w:color="000000"/>
            </w:tcBorders>
          </w:tcPr>
          <w:p>
            <w:pPr>
              <w:pStyle w:val="TableParagraph"/>
              <w:spacing w:before="165"/>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630"/>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12" w:space="0" w:color="000000"/>
              <w:right w:val="single" w:sz="4" w:space="0" w:color="000000"/>
            </w:tcBorders>
          </w:tcPr>
          <w:p>
            <w:pPr>
              <w:pStyle w:val="TableParagraph"/>
              <w:spacing w:before="181"/>
              <w:ind w:left="186" w:right="182"/>
              <w:jc w:val="center"/>
              <w:rPr>
                <w:rFonts w:ascii="Times New Roman"/>
                <w:sz w:val="21"/>
              </w:rPr>
            </w:pPr>
            <w:r>
              <w:rPr>
                <w:rFonts w:ascii="Times New Roman"/>
                <w:sz w:val="21"/>
              </w:rPr>
              <w:t>14</w:t>
            </w:r>
          </w:p>
        </w:tc>
        <w:tc>
          <w:tcPr>
            <w:tcW w:w="4204"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20" w:line="261" w:lineRule="auto"/>
              <w:ind w:left="1568" w:right="106" w:hanging="1472"/>
              <w:rPr>
                <w:sz w:val="21"/>
              </w:rPr>
            </w:pPr>
            <w:r>
              <w:rPr>
                <w:w w:val="95"/>
                <w:sz w:val="21"/>
              </w:rPr>
              <w:t>禁止在化工企业周边建设不符合安全距离规</w:t>
            </w:r>
            <w:r>
              <w:rPr>
                <w:sz w:val="21"/>
              </w:rPr>
              <w:t>定的劳动。</w:t>
            </w:r>
          </w:p>
        </w:tc>
        <w:tc>
          <w:tcPr>
            <w:tcW w:w="2060" w:type="dxa"/>
            <w:tcBorders>
              <w:top w:val="single" w:sz="4" w:space="0" w:color="000000"/>
              <w:left w:val="single" w:sz="4" w:space="0" w:color="000000"/>
              <w:bottom w:val="single" w:sz="12" w:space="0" w:color="000000"/>
              <w:right w:val="single" w:sz="4" w:space="0" w:color="000000"/>
            </w:tcBorders>
          </w:tcPr>
          <w:p>
            <w:pPr>
              <w:pStyle w:val="TableParagraph"/>
              <w:spacing w:before="167"/>
              <w:ind w:left="484" w:right="470"/>
              <w:jc w:val="center"/>
              <w:rPr>
                <w:sz w:val="21"/>
              </w:rPr>
            </w:pPr>
            <w:r>
              <w:rPr>
                <w:sz w:val="21"/>
              </w:rPr>
              <w:t>不涉及。</w:t>
            </w:r>
          </w:p>
        </w:tc>
        <w:tc>
          <w:tcPr>
            <w:tcW w:w="1104" w:type="dxa"/>
            <w:tcBorders>
              <w:top w:val="single" w:sz="4" w:space="0" w:color="000000"/>
              <w:left w:val="single" w:sz="4" w:space="0" w:color="000000"/>
              <w:bottom w:val="single" w:sz="12" w:space="0" w:color="000000"/>
            </w:tcBorders>
          </w:tcPr>
          <w:p>
            <w:pPr>
              <w:pStyle w:val="TableParagraph"/>
              <w:spacing w:before="167"/>
              <w:ind w:left="314" w:right="312"/>
              <w:jc w:val="center"/>
              <w:rPr>
                <w:sz w:val="21"/>
              </w:rPr>
            </w:pPr>
            <w:r>
              <w:rPr>
                <w:sz w:val="21"/>
              </w:rPr>
              <w:t>符合</w:t>
            </w:r>
          </w:p>
        </w:tc>
      </w:tr>
      <w:tr>
        <w:tblPrEx>
          <w:tblW w:w="0" w:type="auto"/>
          <w:jc w:val="left"/>
          <w:tblInd w:w="321" w:type="dxa"/>
          <w:tblLayout w:type="fixed"/>
          <w:tblCellMar>
            <w:top w:w="0" w:type="dxa"/>
            <w:left w:w="0" w:type="dxa"/>
            <w:bottom w:w="0" w:type="dxa"/>
            <w:right w:w="0" w:type="dxa"/>
          </w:tblCellMar>
          <w:tblLook w:val="01E0"/>
        </w:tblPrEx>
        <w:trPr>
          <w:trHeight w:val="3734"/>
          <w:jc w:val="left"/>
        </w:trPr>
        <w:tc>
          <w:tcPr>
            <w:tcW w:w="1044" w:type="dxa"/>
            <w:vMerge/>
            <w:tcBorders>
              <w:top w:val="nil"/>
              <w:right w:val="single" w:sz="4" w:space="0" w:color="000000"/>
            </w:tcBorders>
          </w:tcPr>
          <w:p>
            <w:pPr>
              <w:rPr>
                <w:sz w:val="2"/>
                <w:szCs w:val="2"/>
              </w:rPr>
            </w:pPr>
          </w:p>
        </w:tc>
        <w:tc>
          <w:tcPr>
            <w:tcW w:w="7996" w:type="dxa"/>
            <w:gridSpan w:val="5"/>
            <w:tcBorders>
              <w:top w:val="single" w:sz="12" w:space="0" w:color="000000"/>
              <w:left w:val="single" w:sz="4" w:space="0" w:color="000000"/>
              <w:bottom w:val="single" w:sz="12" w:space="0" w:color="000000"/>
            </w:tcBorders>
          </w:tcPr>
          <w:p>
            <w:pPr>
              <w:pStyle w:val="TableParagraph"/>
              <w:spacing w:before="2"/>
              <w:ind w:left="501"/>
              <w:rPr>
                <w:sz w:val="24"/>
              </w:rPr>
            </w:pPr>
            <w:r>
              <w:rPr>
                <w:sz w:val="24"/>
              </w:rPr>
              <w:t>（</w:t>
            </w:r>
            <w:r>
              <w:rPr>
                <w:rFonts w:ascii="Times New Roman" w:eastAsia="Times New Roman"/>
                <w:sz w:val="24"/>
              </w:rPr>
              <w:t>8</w:t>
            </w:r>
            <w:r>
              <w:rPr>
                <w:sz w:val="24"/>
              </w:rPr>
              <w:t>）结论</w:t>
            </w:r>
          </w:p>
          <w:p>
            <w:pPr>
              <w:pStyle w:val="TableParagraph"/>
              <w:spacing w:before="158"/>
              <w:ind w:left="501"/>
              <w:rPr>
                <w:sz w:val="24"/>
              </w:rPr>
            </w:pPr>
            <w:r>
              <w:rPr>
                <w:sz w:val="24"/>
              </w:rPr>
              <w:t>综上所述，本项目符合“三线一单”要求。</w:t>
            </w:r>
          </w:p>
          <w:p>
            <w:pPr>
              <w:pStyle w:val="TableParagraph"/>
              <w:spacing w:before="160" w:line="362" w:lineRule="auto"/>
              <w:ind w:left="21" w:right="-15" w:firstLine="480"/>
              <w:jc w:val="both"/>
              <w:rPr>
                <w:b/>
                <w:sz w:val="24"/>
              </w:rPr>
            </w:pPr>
            <w:r>
              <w:rPr>
                <w:rFonts w:ascii="Times New Roman" w:eastAsia="Times New Roman"/>
                <w:b/>
                <w:sz w:val="24"/>
              </w:rPr>
              <w:t>2</w:t>
            </w:r>
            <w:r>
              <w:rPr>
                <w:b/>
                <w:spacing w:val="-11"/>
                <w:sz w:val="24"/>
              </w:rPr>
              <w:t>、与《省生态环境厅关于印发江苏省重点行业堆场扬尘污染防治指导意见（试行）的通知》（苏环办〔</w:t>
            </w:r>
            <w:r>
              <w:rPr>
                <w:rFonts w:ascii="Times New Roman" w:eastAsia="Times New Roman"/>
                <w:b/>
                <w:spacing w:val="-11"/>
                <w:sz w:val="24"/>
              </w:rPr>
              <w:t>2021</w:t>
            </w:r>
            <w:r>
              <w:rPr>
                <w:b/>
                <w:spacing w:val="-11"/>
                <w:sz w:val="24"/>
              </w:rPr>
              <w:t>〕</w:t>
            </w:r>
            <w:r>
              <w:rPr>
                <w:rFonts w:ascii="Times New Roman" w:eastAsia="Times New Roman"/>
                <w:b/>
                <w:spacing w:val="-11"/>
                <w:sz w:val="24"/>
              </w:rPr>
              <w:t>80</w:t>
            </w:r>
            <w:r>
              <w:rPr>
                <w:rFonts w:ascii="Times New Roman" w:eastAsia="Times New Roman"/>
                <w:b/>
                <w:spacing w:val="59"/>
                <w:sz w:val="24"/>
              </w:rPr>
              <w:t xml:space="preserve"> </w:t>
            </w:r>
            <w:r>
              <w:rPr>
                <w:b/>
                <w:sz w:val="24"/>
              </w:rPr>
              <w:t>号）相符性分析</w:t>
            </w:r>
          </w:p>
          <w:p>
            <w:pPr>
              <w:pStyle w:val="TableParagraph"/>
              <w:spacing w:before="5" w:line="364" w:lineRule="auto"/>
              <w:ind w:left="21" w:right="-15" w:firstLine="480"/>
              <w:jc w:val="both"/>
              <w:rPr>
                <w:sz w:val="24"/>
              </w:rPr>
            </w:pPr>
            <w:r>
              <w:rPr>
                <w:sz w:val="24"/>
              </w:rPr>
              <w:t>本项目存在施工场地，对照《省生态环境厅关于印发江苏省重点行业堆场扬尘污染防治指导意见（试行）的通知》（苏环办〔</w:t>
            </w:r>
            <w:r>
              <w:rPr>
                <w:rFonts w:ascii="Times New Roman" w:eastAsia="Times New Roman"/>
                <w:sz w:val="24"/>
              </w:rPr>
              <w:t>2021</w:t>
            </w:r>
            <w:r>
              <w:rPr>
                <w:sz w:val="24"/>
              </w:rPr>
              <w:t>〕</w:t>
            </w:r>
            <w:r>
              <w:rPr>
                <w:rFonts w:ascii="Times New Roman" w:eastAsia="Times New Roman"/>
                <w:sz w:val="24"/>
              </w:rPr>
              <w:t>80</w:t>
            </w:r>
            <w:r>
              <w:rPr>
                <w:sz w:val="24"/>
              </w:rPr>
              <w:t>号）相符性分析见下表所示。</w:t>
            </w:r>
          </w:p>
          <w:p>
            <w:pPr>
              <w:pStyle w:val="TableParagraph"/>
              <w:spacing w:line="307" w:lineRule="exact"/>
              <w:ind w:left="2095"/>
              <w:jc w:val="both"/>
              <w:rPr>
                <w:b/>
                <w:sz w:val="24"/>
              </w:rPr>
            </w:pPr>
            <w:r>
              <w:rPr>
                <w:b/>
                <w:sz w:val="24"/>
              </w:rPr>
              <w:t>表</w:t>
            </w:r>
            <w:r>
              <w:rPr>
                <w:rFonts w:ascii="Times New Roman" w:eastAsia="Times New Roman"/>
                <w:b/>
                <w:sz w:val="24"/>
              </w:rPr>
              <w:t>1-7</w:t>
            </w:r>
            <w:r>
              <w:rPr>
                <w:rFonts w:ascii="Times New Roman" w:eastAsia="Times New Roman"/>
                <w:b/>
                <w:spacing w:val="59"/>
                <w:sz w:val="24"/>
              </w:rPr>
              <w:t xml:space="preserve"> </w:t>
            </w:r>
            <w:r>
              <w:rPr>
                <w:b/>
                <w:sz w:val="24"/>
              </w:rPr>
              <w:t>与苏环办〔</w:t>
            </w:r>
            <w:r>
              <w:rPr>
                <w:rFonts w:ascii="Times New Roman" w:eastAsia="Times New Roman"/>
                <w:b/>
                <w:sz w:val="24"/>
              </w:rPr>
              <w:t>2021</w:t>
            </w:r>
            <w:r>
              <w:rPr>
                <w:b/>
                <w:sz w:val="24"/>
              </w:rPr>
              <w:t>〕</w:t>
            </w:r>
            <w:r>
              <w:rPr>
                <w:rFonts w:ascii="Times New Roman" w:eastAsia="Times New Roman"/>
                <w:b/>
                <w:sz w:val="24"/>
              </w:rPr>
              <w:t>80</w:t>
            </w:r>
            <w:r>
              <w:rPr>
                <w:b/>
                <w:sz w:val="24"/>
              </w:rPr>
              <w:t>号相符性分析</w:t>
            </w:r>
          </w:p>
        </w:tc>
      </w:tr>
      <w:tr>
        <w:tblPrEx>
          <w:tblW w:w="0" w:type="auto"/>
          <w:jc w:val="left"/>
          <w:tblInd w:w="321" w:type="dxa"/>
          <w:tblLayout w:type="fixed"/>
          <w:tblCellMar>
            <w:top w:w="0" w:type="dxa"/>
            <w:left w:w="0" w:type="dxa"/>
            <w:bottom w:w="0" w:type="dxa"/>
            <w:right w:w="0" w:type="dxa"/>
          </w:tblCellMar>
          <w:tblLook w:val="01E0"/>
        </w:tblPrEx>
        <w:trPr>
          <w:trHeight w:val="631"/>
          <w:jc w:val="left"/>
        </w:trPr>
        <w:tc>
          <w:tcPr>
            <w:tcW w:w="1044" w:type="dxa"/>
            <w:vMerge/>
            <w:tcBorders>
              <w:top w:val="nil"/>
              <w:right w:val="single" w:sz="4" w:space="0" w:color="000000"/>
            </w:tcBorders>
          </w:tcPr>
          <w:p>
            <w:pPr>
              <w:rPr>
                <w:sz w:val="2"/>
                <w:szCs w:val="2"/>
              </w:rPr>
            </w:pPr>
          </w:p>
        </w:tc>
        <w:tc>
          <w:tcPr>
            <w:tcW w:w="628" w:type="dxa"/>
            <w:tcBorders>
              <w:top w:val="single" w:sz="12" w:space="0" w:color="000000"/>
              <w:left w:val="single" w:sz="4" w:space="0" w:color="000000"/>
              <w:bottom w:val="single" w:sz="4" w:space="0" w:color="000000"/>
              <w:right w:val="single" w:sz="4" w:space="0" w:color="000000"/>
            </w:tcBorders>
          </w:tcPr>
          <w:p>
            <w:pPr>
              <w:pStyle w:val="TableParagraph"/>
              <w:spacing w:before="4" w:line="290" w:lineRule="atLeast"/>
              <w:ind w:left="235" w:right="171"/>
              <w:rPr>
                <w:b/>
                <w:sz w:val="21"/>
              </w:rPr>
            </w:pPr>
            <w:r>
              <w:rPr>
                <w:b/>
                <w:sz w:val="21"/>
              </w:rPr>
              <w:t>内容</w:t>
            </w:r>
          </w:p>
        </w:tc>
        <w:tc>
          <w:tcPr>
            <w:tcW w:w="3924" w:type="dxa"/>
            <w:tcBorders>
              <w:top w:val="single" w:sz="12" w:space="0" w:color="000000"/>
              <w:left w:val="single" w:sz="4" w:space="0" w:color="000000"/>
              <w:bottom w:val="single" w:sz="4" w:space="0" w:color="000000"/>
              <w:right w:val="single" w:sz="4" w:space="0" w:color="000000"/>
            </w:tcBorders>
          </w:tcPr>
          <w:p>
            <w:pPr>
              <w:pStyle w:val="TableParagraph"/>
              <w:spacing w:before="169"/>
              <w:ind w:left="1537" w:right="1492"/>
              <w:jc w:val="center"/>
              <w:rPr>
                <w:b/>
                <w:sz w:val="21"/>
              </w:rPr>
            </w:pPr>
            <w:r>
              <w:rPr>
                <w:b/>
                <w:sz w:val="21"/>
              </w:rPr>
              <w:t>具体要求</w:t>
            </w:r>
          </w:p>
        </w:tc>
        <w:tc>
          <w:tcPr>
            <w:tcW w:w="3444" w:type="dxa"/>
            <w:gridSpan w:val="3"/>
            <w:tcBorders>
              <w:top w:val="single" w:sz="12" w:space="0" w:color="000000"/>
              <w:left w:val="single" w:sz="4" w:space="0" w:color="000000"/>
              <w:bottom w:val="single" w:sz="4" w:space="0" w:color="000000"/>
            </w:tcBorders>
          </w:tcPr>
          <w:p>
            <w:pPr>
              <w:pStyle w:val="TableParagraph"/>
              <w:spacing w:before="169"/>
              <w:ind w:left="137" w:right="137"/>
              <w:jc w:val="center"/>
              <w:rPr>
                <w:b/>
                <w:sz w:val="21"/>
              </w:rPr>
            </w:pPr>
            <w:r>
              <w:rPr>
                <w:b/>
                <w:sz w:val="21"/>
              </w:rPr>
              <w:t>符合性说明</w:t>
            </w:r>
          </w:p>
        </w:tc>
      </w:tr>
      <w:tr>
        <w:tblPrEx>
          <w:tblW w:w="0" w:type="auto"/>
          <w:jc w:val="left"/>
          <w:tblInd w:w="321" w:type="dxa"/>
          <w:tblLayout w:type="fixed"/>
          <w:tblCellMar>
            <w:top w:w="0" w:type="dxa"/>
            <w:left w:w="0" w:type="dxa"/>
            <w:bottom w:w="0" w:type="dxa"/>
            <w:right w:w="0" w:type="dxa"/>
          </w:tblCellMar>
          <w:tblLook w:val="01E0"/>
        </w:tblPrEx>
        <w:trPr>
          <w:trHeight w:val="1896"/>
          <w:jc w:val="left"/>
        </w:trPr>
        <w:tc>
          <w:tcPr>
            <w:tcW w:w="1044" w:type="dxa"/>
            <w:vMerge/>
            <w:tcBorders>
              <w:top w:val="nil"/>
              <w:right w:val="single" w:sz="4" w:space="0" w:color="000000"/>
            </w:tcBorders>
          </w:tcPr>
          <w:p>
            <w:pPr>
              <w:rPr>
                <w:sz w:val="2"/>
                <w:szCs w:val="2"/>
              </w:rPr>
            </w:pPr>
          </w:p>
        </w:tc>
        <w:tc>
          <w:tcPr>
            <w:tcW w:w="628"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6"/>
              </w:rPr>
            </w:pPr>
          </w:p>
          <w:p>
            <w:pPr>
              <w:pStyle w:val="TableParagraph"/>
              <w:spacing w:line="261" w:lineRule="auto"/>
              <w:ind w:left="129" w:right="68"/>
              <w:rPr>
                <w:sz w:val="21"/>
              </w:rPr>
            </w:pPr>
            <w:r>
              <w:rPr>
                <w:sz w:val="21"/>
              </w:rPr>
              <w:t>物料储存</w:t>
            </w:r>
          </w:p>
        </w:tc>
        <w:tc>
          <w:tcPr>
            <w:tcW w:w="3924" w:type="dxa"/>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137" w:right="92" w:firstLine="26"/>
              <w:jc w:val="both"/>
              <w:rPr>
                <w:sz w:val="21"/>
              </w:rPr>
            </w:pPr>
            <w:r>
              <w:rPr>
                <w:sz w:val="21"/>
              </w:rPr>
              <w:t>对水泥稳定（级配）碎石</w:t>
            </w:r>
            <w:r>
              <w:rPr>
                <w:rFonts w:ascii="Times New Roman" w:eastAsia="Times New Roman"/>
                <w:sz w:val="21"/>
              </w:rPr>
              <w:t>/</w:t>
            </w:r>
            <w:r>
              <w:rPr>
                <w:sz w:val="21"/>
              </w:rPr>
              <w:t>水泥混凝土拌</w:t>
            </w:r>
            <w:r>
              <w:rPr>
                <w:spacing w:val="-11"/>
                <w:w w:val="95"/>
                <w:sz w:val="21"/>
              </w:rPr>
              <w:t>和站、预制场、钢筋加工厂、沥青混凝土</w:t>
            </w:r>
            <w:r>
              <w:rPr>
                <w:spacing w:val="-15"/>
                <w:w w:val="95"/>
                <w:sz w:val="21"/>
              </w:rPr>
              <w:t>拌和站实施封闭管理，混凝土拌和站、预</w:t>
            </w:r>
            <w:r>
              <w:rPr>
                <w:spacing w:val="-17"/>
                <w:w w:val="95"/>
                <w:sz w:val="21"/>
              </w:rPr>
              <w:t>制场应设置自动喷淋设施，鼓励建立水泥</w:t>
            </w:r>
            <w:r>
              <w:rPr>
                <w:spacing w:val="-13"/>
                <w:w w:val="95"/>
                <w:sz w:val="21"/>
              </w:rPr>
              <w:t>拌和、预制一体化封闭厂房。石灰石消解</w:t>
            </w:r>
            <w:r>
              <w:rPr>
                <w:spacing w:val="-15"/>
                <w:w w:val="95"/>
                <w:sz w:val="21"/>
              </w:rPr>
              <w:t>过程必须密闭进行，其他产生扬尘的物料</w:t>
            </w:r>
          </w:p>
          <w:p>
            <w:pPr>
              <w:pStyle w:val="TableParagraph"/>
              <w:spacing w:line="246" w:lineRule="exact"/>
              <w:ind w:left="137" w:right="-15"/>
              <w:rPr>
                <w:sz w:val="21"/>
              </w:rPr>
            </w:pPr>
            <w:r>
              <w:rPr>
                <w:sz w:val="21"/>
              </w:rPr>
              <w:t>应当密闭贮存；不具备密闭贮存条件的，</w:t>
            </w:r>
          </w:p>
        </w:tc>
        <w:tc>
          <w:tcPr>
            <w:tcW w:w="3444" w:type="dxa"/>
            <w:gridSpan w:val="3"/>
            <w:tcBorders>
              <w:top w:val="single" w:sz="4" w:space="0" w:color="000000"/>
              <w:left w:val="single" w:sz="4" w:space="0" w:color="000000"/>
              <w:bottom w:val="single" w:sz="18" w:space="0" w:color="000000"/>
            </w:tcBorders>
          </w:tcPr>
          <w:p>
            <w:pPr>
              <w:pStyle w:val="TableParagraph"/>
              <w:spacing w:line="242" w:lineRule="auto"/>
              <w:ind w:left="111" w:right="94" w:firstLine="148"/>
              <w:rPr>
                <w:sz w:val="21"/>
              </w:rPr>
            </w:pPr>
            <w:r>
              <w:rPr>
                <w:spacing w:val="-3"/>
                <w:sz w:val="21"/>
              </w:rPr>
              <w:t>项目施工场地不设置混凝土搅拌站，均就近购买成品混凝土。项目</w:t>
            </w:r>
            <w:r>
              <w:rPr>
                <w:spacing w:val="-13"/>
                <w:w w:val="95"/>
                <w:sz w:val="21"/>
              </w:rPr>
              <w:t>临时物料堆场采取顶棚、围墙进行密</w:t>
            </w:r>
            <w:r>
              <w:rPr>
                <w:spacing w:val="-12"/>
                <w:w w:val="95"/>
                <w:sz w:val="21"/>
              </w:rPr>
              <w:t>闭储存；项目废弃土方运至指定的渣</w:t>
            </w:r>
            <w:r>
              <w:rPr>
                <w:spacing w:val="-5"/>
                <w:sz w:val="21"/>
              </w:rPr>
              <w:t>土处理场地、建筑垃圾运至指定建</w:t>
            </w:r>
            <w:r>
              <w:rPr>
                <w:spacing w:val="-3"/>
                <w:sz w:val="21"/>
              </w:rPr>
              <w:t>筑垃圾堆场或回收利用、河道淤泥</w:t>
            </w:r>
          </w:p>
          <w:p>
            <w:pPr>
              <w:pStyle w:val="TableParagraph"/>
              <w:spacing w:line="246" w:lineRule="exact"/>
              <w:ind w:left="135"/>
              <w:rPr>
                <w:sz w:val="21"/>
              </w:rPr>
            </w:pPr>
            <w:r>
              <w:rPr>
                <w:spacing w:val="-14"/>
                <w:sz w:val="21"/>
              </w:rPr>
              <w:t>外售制砖；根据以上分析，本项目物</w:t>
            </w:r>
          </w:p>
        </w:tc>
      </w:tr>
    </w:tbl>
    <w:p>
      <w:pPr>
        <w:spacing w:after="0" w:line="246" w:lineRule="exact"/>
        <w:rPr>
          <w:sz w:val="21"/>
        </w:rPr>
        <w:sectPr>
          <w:headerReference w:type="default" r:id="rId28"/>
          <w:footerReference w:type="default" r:id="rId29"/>
          <w:pgSz w:w="11910" w:h="16840"/>
          <w:pgMar w:top="1340" w:right="1120" w:bottom="1160" w:left="1220" w:header="891" w:footer="969"/>
          <w:pgNumType w:start="12"/>
          <w:cols w:space="708"/>
        </w:sectPr>
      </w:pPr>
    </w:p>
    <w:p>
      <w:pPr>
        <w:pStyle w:val="BodyText"/>
        <w:rPr>
          <w:rFonts w:ascii="Times New Roman"/>
          <w:sz w:val="20"/>
        </w:rPr>
      </w:pPr>
    </w:p>
    <w:p>
      <w:pPr>
        <w:pStyle w:val="BodyText"/>
        <w:spacing w:before="11"/>
        <w:rPr>
          <w:rFonts w:ascii="Times New Roman"/>
          <w:sz w:val="10"/>
        </w:rPr>
      </w:pPr>
    </w:p>
    <w:tbl>
      <w:tblPr>
        <w:tblStyle w:val="TableNormal9"/>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654"/>
        <w:gridCol w:w="3897"/>
        <w:gridCol w:w="3444"/>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797"/>
          <w:jc w:val="left"/>
        </w:trPr>
        <w:tc>
          <w:tcPr>
            <w:tcW w:w="1044" w:type="dxa"/>
            <w:vMerge w:val="restart"/>
            <w:tcBorders>
              <w:right w:val="single" w:sz="4" w:space="0" w:color="000000"/>
            </w:tcBorders>
          </w:tcPr>
          <w:p>
            <w:pPr>
              <w:pStyle w:val="TableParagraph"/>
              <w:rPr>
                <w:rFonts w:ascii="Times New Roman"/>
                <w:sz w:val="20"/>
              </w:rPr>
            </w:pPr>
          </w:p>
        </w:tc>
        <w:tc>
          <w:tcPr>
            <w:tcW w:w="654"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7"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166"/>
              <w:rPr>
                <w:sz w:val="21"/>
              </w:rPr>
            </w:pPr>
            <w:r>
              <w:rPr>
                <w:w w:val="95"/>
                <w:sz w:val="21"/>
              </w:rPr>
              <w:t>在其周围设置不低于堆放物高度的围挡</w:t>
            </w:r>
          </w:p>
          <w:p>
            <w:pPr>
              <w:pStyle w:val="TableParagraph"/>
              <w:spacing w:before="3" w:line="270" w:lineRule="atLeast"/>
              <w:ind w:left="166" w:right="94" w:hanging="56"/>
              <w:rPr>
                <w:sz w:val="21"/>
              </w:rPr>
            </w:pPr>
            <w:r>
              <w:rPr>
                <w:spacing w:val="-11"/>
                <w:w w:val="95"/>
                <w:sz w:val="21"/>
              </w:rPr>
              <w:t>并有效覆盖。建筑土方、工程渣土、建筑</w:t>
            </w:r>
            <w:r>
              <w:rPr>
                <w:spacing w:val="-11"/>
                <w:sz w:val="21"/>
              </w:rPr>
              <w:t>垃圾应及时运输到指定场所进行处置。</w:t>
            </w:r>
          </w:p>
        </w:tc>
        <w:tc>
          <w:tcPr>
            <w:tcW w:w="3444" w:type="dxa"/>
            <w:tcBorders>
              <w:top w:val="thinThickMediumGap" w:sz="6" w:space="0" w:color="000000"/>
              <w:left w:val="single" w:sz="4" w:space="0" w:color="000000"/>
              <w:bottom w:val="single" w:sz="4" w:space="0" w:color="000000"/>
            </w:tcBorders>
          </w:tcPr>
          <w:p>
            <w:pPr>
              <w:pStyle w:val="TableParagraph"/>
              <w:spacing w:line="256" w:lineRule="exact"/>
              <w:ind w:left="467"/>
              <w:rPr>
                <w:sz w:val="21"/>
              </w:rPr>
            </w:pPr>
            <w:r>
              <w:rPr>
                <w:sz w:val="21"/>
              </w:rPr>
              <w:t>料储存环节符合文件要求。</w:t>
            </w:r>
          </w:p>
        </w:tc>
      </w:tr>
      <w:tr>
        <w:tblPrEx>
          <w:tblW w:w="0" w:type="auto"/>
          <w:jc w:val="left"/>
          <w:tblInd w:w="321" w:type="dxa"/>
          <w:tblLayout w:type="fixed"/>
          <w:tblCellMar>
            <w:top w:w="0" w:type="dxa"/>
            <w:left w:w="0" w:type="dxa"/>
            <w:bottom w:w="0" w:type="dxa"/>
            <w:right w:w="0" w:type="dxa"/>
          </w:tblCellMar>
          <w:tblLook w:val="01E0"/>
        </w:tblPrEx>
        <w:trPr>
          <w:trHeight w:val="5915"/>
          <w:jc w:val="left"/>
        </w:trPr>
        <w:tc>
          <w:tcPr>
            <w:tcW w:w="1044" w:type="dxa"/>
            <w:vMerge/>
            <w:tcBorders>
              <w:top w:val="nil"/>
              <w:right w:val="single" w:sz="4" w:space="0" w:color="000000"/>
            </w:tcBorders>
          </w:tcPr>
          <w:p>
            <w:pPr>
              <w:rPr>
                <w:sz w:val="2"/>
                <w:szCs w:val="2"/>
              </w:rPr>
            </w:pPr>
          </w:p>
        </w:tc>
        <w:tc>
          <w:tcPr>
            <w:tcW w:w="6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19"/>
              </w:rPr>
            </w:pPr>
          </w:p>
          <w:p>
            <w:pPr>
              <w:pStyle w:val="TableParagraph"/>
              <w:spacing w:line="261" w:lineRule="auto"/>
              <w:ind w:left="129" w:right="94"/>
              <w:jc w:val="both"/>
              <w:rPr>
                <w:sz w:val="21"/>
              </w:rPr>
            </w:pPr>
            <w:r>
              <w:rPr>
                <w:sz w:val="21"/>
              </w:rPr>
              <w:t>施工作业环节</w:t>
            </w:r>
          </w:p>
        </w:tc>
        <w:tc>
          <w:tcPr>
            <w:tcW w:w="3897" w:type="dxa"/>
            <w:tcBorders>
              <w:top w:val="single" w:sz="4" w:space="0" w:color="000000"/>
              <w:left w:val="single" w:sz="4" w:space="0" w:color="000000"/>
              <w:bottom w:val="single" w:sz="4" w:space="0" w:color="000000"/>
              <w:right w:val="single" w:sz="4" w:space="0" w:color="000000"/>
            </w:tcBorders>
          </w:tcPr>
          <w:p>
            <w:pPr>
              <w:pStyle w:val="TableParagraph"/>
              <w:spacing w:before="20" w:line="261" w:lineRule="auto"/>
              <w:ind w:left="111" w:right="-15" w:hanging="101"/>
              <w:jc w:val="center"/>
              <w:rPr>
                <w:sz w:val="21"/>
              </w:rPr>
            </w:pPr>
            <w:r>
              <w:rPr>
                <w:spacing w:val="-10"/>
                <w:sz w:val="21"/>
              </w:rPr>
              <w:t xml:space="preserve">建设工程开工前，建设单位应当在施工现 场周边设置不低于 </w:t>
            </w:r>
            <w:r>
              <w:rPr>
                <w:rFonts w:ascii="Times New Roman" w:eastAsia="Times New Roman"/>
                <w:sz w:val="21"/>
              </w:rPr>
              <w:t>2.5m</w:t>
            </w:r>
            <w:r>
              <w:rPr>
                <w:rFonts w:ascii="Times New Roman" w:eastAsia="Times New Roman"/>
                <w:spacing w:val="46"/>
                <w:sz w:val="21"/>
              </w:rPr>
              <w:t xml:space="preserve"> </w:t>
            </w:r>
            <w:r>
              <w:rPr>
                <w:spacing w:val="-16"/>
                <w:sz w:val="21"/>
              </w:rPr>
              <w:t xml:space="preserve">的围挡，施工单 </w:t>
            </w:r>
            <w:r>
              <w:rPr>
                <w:spacing w:val="-17"/>
                <w:sz w:val="21"/>
              </w:rPr>
              <w:t>位应当对围挡进行维护。围挡底部设有防</w:t>
            </w:r>
            <w:r>
              <w:rPr>
                <w:spacing w:val="-12"/>
                <w:sz w:val="21"/>
              </w:rPr>
              <w:t>溢座，围挡拼接处无缝隙且保持围挡及围</w:t>
            </w:r>
            <w:r>
              <w:rPr>
                <w:spacing w:val="-13"/>
                <w:sz w:val="21"/>
              </w:rPr>
              <w:t xml:space="preserve">挡附近整洁；围挡进行美化，与周边环境 </w:t>
            </w:r>
            <w:r>
              <w:rPr>
                <w:spacing w:val="-12"/>
                <w:sz w:val="21"/>
              </w:rPr>
              <w:t>相符；密目式安全网或防尘布的覆盖率达</w:t>
            </w:r>
            <w:r>
              <w:rPr>
                <w:rFonts w:ascii="Times New Roman" w:eastAsia="Times New Roman"/>
                <w:spacing w:val="-12"/>
                <w:sz w:val="21"/>
              </w:rPr>
              <w:t>100%</w:t>
            </w:r>
            <w:r>
              <w:rPr>
                <w:spacing w:val="-12"/>
                <w:sz w:val="21"/>
              </w:rPr>
              <w:t xml:space="preserve">，并保证覆盖物清洁。在建筑结构 脚手架外侧设置有效抑尘的密目式安全  </w:t>
            </w:r>
            <w:r>
              <w:rPr>
                <w:spacing w:val="-14"/>
                <w:sz w:val="21"/>
              </w:rPr>
              <w:t xml:space="preserve">立网或防尘布。土方开挖、清运建筑垃圾 </w:t>
            </w:r>
            <w:r>
              <w:rPr>
                <w:spacing w:val="-13"/>
                <w:sz w:val="21"/>
              </w:rPr>
              <w:t xml:space="preserve">等作业时，应当采取洒水、喷淋等湿法作 </w:t>
            </w:r>
            <w:r>
              <w:rPr>
                <w:spacing w:val="-20"/>
                <w:sz w:val="21"/>
              </w:rPr>
              <w:t xml:space="preserve">业，存放超过 </w:t>
            </w:r>
            <w:r>
              <w:rPr>
                <w:rFonts w:ascii="Times New Roman" w:eastAsia="Times New Roman"/>
                <w:sz w:val="21"/>
              </w:rPr>
              <w:t>48</w:t>
            </w:r>
            <w:r>
              <w:rPr>
                <w:rFonts w:ascii="Times New Roman" w:eastAsia="Times New Roman"/>
                <w:spacing w:val="-3"/>
                <w:sz w:val="21"/>
              </w:rPr>
              <w:t xml:space="preserve"> </w:t>
            </w:r>
            <w:r>
              <w:rPr>
                <w:sz w:val="21"/>
              </w:rPr>
              <w:t xml:space="preserve">小时以上的临时存放的 </w:t>
            </w:r>
            <w:r>
              <w:rPr>
                <w:spacing w:val="-11"/>
                <w:sz w:val="21"/>
              </w:rPr>
              <w:t xml:space="preserve">土方、建筑垃圾应采用防尘网覆盖。风速 </w:t>
            </w:r>
            <w:r>
              <w:rPr>
                <w:spacing w:val="-9"/>
                <w:sz w:val="21"/>
              </w:rPr>
              <w:t xml:space="preserve">达到 </w:t>
            </w:r>
            <w:r>
              <w:rPr>
                <w:rFonts w:ascii="Times New Roman" w:eastAsia="Times New Roman"/>
                <w:sz w:val="21"/>
              </w:rPr>
              <w:t>5</w:t>
            </w:r>
            <w:r>
              <w:rPr>
                <w:rFonts w:ascii="Times New Roman" w:eastAsia="Times New Roman"/>
                <w:spacing w:val="48"/>
                <w:sz w:val="21"/>
              </w:rPr>
              <w:t xml:space="preserve"> </w:t>
            </w:r>
            <w:r>
              <w:rPr>
                <w:sz w:val="21"/>
              </w:rPr>
              <w:t xml:space="preserve">级及以上时，应暂停土方开挖、 </w:t>
            </w:r>
            <w:r>
              <w:rPr>
                <w:spacing w:val="-11"/>
                <w:sz w:val="21"/>
              </w:rPr>
              <w:t>土方回填、灰土拌和、摊铺整平、路面基</w:t>
            </w:r>
            <w:r>
              <w:rPr>
                <w:spacing w:val="-13"/>
                <w:sz w:val="21"/>
              </w:rPr>
              <w:t xml:space="preserve">层清理、沥青洒布、沥青混凝土摊铺。因 </w:t>
            </w:r>
            <w:r>
              <w:rPr>
                <w:spacing w:val="-12"/>
                <w:sz w:val="21"/>
              </w:rPr>
              <w:t xml:space="preserve">大风、空气重污染，按照相关规定停止产 </w:t>
            </w:r>
            <w:r>
              <w:rPr>
                <w:spacing w:val="-12"/>
                <w:w w:val="95"/>
                <w:sz w:val="21"/>
              </w:rPr>
              <w:t xml:space="preserve">生扬尘污染的施工作业后采取定时洒水、 </w:t>
            </w:r>
            <w:r>
              <w:rPr>
                <w:spacing w:val="-14"/>
                <w:sz w:val="21"/>
              </w:rPr>
              <w:t xml:space="preserve">覆盖等降尘措施，并对施工现场内可能被 </w:t>
            </w:r>
            <w:r>
              <w:rPr>
                <w:spacing w:val="-14"/>
                <w:w w:val="95"/>
                <w:sz w:val="21"/>
              </w:rPr>
              <w:t xml:space="preserve">大风损坏的围挡，覆盖等措施进行巡检， </w:t>
            </w:r>
            <w:r>
              <w:rPr>
                <w:spacing w:val="-14"/>
                <w:sz w:val="21"/>
              </w:rPr>
              <w:t>及时修复。</w:t>
            </w:r>
          </w:p>
        </w:tc>
        <w:tc>
          <w:tcPr>
            <w:tcW w:w="344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6"/>
              </w:rPr>
            </w:pPr>
          </w:p>
          <w:p>
            <w:pPr>
              <w:pStyle w:val="TableParagraph"/>
              <w:spacing w:line="261" w:lineRule="auto"/>
              <w:ind w:left="112" w:right="2" w:hanging="106"/>
              <w:jc w:val="center"/>
              <w:rPr>
                <w:sz w:val="21"/>
              </w:rPr>
            </w:pPr>
            <w:r>
              <w:rPr>
                <w:sz w:val="21"/>
              </w:rPr>
              <w:t xml:space="preserve">建设单位在施工现场周边设置不低 </w:t>
            </w:r>
            <w:r>
              <w:rPr>
                <w:spacing w:val="-28"/>
                <w:sz w:val="21"/>
              </w:rPr>
              <w:t xml:space="preserve">于 </w:t>
            </w:r>
            <w:r>
              <w:rPr>
                <w:rFonts w:ascii="Times New Roman" w:eastAsia="Times New Roman"/>
                <w:sz w:val="21"/>
              </w:rPr>
              <w:t>2.5m</w:t>
            </w:r>
            <w:r>
              <w:rPr>
                <w:rFonts w:ascii="Times New Roman" w:eastAsia="Times New Roman"/>
                <w:spacing w:val="-5"/>
                <w:sz w:val="21"/>
              </w:rPr>
              <w:t xml:space="preserve"> </w:t>
            </w:r>
            <w:r>
              <w:rPr>
                <w:spacing w:val="-8"/>
                <w:sz w:val="21"/>
              </w:rPr>
              <w:t xml:space="preserve">的围挡，密目式安全网或防 </w:t>
            </w:r>
            <w:r>
              <w:rPr>
                <w:spacing w:val="-15"/>
                <w:sz w:val="21"/>
              </w:rPr>
              <w:t xml:space="preserve">尘布的覆盖率达 </w:t>
            </w:r>
            <w:r>
              <w:rPr>
                <w:rFonts w:ascii="Times New Roman" w:eastAsia="Times New Roman"/>
                <w:spacing w:val="-12"/>
                <w:sz w:val="21"/>
              </w:rPr>
              <w:t>100%</w:t>
            </w:r>
            <w:r>
              <w:rPr>
                <w:spacing w:val="-3"/>
                <w:sz w:val="21"/>
              </w:rPr>
              <w:t xml:space="preserve">，并保证覆盖 物清洁。土方开挖、清运建筑垃圾 </w:t>
            </w:r>
            <w:r>
              <w:rPr>
                <w:spacing w:val="-9"/>
                <w:w w:val="95"/>
                <w:sz w:val="21"/>
              </w:rPr>
              <w:t xml:space="preserve">等作业时，均采取洒水等湿法作业， </w:t>
            </w:r>
            <w:r>
              <w:rPr>
                <w:spacing w:val="7"/>
                <w:sz w:val="21"/>
              </w:rPr>
              <w:t>存放超过</w:t>
            </w:r>
            <w:r>
              <w:rPr>
                <w:rFonts w:ascii="Times New Roman" w:eastAsia="Times New Roman"/>
                <w:sz w:val="21"/>
              </w:rPr>
              <w:t>48</w:t>
            </w:r>
            <w:r>
              <w:rPr>
                <w:rFonts w:ascii="Times New Roman" w:eastAsia="Times New Roman"/>
                <w:spacing w:val="-26"/>
                <w:sz w:val="21"/>
              </w:rPr>
              <w:t xml:space="preserve"> </w:t>
            </w:r>
            <w:r>
              <w:rPr>
                <w:sz w:val="21"/>
              </w:rPr>
              <w:t xml:space="preserve">小时以上的临时存放的 土方、建筑垃圾应采用防尘设施覆 </w:t>
            </w:r>
            <w:r>
              <w:rPr>
                <w:spacing w:val="-7"/>
                <w:sz w:val="21"/>
              </w:rPr>
              <w:t xml:space="preserve">盖等。风速达到 </w:t>
            </w:r>
            <w:r>
              <w:rPr>
                <w:rFonts w:ascii="Times New Roman" w:eastAsia="Times New Roman"/>
                <w:sz w:val="21"/>
              </w:rPr>
              <w:t>5</w:t>
            </w:r>
            <w:r>
              <w:rPr>
                <w:rFonts w:ascii="Times New Roman" w:eastAsia="Times New Roman"/>
                <w:spacing w:val="-1"/>
                <w:sz w:val="21"/>
              </w:rPr>
              <w:t xml:space="preserve"> </w:t>
            </w:r>
            <w:r>
              <w:rPr>
                <w:sz w:val="21"/>
              </w:rPr>
              <w:t>级及以上时，暂 停土方开挖、土方回填等产生扬尘 的施工作业，定时洒水、覆盖。项 目施工作业环节符合要求。</w:t>
            </w:r>
          </w:p>
        </w:tc>
      </w:tr>
      <w:tr>
        <w:tblPrEx>
          <w:tblW w:w="0" w:type="auto"/>
          <w:jc w:val="left"/>
          <w:tblInd w:w="321" w:type="dxa"/>
          <w:tblLayout w:type="fixed"/>
          <w:tblCellMar>
            <w:top w:w="0" w:type="dxa"/>
            <w:left w:w="0" w:type="dxa"/>
            <w:bottom w:w="0" w:type="dxa"/>
            <w:right w:w="0" w:type="dxa"/>
          </w:tblCellMar>
          <w:tblLook w:val="01E0"/>
        </w:tblPrEx>
        <w:trPr>
          <w:trHeight w:val="3859"/>
          <w:jc w:val="left"/>
        </w:trPr>
        <w:tc>
          <w:tcPr>
            <w:tcW w:w="1044" w:type="dxa"/>
            <w:vMerge/>
            <w:tcBorders>
              <w:top w:val="nil"/>
              <w:right w:val="single" w:sz="4" w:space="0" w:color="000000"/>
            </w:tcBorders>
          </w:tcPr>
          <w:p>
            <w:pPr>
              <w:rPr>
                <w:sz w:val="2"/>
                <w:szCs w:val="2"/>
              </w:rPr>
            </w:pPr>
          </w:p>
        </w:tc>
        <w:tc>
          <w:tcPr>
            <w:tcW w:w="6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18"/>
              </w:rPr>
            </w:pPr>
          </w:p>
          <w:p>
            <w:pPr>
              <w:pStyle w:val="TableParagraph"/>
              <w:spacing w:line="261" w:lineRule="auto"/>
              <w:ind w:left="129" w:right="94"/>
              <w:jc w:val="center"/>
              <w:rPr>
                <w:sz w:val="21"/>
              </w:rPr>
            </w:pPr>
            <w:r>
              <w:rPr>
                <w:spacing w:val="-8"/>
                <w:sz w:val="21"/>
              </w:rPr>
              <w:t>物料</w:t>
            </w:r>
            <w:r>
              <w:rPr>
                <w:sz w:val="21"/>
              </w:rPr>
              <w:t xml:space="preserve">装 </w:t>
            </w:r>
            <w:r>
              <w:rPr>
                <w:spacing w:val="-8"/>
                <w:sz w:val="21"/>
              </w:rPr>
              <w:t>卸、</w:t>
            </w:r>
            <w:r>
              <w:rPr>
                <w:sz w:val="21"/>
              </w:rPr>
              <w:t xml:space="preserve">运 </w:t>
            </w:r>
            <w:r>
              <w:rPr>
                <w:spacing w:val="-8"/>
                <w:sz w:val="21"/>
              </w:rPr>
              <w:t>输、输送环节</w:t>
            </w:r>
          </w:p>
        </w:tc>
        <w:tc>
          <w:tcPr>
            <w:tcW w:w="3897" w:type="dxa"/>
            <w:tcBorders>
              <w:top w:val="single" w:sz="4" w:space="0" w:color="000000"/>
              <w:left w:val="single" w:sz="4" w:space="0" w:color="000000"/>
              <w:bottom w:val="single" w:sz="4" w:space="0" w:color="000000"/>
              <w:right w:val="single" w:sz="4" w:space="0" w:color="000000"/>
            </w:tcBorders>
          </w:tcPr>
          <w:p>
            <w:pPr>
              <w:pStyle w:val="TableParagraph"/>
              <w:spacing w:before="19" w:line="261" w:lineRule="auto"/>
              <w:ind w:left="111" w:right="-15"/>
              <w:jc w:val="both"/>
              <w:rPr>
                <w:sz w:val="21"/>
              </w:rPr>
            </w:pPr>
            <w:r>
              <w:rPr>
                <w:spacing w:val="-11"/>
                <w:sz w:val="21"/>
              </w:rPr>
              <w:t>建筑垃圾、土方、砂石浆等流散物料，应</w:t>
            </w:r>
            <w:r>
              <w:rPr>
                <w:spacing w:val="-16"/>
                <w:sz w:val="21"/>
              </w:rPr>
              <w:t>当依法使用符合要求的运输车辆。散装建</w:t>
            </w:r>
            <w:r>
              <w:rPr>
                <w:spacing w:val="-13"/>
                <w:sz w:val="21"/>
              </w:rPr>
              <w:t>筑材料、建筑垃圾、土方、沙石运输车辆</w:t>
            </w:r>
            <w:r>
              <w:rPr>
                <w:spacing w:val="-15"/>
                <w:sz w:val="21"/>
              </w:rPr>
              <w:t>必须封闭或苫盖严密，装载物不得超过车厢挡板高度，防止材料沿途泄漏、散落或者飞扬对施工现场内主要道路和物料堆 放场地进行硬化，对其他场地进行覆盖或</w:t>
            </w:r>
            <w:r>
              <w:rPr>
                <w:spacing w:val="-14"/>
                <w:sz w:val="21"/>
              </w:rPr>
              <w:t>者临时绿化，对土方集中堆放并采取覆盖或者固化措施。路面清扫时，宜采用人工</w:t>
            </w:r>
            <w:r>
              <w:rPr>
                <w:spacing w:val="-17"/>
                <w:sz w:val="21"/>
              </w:rPr>
              <w:t>洒水清扫或高压清洗车冲刷清扫。施工作</w:t>
            </w:r>
            <w:r>
              <w:rPr>
                <w:spacing w:val="-19"/>
                <w:sz w:val="21"/>
              </w:rPr>
              <w:t>业大门处应设置自动洗车设施，施工车辆</w:t>
            </w:r>
            <w:r>
              <w:rPr>
                <w:spacing w:val="-14"/>
                <w:sz w:val="21"/>
              </w:rPr>
              <w:t>经除泥、冲洗后驶出工地，禁止车容车貌不洁、车箱未密闭、车轮带泥上路行驶。</w:t>
            </w:r>
          </w:p>
        </w:tc>
        <w:tc>
          <w:tcPr>
            <w:tcW w:w="3444" w:type="dxa"/>
            <w:tcBorders>
              <w:top w:val="single" w:sz="4" w:space="0" w:color="000000"/>
              <w:left w:val="single" w:sz="4" w:space="0" w:color="000000"/>
              <w:bottom w:val="single" w:sz="4" w:space="0" w:color="000000"/>
            </w:tcBorders>
          </w:tcPr>
          <w:p>
            <w:pPr>
              <w:pStyle w:val="TableParagraph"/>
              <w:spacing w:before="2"/>
              <w:rPr>
                <w:rFonts w:ascii="Times New Roman"/>
                <w:sz w:val="27"/>
              </w:rPr>
            </w:pPr>
          </w:p>
          <w:p>
            <w:pPr>
              <w:pStyle w:val="TableParagraph"/>
              <w:spacing w:line="261" w:lineRule="auto"/>
              <w:ind w:left="141" w:right="137"/>
              <w:jc w:val="center"/>
              <w:rPr>
                <w:sz w:val="21"/>
              </w:rPr>
            </w:pPr>
            <w:r>
              <w:rPr>
                <w:spacing w:val="-1"/>
                <w:w w:val="95"/>
                <w:sz w:val="21"/>
              </w:rPr>
              <w:t>项目建筑垃圾、土方等流散物料， 使用符合要求的运输车辆。物料运输车辆采用苫盖严密，装载物不超过车厢挡板高度，防止材料沿途泄漏、散落或者飞扬。对施工现场内</w:t>
            </w:r>
            <w:r>
              <w:rPr>
                <w:sz w:val="21"/>
              </w:rPr>
              <w:t xml:space="preserve">主要道路和物料堆放场地进行硬 </w:t>
            </w:r>
            <w:r>
              <w:rPr>
                <w:spacing w:val="-1"/>
                <w:w w:val="95"/>
                <w:sz w:val="21"/>
              </w:rPr>
              <w:t>化，对土方集中堆放并采取覆盖措施。路面清扫时，采用人工洒水清扫。施工作业大门处设置自动洗车设施，施工车辆经除泥、冲洗后驶</w:t>
            </w:r>
            <w:r>
              <w:rPr>
                <w:sz w:val="21"/>
              </w:rPr>
              <w:t>出工地，符合要求。</w:t>
            </w:r>
          </w:p>
        </w:tc>
      </w:tr>
      <w:tr>
        <w:tblPrEx>
          <w:tblW w:w="0" w:type="auto"/>
          <w:jc w:val="left"/>
          <w:tblInd w:w="321" w:type="dxa"/>
          <w:tblLayout w:type="fixed"/>
          <w:tblCellMar>
            <w:top w:w="0" w:type="dxa"/>
            <w:left w:w="0" w:type="dxa"/>
            <w:bottom w:w="0" w:type="dxa"/>
            <w:right w:w="0" w:type="dxa"/>
          </w:tblCellMar>
          <w:tblLook w:val="01E0"/>
        </w:tblPrEx>
        <w:trPr>
          <w:trHeight w:val="1900"/>
          <w:jc w:val="left"/>
        </w:trPr>
        <w:tc>
          <w:tcPr>
            <w:tcW w:w="1044" w:type="dxa"/>
            <w:vMerge/>
            <w:tcBorders>
              <w:top w:val="nil"/>
              <w:right w:val="single" w:sz="4" w:space="0" w:color="000000"/>
            </w:tcBorders>
          </w:tcPr>
          <w:p>
            <w:pPr>
              <w:rPr>
                <w:sz w:val="2"/>
                <w:szCs w:val="2"/>
              </w:rPr>
            </w:pPr>
          </w:p>
        </w:tc>
        <w:tc>
          <w:tcPr>
            <w:tcW w:w="654"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4"/>
              </w:rPr>
            </w:pPr>
          </w:p>
          <w:p>
            <w:pPr>
              <w:pStyle w:val="TableParagraph"/>
              <w:spacing w:line="261" w:lineRule="auto"/>
              <w:ind w:left="129" w:right="94"/>
              <w:jc w:val="both"/>
              <w:rPr>
                <w:sz w:val="21"/>
              </w:rPr>
            </w:pPr>
            <w:r>
              <w:rPr>
                <w:sz w:val="21"/>
              </w:rPr>
              <w:t>监测监控环节</w:t>
            </w:r>
          </w:p>
        </w:tc>
        <w:tc>
          <w:tcPr>
            <w:tcW w:w="3897" w:type="dxa"/>
            <w:tcBorders>
              <w:top w:val="single" w:sz="4" w:space="0" w:color="000000"/>
              <w:left w:val="single" w:sz="4" w:space="0" w:color="000000"/>
              <w:bottom w:val="single" w:sz="12" w:space="0" w:color="000000"/>
              <w:right w:val="single" w:sz="4" w:space="0" w:color="000000"/>
            </w:tcBorders>
          </w:tcPr>
          <w:p>
            <w:pPr>
              <w:pStyle w:val="TableParagraph"/>
              <w:spacing w:before="6"/>
              <w:rPr>
                <w:rFonts w:ascii="Times New Roman"/>
                <w:sz w:val="18"/>
              </w:rPr>
            </w:pPr>
          </w:p>
          <w:p>
            <w:pPr>
              <w:pStyle w:val="TableParagraph"/>
              <w:spacing w:line="261" w:lineRule="auto"/>
              <w:ind w:left="111" w:right="91" w:hanging="1"/>
              <w:jc w:val="center"/>
              <w:rPr>
                <w:sz w:val="21"/>
              </w:rPr>
            </w:pPr>
            <w:r>
              <w:rPr>
                <w:spacing w:val="-10"/>
                <w:w w:val="95"/>
                <w:sz w:val="21"/>
              </w:rPr>
              <w:t>在拌和站、预制场、施工便道主要出入口</w:t>
            </w:r>
            <w:r>
              <w:rPr>
                <w:spacing w:val="-15"/>
                <w:w w:val="95"/>
                <w:sz w:val="21"/>
              </w:rPr>
              <w:t>及易产生扬尘的施工区域，安装环保在线</w:t>
            </w:r>
            <w:r>
              <w:rPr>
                <w:spacing w:val="-13"/>
                <w:w w:val="95"/>
                <w:sz w:val="21"/>
              </w:rPr>
              <w:t>监测、视频监控等智慧工地管理系统，扬</w:t>
            </w:r>
            <w:r>
              <w:rPr>
                <w:spacing w:val="-13"/>
                <w:sz w:val="21"/>
              </w:rPr>
              <w:t>尘监测数据传输至现场管理机构的监管平台。</w:t>
            </w:r>
          </w:p>
        </w:tc>
        <w:tc>
          <w:tcPr>
            <w:tcW w:w="3444" w:type="dxa"/>
            <w:tcBorders>
              <w:top w:val="single" w:sz="4" w:space="0" w:color="000000"/>
              <w:left w:val="single" w:sz="4" w:space="0" w:color="000000"/>
              <w:bottom w:val="single" w:sz="12" w:space="0" w:color="000000"/>
            </w:tcBorders>
          </w:tcPr>
          <w:p>
            <w:pPr>
              <w:pStyle w:val="TableParagraph"/>
              <w:spacing w:line="242" w:lineRule="auto"/>
              <w:ind w:left="112" w:right="2"/>
              <w:rPr>
                <w:sz w:val="21"/>
              </w:rPr>
            </w:pPr>
            <w:r>
              <w:rPr>
                <w:spacing w:val="3"/>
                <w:sz w:val="21"/>
              </w:rPr>
              <w:t>本次环评要求建设单位在主要出入口处安装环保在线监测、视频监控等智慧工地管理系统，并将扬尘监测数据传输至现场管理机构的监管</w:t>
            </w:r>
            <w:r>
              <w:rPr>
                <w:spacing w:val="-8"/>
                <w:sz w:val="21"/>
              </w:rPr>
              <w:t xml:space="preserve">平台。在落实本环评提出的要求后， </w:t>
            </w:r>
            <w:r>
              <w:rPr>
                <w:spacing w:val="3"/>
                <w:sz w:val="21"/>
              </w:rPr>
              <w:t>本项目施工期的监测监控环节符合</w:t>
            </w:r>
          </w:p>
          <w:p>
            <w:pPr>
              <w:pStyle w:val="TableParagraph"/>
              <w:spacing w:line="251" w:lineRule="exact"/>
              <w:ind w:left="112"/>
              <w:rPr>
                <w:sz w:val="21"/>
              </w:rPr>
            </w:pPr>
            <w:r>
              <w:rPr>
                <w:sz w:val="21"/>
              </w:rPr>
              <w:t>文件要求。</w:t>
            </w:r>
          </w:p>
        </w:tc>
      </w:tr>
      <w:tr>
        <w:tblPrEx>
          <w:tblW w:w="0" w:type="auto"/>
          <w:jc w:val="left"/>
          <w:tblInd w:w="321" w:type="dxa"/>
          <w:tblLayout w:type="fixed"/>
          <w:tblCellMar>
            <w:top w:w="0" w:type="dxa"/>
            <w:left w:w="0" w:type="dxa"/>
            <w:bottom w:w="0" w:type="dxa"/>
            <w:right w:w="0" w:type="dxa"/>
          </w:tblCellMar>
          <w:tblLook w:val="01E0"/>
        </w:tblPrEx>
        <w:trPr>
          <w:trHeight w:val="485"/>
          <w:jc w:val="left"/>
        </w:trPr>
        <w:tc>
          <w:tcPr>
            <w:tcW w:w="1044" w:type="dxa"/>
            <w:vMerge/>
            <w:tcBorders>
              <w:top w:val="nil"/>
              <w:right w:val="single" w:sz="4" w:space="0" w:color="000000"/>
            </w:tcBorders>
          </w:tcPr>
          <w:p>
            <w:pPr>
              <w:rPr>
                <w:sz w:val="2"/>
                <w:szCs w:val="2"/>
              </w:rPr>
            </w:pPr>
          </w:p>
        </w:tc>
        <w:tc>
          <w:tcPr>
            <w:tcW w:w="7995" w:type="dxa"/>
            <w:gridSpan w:val="3"/>
            <w:tcBorders>
              <w:top w:val="single" w:sz="12" w:space="0" w:color="000000"/>
              <w:left w:val="single" w:sz="4" w:space="0" w:color="000000"/>
            </w:tcBorders>
          </w:tcPr>
          <w:p>
            <w:pPr>
              <w:pStyle w:val="TableParagraph"/>
              <w:spacing w:before="2"/>
              <w:ind w:left="501" w:right="-15"/>
              <w:rPr>
                <w:sz w:val="24"/>
              </w:rPr>
            </w:pPr>
            <w:r>
              <w:rPr>
                <w:spacing w:val="-11"/>
                <w:sz w:val="24"/>
              </w:rPr>
              <w:t xml:space="preserve">根据表 </w:t>
            </w:r>
            <w:r>
              <w:rPr>
                <w:rFonts w:ascii="Times New Roman" w:eastAsia="Times New Roman"/>
                <w:sz w:val="24"/>
              </w:rPr>
              <w:t>1-7</w:t>
            </w:r>
            <w:r>
              <w:rPr>
                <w:rFonts w:ascii="Times New Roman" w:eastAsia="Times New Roman"/>
                <w:spacing w:val="20"/>
                <w:sz w:val="24"/>
              </w:rPr>
              <w:t xml:space="preserve"> </w:t>
            </w:r>
            <w:r>
              <w:rPr>
                <w:sz w:val="24"/>
              </w:rPr>
              <w:t>分析，本项目施工场地符合江苏省重点行业堆场扬尘污染防</w:t>
            </w:r>
          </w:p>
        </w:tc>
      </w:tr>
    </w:tbl>
    <w:p>
      <w:pPr>
        <w:spacing w:after="0"/>
        <w:rPr>
          <w:sz w:val="24"/>
        </w:rPr>
        <w:sectPr>
          <w:headerReference w:type="default" r:id="rId30"/>
          <w:footerReference w:type="default" r:id="rId31"/>
          <w:pgSz w:w="11910" w:h="16840"/>
          <w:pgMar w:top="1340" w:right="1120" w:bottom="1160" w:left="1220" w:header="891" w:footer="969"/>
          <w:pgNumType w:start="13"/>
          <w:cols w:space="708"/>
        </w:sectPr>
      </w:pPr>
    </w:p>
    <w:p>
      <w:pPr>
        <w:pStyle w:val="BodyText"/>
        <w:spacing w:before="9"/>
        <w:rPr>
          <w:rFonts w:ascii="Times New Roman"/>
          <w:sz w:val="29"/>
        </w:rPr>
      </w:pPr>
    </w:p>
    <w:tbl>
      <w:tblPr>
        <w:tblStyle w:val="TableNormal10"/>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864"/>
        <w:gridCol w:w="4298"/>
        <w:gridCol w:w="2833"/>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925"/>
          <w:jc w:val="left"/>
        </w:trPr>
        <w:tc>
          <w:tcPr>
            <w:tcW w:w="1044" w:type="dxa"/>
            <w:vMerge w:val="restart"/>
            <w:tcBorders>
              <w:right w:val="single" w:sz="4" w:space="0" w:color="000000"/>
            </w:tcBorders>
          </w:tcPr>
          <w:p>
            <w:pPr>
              <w:pStyle w:val="TableParagraph"/>
              <w:rPr>
                <w:rFonts w:ascii="Times New Roman"/>
                <w:sz w:val="20"/>
              </w:rPr>
            </w:pPr>
          </w:p>
        </w:tc>
        <w:tc>
          <w:tcPr>
            <w:tcW w:w="7995" w:type="dxa"/>
            <w:gridSpan w:val="3"/>
            <w:tcBorders>
              <w:left w:val="single" w:sz="4" w:space="0" w:color="000000"/>
              <w:bottom w:val="single" w:sz="12" w:space="0" w:color="000000"/>
            </w:tcBorders>
          </w:tcPr>
          <w:p>
            <w:pPr>
              <w:pStyle w:val="TableParagraph"/>
              <w:spacing w:before="8"/>
              <w:ind w:left="21"/>
              <w:rPr>
                <w:sz w:val="24"/>
              </w:rPr>
            </w:pPr>
            <w:r>
              <w:rPr>
                <w:sz w:val="24"/>
              </w:rPr>
              <w:t>治指导意见的相关要求。</w:t>
            </w:r>
          </w:p>
          <w:p>
            <w:pPr>
              <w:pStyle w:val="TableParagraph"/>
              <w:spacing w:before="2"/>
              <w:rPr>
                <w:rFonts w:ascii="Times New Roman"/>
                <w:sz w:val="24"/>
              </w:rPr>
            </w:pPr>
          </w:p>
          <w:p>
            <w:pPr>
              <w:pStyle w:val="TableParagraph"/>
              <w:spacing w:line="362" w:lineRule="auto"/>
              <w:ind w:left="21" w:right="96" w:firstLine="480"/>
              <w:rPr>
                <w:b/>
                <w:sz w:val="24"/>
              </w:rPr>
            </w:pPr>
            <w:r>
              <w:rPr>
                <w:rFonts w:ascii="Times New Roman" w:eastAsia="Times New Roman"/>
                <w:b/>
                <w:sz w:val="24"/>
              </w:rPr>
              <w:t>3</w:t>
            </w:r>
            <w:r>
              <w:rPr>
                <w:b/>
                <w:sz w:val="24"/>
              </w:rPr>
              <w:t>、与《关于印发〈盐城市堆场扬尘防治指南（试行）〉的通知》（盐大气办〔</w:t>
            </w:r>
            <w:r>
              <w:rPr>
                <w:rFonts w:ascii="Times New Roman" w:eastAsia="Times New Roman"/>
                <w:b/>
                <w:sz w:val="24"/>
              </w:rPr>
              <w:t>2021</w:t>
            </w:r>
            <w:r>
              <w:rPr>
                <w:b/>
                <w:sz w:val="24"/>
              </w:rPr>
              <w:t>〕</w:t>
            </w:r>
            <w:r>
              <w:rPr>
                <w:rFonts w:ascii="Times New Roman" w:eastAsia="Times New Roman"/>
                <w:b/>
                <w:sz w:val="24"/>
              </w:rPr>
              <w:t>2</w:t>
            </w:r>
            <w:r>
              <w:rPr>
                <w:rFonts w:ascii="Times New Roman" w:eastAsia="Times New Roman"/>
                <w:b/>
                <w:spacing w:val="59"/>
                <w:sz w:val="24"/>
              </w:rPr>
              <w:t xml:space="preserve"> </w:t>
            </w:r>
            <w:r>
              <w:rPr>
                <w:b/>
                <w:sz w:val="24"/>
              </w:rPr>
              <w:t>号）相符性分析</w:t>
            </w:r>
          </w:p>
          <w:p>
            <w:pPr>
              <w:pStyle w:val="TableParagraph"/>
              <w:tabs>
                <w:tab w:val="left" w:pos="880"/>
              </w:tabs>
              <w:spacing w:before="99" w:line="285" w:lineRule="exact"/>
              <w:ind w:left="21"/>
              <w:rPr>
                <w:b/>
                <w:sz w:val="24"/>
              </w:rPr>
            </w:pPr>
            <w:r>
              <w:rPr>
                <w:b/>
                <w:sz w:val="24"/>
              </w:rPr>
              <w:t>表</w:t>
            </w:r>
            <w:r>
              <w:rPr>
                <w:b/>
                <w:spacing w:val="-62"/>
                <w:sz w:val="24"/>
              </w:rPr>
              <w:t xml:space="preserve"> </w:t>
            </w:r>
            <w:r>
              <w:rPr>
                <w:rFonts w:ascii="Times New Roman" w:eastAsia="Times New Roman"/>
                <w:b/>
                <w:sz w:val="24"/>
              </w:rPr>
              <w:t>1-7</w:t>
              <w:tab/>
            </w:r>
            <w:r>
              <w:rPr>
                <w:b/>
                <w:sz w:val="24"/>
              </w:rPr>
              <w:t>本项目与《盐城市堆场扬尘防治指南（试行）》相符性分析</w:t>
            </w:r>
          </w:p>
        </w:tc>
      </w:tr>
      <w:tr>
        <w:tblPrEx>
          <w:tblW w:w="0" w:type="auto"/>
          <w:jc w:val="left"/>
          <w:tblInd w:w="321" w:type="dxa"/>
          <w:tblLayout w:type="fixed"/>
          <w:tblCellMar>
            <w:top w:w="0" w:type="dxa"/>
            <w:left w:w="0" w:type="dxa"/>
            <w:bottom w:w="0" w:type="dxa"/>
            <w:right w:w="0" w:type="dxa"/>
          </w:tblCellMar>
          <w:tblLook w:val="01E0"/>
        </w:tblPrEx>
        <w:trPr>
          <w:trHeight w:val="337"/>
          <w:jc w:val="left"/>
        </w:trPr>
        <w:tc>
          <w:tcPr>
            <w:tcW w:w="1044" w:type="dxa"/>
            <w:vMerge/>
            <w:tcBorders>
              <w:top w:val="nil"/>
              <w:right w:val="single" w:sz="4" w:space="0" w:color="000000"/>
            </w:tcBorders>
          </w:tcPr>
          <w:p>
            <w:pPr>
              <w:rPr>
                <w:sz w:val="2"/>
                <w:szCs w:val="2"/>
              </w:rPr>
            </w:pPr>
          </w:p>
        </w:tc>
        <w:tc>
          <w:tcPr>
            <w:tcW w:w="864" w:type="dxa"/>
            <w:tcBorders>
              <w:top w:val="single" w:sz="12" w:space="0" w:color="000000"/>
              <w:left w:val="single" w:sz="4" w:space="0" w:color="000000"/>
              <w:bottom w:val="single" w:sz="4" w:space="0" w:color="000000"/>
              <w:right w:val="single" w:sz="4" w:space="0" w:color="000000"/>
            </w:tcBorders>
          </w:tcPr>
          <w:p>
            <w:pPr>
              <w:pStyle w:val="TableParagraph"/>
              <w:spacing w:before="24"/>
              <w:ind w:left="235"/>
              <w:rPr>
                <w:b/>
                <w:sz w:val="21"/>
              </w:rPr>
            </w:pPr>
            <w:r>
              <w:rPr>
                <w:b/>
                <w:sz w:val="21"/>
              </w:rPr>
              <w:t>内容</w:t>
            </w:r>
          </w:p>
        </w:tc>
        <w:tc>
          <w:tcPr>
            <w:tcW w:w="4298" w:type="dxa"/>
            <w:tcBorders>
              <w:top w:val="single" w:sz="12" w:space="0" w:color="000000"/>
              <w:left w:val="single" w:sz="4" w:space="0" w:color="000000"/>
              <w:bottom w:val="single" w:sz="4" w:space="0" w:color="000000"/>
              <w:right w:val="single" w:sz="4" w:space="0" w:color="000000"/>
            </w:tcBorders>
          </w:tcPr>
          <w:p>
            <w:pPr>
              <w:pStyle w:val="TableParagraph"/>
              <w:spacing w:before="24"/>
              <w:ind w:left="1709" w:right="1694"/>
              <w:jc w:val="center"/>
              <w:rPr>
                <w:b/>
                <w:sz w:val="21"/>
              </w:rPr>
            </w:pPr>
            <w:r>
              <w:rPr>
                <w:b/>
                <w:sz w:val="21"/>
              </w:rPr>
              <w:t>具体要求</w:t>
            </w:r>
          </w:p>
        </w:tc>
        <w:tc>
          <w:tcPr>
            <w:tcW w:w="2833" w:type="dxa"/>
            <w:tcBorders>
              <w:top w:val="single" w:sz="12" w:space="0" w:color="000000"/>
              <w:left w:val="single" w:sz="4" w:space="0" w:color="000000"/>
              <w:bottom w:val="single" w:sz="4" w:space="0" w:color="000000"/>
            </w:tcBorders>
          </w:tcPr>
          <w:p>
            <w:pPr>
              <w:pStyle w:val="TableParagraph"/>
              <w:spacing w:before="24"/>
              <w:ind w:left="883"/>
              <w:rPr>
                <w:b/>
                <w:sz w:val="21"/>
              </w:rPr>
            </w:pPr>
            <w:r>
              <w:rPr>
                <w:b/>
                <w:sz w:val="21"/>
              </w:rPr>
              <w:t>符合性说明</w:t>
            </w:r>
          </w:p>
        </w:tc>
      </w:tr>
      <w:tr>
        <w:tblPrEx>
          <w:tblW w:w="0" w:type="auto"/>
          <w:jc w:val="left"/>
          <w:tblInd w:w="321" w:type="dxa"/>
          <w:tblLayout w:type="fixed"/>
          <w:tblCellMar>
            <w:top w:w="0" w:type="dxa"/>
            <w:left w:w="0" w:type="dxa"/>
            <w:bottom w:w="0" w:type="dxa"/>
            <w:right w:w="0" w:type="dxa"/>
          </w:tblCellMar>
          <w:tblLook w:val="01E0"/>
        </w:tblPrEx>
        <w:trPr>
          <w:trHeight w:val="4437"/>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298" w:type="dxa"/>
            <w:tcBorders>
              <w:top w:val="single" w:sz="4" w:space="0" w:color="000000"/>
              <w:left w:val="single" w:sz="4" w:space="0" w:color="000000"/>
              <w:bottom w:val="nil"/>
              <w:right w:val="single" w:sz="4" w:space="0" w:color="000000"/>
            </w:tcBorders>
          </w:tcPr>
          <w:p>
            <w:pPr>
              <w:pStyle w:val="TableParagraph"/>
              <w:numPr>
                <w:ilvl w:val="0"/>
                <w:numId w:val="31"/>
              </w:numPr>
              <w:tabs>
                <w:tab w:val="left" w:pos="272"/>
              </w:tabs>
              <w:spacing w:before="19" w:after="0" w:line="261" w:lineRule="auto"/>
              <w:ind w:left="112" w:right="93" w:firstLine="0"/>
              <w:jc w:val="left"/>
              <w:rPr>
                <w:sz w:val="21"/>
              </w:rPr>
            </w:pPr>
            <w:r>
              <w:rPr>
                <w:spacing w:val="-6"/>
                <w:w w:val="95"/>
                <w:sz w:val="21"/>
              </w:rPr>
              <w:t>为最大限度控制扬尘污染，堆场应尽可能实</w:t>
            </w:r>
            <w:r>
              <w:rPr>
                <w:spacing w:val="-6"/>
                <w:sz w:val="21"/>
              </w:rPr>
              <w:t>施全封闭。禁止露天无遮挡、无喷淋等易产生扬尘污染的方式堆存物料。在国、省控空</w:t>
            </w:r>
            <w:r>
              <w:rPr>
                <w:spacing w:val="-11"/>
                <w:sz w:val="21"/>
              </w:rPr>
              <w:t xml:space="preserve">气环境监测站点周围 </w:t>
            </w:r>
            <w:r>
              <w:rPr>
                <w:rFonts w:ascii="Times New Roman" w:eastAsia="Times New Roman"/>
                <w:sz w:val="21"/>
              </w:rPr>
              <w:t>3</w:t>
            </w:r>
            <w:r>
              <w:rPr>
                <w:rFonts w:ascii="Times New Roman" w:eastAsia="Times New Roman"/>
                <w:spacing w:val="-2"/>
                <w:sz w:val="21"/>
              </w:rPr>
              <w:t xml:space="preserve"> </w:t>
            </w:r>
            <w:r>
              <w:rPr>
                <w:sz w:val="21"/>
              </w:rPr>
              <w:t>公里范围内，港口、码头，铁路（含高速铁路）、高速公路、国</w:t>
            </w:r>
            <w:r>
              <w:rPr>
                <w:spacing w:val="-14"/>
                <w:sz w:val="21"/>
              </w:rPr>
              <w:t xml:space="preserve">道两侧 </w:t>
            </w:r>
            <w:r>
              <w:rPr>
                <w:rFonts w:ascii="Times New Roman" w:eastAsia="Times New Roman"/>
                <w:sz w:val="21"/>
              </w:rPr>
              <w:t>1</w:t>
            </w:r>
            <w:r>
              <w:rPr>
                <w:rFonts w:ascii="Times New Roman" w:eastAsia="Times New Roman"/>
                <w:spacing w:val="-2"/>
                <w:sz w:val="21"/>
              </w:rPr>
              <w:t xml:space="preserve"> </w:t>
            </w:r>
            <w:r>
              <w:rPr>
                <w:sz w:val="21"/>
              </w:rPr>
              <w:t>公里范围内，不得有露天堆场；在城镇常年主导风的上风向、居民集中区等周</w:t>
            </w:r>
            <w:r>
              <w:rPr>
                <w:spacing w:val="-27"/>
                <w:sz w:val="21"/>
              </w:rPr>
              <w:t xml:space="preserve">边 </w:t>
            </w:r>
            <w:r>
              <w:rPr>
                <w:rFonts w:ascii="Times New Roman" w:eastAsia="Times New Roman"/>
                <w:sz w:val="21"/>
              </w:rPr>
              <w:t xml:space="preserve">1 </w:t>
            </w:r>
            <w:r>
              <w:rPr>
                <w:sz w:val="21"/>
              </w:rPr>
              <w:t>公里范围内，不得有露天堆场。</w:t>
            </w:r>
          </w:p>
          <w:p>
            <w:pPr>
              <w:pStyle w:val="TableParagraph"/>
              <w:numPr>
                <w:ilvl w:val="0"/>
                <w:numId w:val="31"/>
              </w:numPr>
              <w:tabs>
                <w:tab w:val="left" w:pos="272"/>
              </w:tabs>
              <w:spacing w:before="28" w:after="0" w:line="261" w:lineRule="auto"/>
              <w:ind w:left="112" w:right="184" w:firstLine="0"/>
              <w:jc w:val="both"/>
              <w:rPr>
                <w:sz w:val="21"/>
              </w:rPr>
            </w:pPr>
            <w:r>
              <w:rPr>
                <w:sz w:val="21"/>
              </w:rPr>
              <w:t>封闭式料场必须有足够的强度，以满足抗</w:t>
            </w:r>
            <w:r>
              <w:rPr>
                <w:w w:val="95"/>
                <w:sz w:val="21"/>
              </w:rPr>
              <w:t>风、抗压、抗爆要求，同时要具有良好的通 风、照明、防尘、消防、安全监测等设施， 满足安全生产要求。堆场封闭应采取全方位 封闭措施，对于受运输、生产配套设施等制 约无法全封闭的堆场，也应最大限度进行三</w:t>
            </w:r>
          </w:p>
          <w:p>
            <w:pPr>
              <w:pStyle w:val="TableParagraph"/>
              <w:spacing w:before="4" w:line="260" w:lineRule="exact"/>
              <w:ind w:left="112"/>
              <w:rPr>
                <w:sz w:val="21"/>
              </w:rPr>
            </w:pPr>
            <w:r>
              <w:rPr>
                <w:sz w:val="21"/>
              </w:rPr>
              <w:t>侧封闭。</w:t>
            </w:r>
          </w:p>
        </w:tc>
        <w:tc>
          <w:tcPr>
            <w:tcW w:w="2833" w:type="dxa"/>
            <w:vMerge w:val="restart"/>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8"/>
              </w:rPr>
            </w:pPr>
          </w:p>
          <w:p>
            <w:pPr>
              <w:pStyle w:val="TableParagraph"/>
              <w:numPr>
                <w:ilvl w:val="0"/>
                <w:numId w:val="30"/>
              </w:numPr>
              <w:tabs>
                <w:tab w:val="left" w:pos="273"/>
              </w:tabs>
              <w:spacing w:before="0" w:after="0" w:line="261" w:lineRule="auto"/>
              <w:ind w:left="113" w:right="237" w:firstLine="0"/>
              <w:jc w:val="left"/>
              <w:rPr>
                <w:sz w:val="21"/>
              </w:rPr>
            </w:pPr>
            <w:r>
              <w:rPr>
                <w:spacing w:val="-2"/>
                <w:sz w:val="21"/>
              </w:rPr>
              <w:t>项目临时施工场地不设置</w:t>
            </w:r>
            <w:r>
              <w:rPr>
                <w:sz w:val="21"/>
              </w:rPr>
              <w:t>露天堆场。</w:t>
            </w:r>
          </w:p>
          <w:p>
            <w:pPr>
              <w:pStyle w:val="TableParagraph"/>
              <w:numPr>
                <w:ilvl w:val="0"/>
                <w:numId w:val="30"/>
              </w:numPr>
              <w:tabs>
                <w:tab w:val="left" w:pos="273"/>
              </w:tabs>
              <w:spacing w:before="23" w:after="0" w:line="261" w:lineRule="auto"/>
              <w:ind w:left="113" w:right="185" w:firstLine="0"/>
              <w:jc w:val="both"/>
              <w:rPr>
                <w:sz w:val="21"/>
              </w:rPr>
            </w:pPr>
            <w:r>
              <w:rPr>
                <w:sz w:val="21"/>
              </w:rPr>
              <w:t>项目封闭式料场委托有专</w:t>
            </w:r>
            <w:r>
              <w:rPr>
                <w:spacing w:val="-1"/>
                <w:sz w:val="21"/>
              </w:rPr>
              <w:t>业建设资质的设计施工单位建设，并委托有资质的监理单位监理，确保封闭式料场有足够强度，具备良好的通风、照明、防尘、消防、安全监测等设施，满足安全生产要求。本次环评要求施工单位具备完善的安全组织措施、操作流程，确保施工中的安全，待施工场地竣工验</w:t>
            </w:r>
            <w:r>
              <w:rPr>
                <w:sz w:val="21"/>
              </w:rPr>
              <w:t>收合格后方可运行。</w:t>
            </w:r>
          </w:p>
          <w:p>
            <w:pPr>
              <w:pStyle w:val="TableParagraph"/>
              <w:numPr>
                <w:ilvl w:val="0"/>
                <w:numId w:val="30"/>
              </w:numPr>
              <w:tabs>
                <w:tab w:val="left" w:pos="273"/>
              </w:tabs>
              <w:spacing w:before="33" w:after="0" w:line="261" w:lineRule="auto"/>
              <w:ind w:left="113" w:right="237" w:firstLine="0"/>
              <w:jc w:val="left"/>
              <w:rPr>
                <w:sz w:val="21"/>
              </w:rPr>
            </w:pPr>
            <w:r>
              <w:rPr>
                <w:spacing w:val="-2"/>
                <w:sz w:val="21"/>
              </w:rPr>
              <w:t>本项目施工场地设置覆盖</w:t>
            </w:r>
            <w:r>
              <w:rPr>
                <w:sz w:val="21"/>
              </w:rPr>
              <w:t>全场的喷淋装置。</w:t>
            </w:r>
          </w:p>
          <w:p>
            <w:pPr>
              <w:pStyle w:val="TableParagraph"/>
              <w:spacing w:before="25" w:line="261" w:lineRule="auto"/>
              <w:ind w:left="113" w:right="105"/>
              <w:rPr>
                <w:sz w:val="21"/>
              </w:rPr>
            </w:pPr>
            <w:r>
              <w:rPr>
                <w:rFonts w:ascii="Times New Roman" w:eastAsia="Times New Roman"/>
                <w:spacing w:val="-14"/>
                <w:sz w:val="21"/>
              </w:rPr>
              <w:t>4</w:t>
            </w:r>
            <w:r>
              <w:rPr>
                <w:spacing w:val="-5"/>
                <w:sz w:val="21"/>
              </w:rPr>
              <w:t>，项目封闭料场进出口安装</w:t>
            </w:r>
            <w:r>
              <w:rPr>
                <w:sz w:val="21"/>
              </w:rPr>
              <w:t>自动感应卷帘门，无车辆通过时保持关闭状态。</w:t>
            </w:r>
          </w:p>
          <w:p>
            <w:pPr>
              <w:pStyle w:val="TableParagraph"/>
              <w:spacing w:before="25" w:line="264" w:lineRule="auto"/>
              <w:ind w:left="113" w:right="185"/>
              <w:rPr>
                <w:sz w:val="21"/>
              </w:rPr>
            </w:pPr>
            <w:r>
              <w:rPr>
                <w:spacing w:val="-1"/>
                <w:sz w:val="21"/>
              </w:rPr>
              <w:t>根据上述分析，本项目封闭</w:t>
            </w:r>
            <w:r>
              <w:rPr>
                <w:sz w:val="21"/>
              </w:rPr>
              <w:t>料棚符合文件要求。</w:t>
            </w:r>
          </w:p>
        </w:tc>
      </w:tr>
      <w:tr>
        <w:tblPrEx>
          <w:tblW w:w="0" w:type="auto"/>
          <w:jc w:val="left"/>
          <w:tblInd w:w="321" w:type="dxa"/>
          <w:tblLayout w:type="fixed"/>
          <w:tblCellMar>
            <w:top w:w="0" w:type="dxa"/>
            <w:left w:w="0" w:type="dxa"/>
            <w:bottom w:w="0" w:type="dxa"/>
            <w:right w:w="0" w:type="dxa"/>
          </w:tblCellMar>
          <w:tblLook w:val="01E0"/>
        </w:tblPrEx>
        <w:trPr>
          <w:trHeight w:val="1473"/>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nil"/>
              <w:right w:val="single" w:sz="4" w:space="0" w:color="000000"/>
            </w:tcBorders>
          </w:tcPr>
          <w:p>
            <w:pPr>
              <w:pStyle w:val="TableParagraph"/>
              <w:spacing w:before="29" w:line="261" w:lineRule="auto"/>
              <w:ind w:left="129" w:right="93"/>
              <w:jc w:val="both"/>
              <w:rPr>
                <w:sz w:val="21"/>
              </w:rPr>
            </w:pPr>
            <w:r>
              <w:rPr>
                <w:sz w:val="21"/>
              </w:rPr>
              <w:t>（一） 密闭料仓或封闭料棚</w:t>
            </w:r>
          </w:p>
        </w:tc>
        <w:tc>
          <w:tcPr>
            <w:tcW w:w="4298" w:type="dxa"/>
            <w:tcBorders>
              <w:top w:val="nil"/>
              <w:left w:val="single" w:sz="4" w:space="0" w:color="000000"/>
              <w:bottom w:val="nil"/>
              <w:right w:val="single" w:sz="4" w:space="0" w:color="000000"/>
            </w:tcBorders>
          </w:tcPr>
          <w:p>
            <w:pPr>
              <w:pStyle w:val="TableParagraph"/>
              <w:spacing w:before="17" w:line="261" w:lineRule="auto"/>
              <w:ind w:left="112" w:right="184"/>
              <w:jc w:val="both"/>
              <w:rPr>
                <w:sz w:val="21"/>
              </w:rPr>
            </w:pPr>
            <w:r>
              <w:rPr>
                <w:rFonts w:ascii="Times New Roman" w:eastAsia="Times New Roman"/>
                <w:sz w:val="21"/>
              </w:rPr>
              <w:t>3.</w:t>
            </w:r>
            <w:r>
              <w:rPr>
                <w:sz w:val="21"/>
              </w:rPr>
              <w:t>封闭式料场设计施工单位必须有专业建设</w:t>
            </w:r>
            <w:r>
              <w:rPr>
                <w:w w:val="95"/>
                <w:sz w:val="21"/>
              </w:rPr>
              <w:t>资质，施工过程中应委托相应资质的监理单 位监理，施工单位应有安全组织措施，操作 流程，确保施工过程中的安全。经竣工验收</w:t>
            </w:r>
          </w:p>
          <w:p>
            <w:pPr>
              <w:pStyle w:val="TableParagraph"/>
              <w:spacing w:before="2" w:line="261" w:lineRule="exact"/>
              <w:ind w:left="112"/>
              <w:rPr>
                <w:sz w:val="21"/>
              </w:rPr>
            </w:pPr>
            <w:r>
              <w:rPr>
                <w:sz w:val="21"/>
              </w:rPr>
              <w:t>合格后方可运行。</w:t>
            </w:r>
          </w:p>
        </w:tc>
        <w:tc>
          <w:tcPr>
            <w:tcW w:w="2833"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062"/>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nil"/>
              <w:right w:val="single" w:sz="4" w:space="0" w:color="000000"/>
            </w:tcBorders>
          </w:tcPr>
          <w:p>
            <w:pPr>
              <w:pStyle w:val="TableParagraph"/>
              <w:rPr>
                <w:rFonts w:ascii="Times New Roman"/>
                <w:sz w:val="20"/>
              </w:rPr>
            </w:pPr>
          </w:p>
        </w:tc>
        <w:tc>
          <w:tcPr>
            <w:tcW w:w="4298" w:type="dxa"/>
            <w:tcBorders>
              <w:top w:val="nil"/>
              <w:left w:val="single" w:sz="4" w:space="0" w:color="000000"/>
              <w:bottom w:val="nil"/>
              <w:right w:val="single" w:sz="4" w:space="0" w:color="000000"/>
            </w:tcBorders>
          </w:tcPr>
          <w:p>
            <w:pPr>
              <w:pStyle w:val="TableParagraph"/>
              <w:spacing w:before="18" w:line="261" w:lineRule="auto"/>
              <w:ind w:left="112" w:right="-15"/>
              <w:rPr>
                <w:sz w:val="21"/>
              </w:rPr>
            </w:pPr>
            <w:r>
              <w:rPr>
                <w:rFonts w:ascii="Times New Roman" w:eastAsia="Times New Roman"/>
                <w:sz w:val="21"/>
              </w:rPr>
              <w:t>4.</w:t>
            </w:r>
            <w:r>
              <w:rPr>
                <w:spacing w:val="-8"/>
                <w:sz w:val="21"/>
              </w:rPr>
              <w:t>对有防火、防爆和通风要求的堆场</w:t>
            </w:r>
            <w:r>
              <w:rPr>
                <w:sz w:val="21"/>
              </w:rPr>
              <w:t>（如堆煤场），封闭应满足相关规范要求。围墙可采取实体墙与防风网、通风口相结合的方式： 实体墙不低于堆场（檐高）</w:t>
            </w:r>
            <w:r>
              <w:rPr>
                <w:spacing w:val="-28"/>
                <w:sz w:val="21"/>
              </w:rPr>
              <w:t xml:space="preserve">的 </w:t>
            </w:r>
            <w:r>
              <w:rPr>
                <w:rFonts w:ascii="Times New Roman" w:eastAsia="Times New Roman"/>
                <w:sz w:val="21"/>
              </w:rPr>
              <w:t>70%</w:t>
            </w:r>
            <w:r>
              <w:rPr>
                <w:sz w:val="21"/>
              </w:rPr>
              <w:t>且不低于</w:t>
            </w:r>
            <w:r>
              <w:rPr>
                <w:spacing w:val="-2"/>
                <w:w w:val="95"/>
                <w:sz w:val="21"/>
              </w:rPr>
              <w:t>料堆场高度，通风口高度不超过堆场</w:t>
            </w:r>
            <w:r>
              <w:rPr>
                <w:w w:val="95"/>
                <w:sz w:val="21"/>
              </w:rPr>
              <w:t xml:space="preserve">（檐高） </w:t>
            </w:r>
            <w:r>
              <w:rPr>
                <w:spacing w:val="-29"/>
                <w:sz w:val="21"/>
              </w:rPr>
              <w:t xml:space="preserve">的 </w:t>
            </w:r>
            <w:r>
              <w:rPr>
                <w:rFonts w:ascii="Times New Roman" w:eastAsia="Times New Roman"/>
                <w:sz w:val="21"/>
              </w:rPr>
              <w:t>15%</w:t>
            </w:r>
            <w:r>
              <w:rPr>
                <w:spacing w:val="-28"/>
                <w:sz w:val="21"/>
              </w:rPr>
              <w:t xml:space="preserve">或 </w:t>
            </w:r>
            <w:r>
              <w:rPr>
                <w:rFonts w:ascii="Times New Roman" w:eastAsia="Times New Roman"/>
                <w:sz w:val="21"/>
              </w:rPr>
              <w:t>2</w:t>
            </w:r>
            <w:r>
              <w:rPr>
                <w:rFonts w:ascii="Times New Roman" w:eastAsia="Times New Roman"/>
                <w:spacing w:val="-6"/>
                <w:sz w:val="21"/>
              </w:rPr>
              <w:t xml:space="preserve"> </w:t>
            </w:r>
            <w:r>
              <w:rPr>
                <w:spacing w:val="-8"/>
                <w:sz w:val="21"/>
              </w:rPr>
              <w:t>米</w:t>
            </w:r>
            <w:r>
              <w:rPr>
                <w:sz w:val="21"/>
              </w:rPr>
              <w:t>（取二者中小值</w:t>
            </w:r>
            <w:r>
              <w:rPr>
                <w:spacing w:val="-9"/>
                <w:sz w:val="21"/>
              </w:rPr>
              <w:t>）</w:t>
            </w:r>
            <w:r>
              <w:rPr>
                <w:spacing w:val="-3"/>
                <w:sz w:val="21"/>
              </w:rPr>
              <w:t>；根据需要，</w:t>
            </w:r>
          </w:p>
          <w:p>
            <w:pPr>
              <w:pStyle w:val="TableParagraph"/>
              <w:spacing w:before="4" w:line="260" w:lineRule="exact"/>
              <w:ind w:left="112"/>
              <w:rPr>
                <w:sz w:val="21"/>
              </w:rPr>
            </w:pPr>
            <w:r>
              <w:rPr>
                <w:sz w:val="21"/>
              </w:rPr>
              <w:t>侧墙上可设置通风窗户，方便开启。</w:t>
            </w:r>
          </w:p>
        </w:tc>
        <w:tc>
          <w:tcPr>
            <w:tcW w:w="2833"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1180"/>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nil"/>
              <w:right w:val="single" w:sz="4" w:space="0" w:color="000000"/>
            </w:tcBorders>
          </w:tcPr>
          <w:p>
            <w:pPr>
              <w:pStyle w:val="TableParagraph"/>
              <w:rPr>
                <w:rFonts w:ascii="Times New Roman"/>
                <w:sz w:val="20"/>
              </w:rPr>
            </w:pPr>
          </w:p>
        </w:tc>
        <w:tc>
          <w:tcPr>
            <w:tcW w:w="4298" w:type="dxa"/>
            <w:tcBorders>
              <w:top w:val="nil"/>
              <w:left w:val="single" w:sz="4" w:space="0" w:color="000000"/>
              <w:bottom w:val="nil"/>
              <w:right w:val="single" w:sz="4" w:space="0" w:color="000000"/>
            </w:tcBorders>
          </w:tcPr>
          <w:p>
            <w:pPr>
              <w:pStyle w:val="TableParagraph"/>
              <w:spacing w:before="17" w:line="261" w:lineRule="auto"/>
              <w:ind w:left="112" w:right="93"/>
              <w:rPr>
                <w:sz w:val="21"/>
              </w:rPr>
            </w:pPr>
            <w:r>
              <w:rPr>
                <w:rFonts w:ascii="Times New Roman" w:eastAsia="Times New Roman"/>
                <w:w w:val="95"/>
                <w:sz w:val="21"/>
              </w:rPr>
              <w:t>5.</w:t>
            </w:r>
            <w:r>
              <w:rPr>
                <w:spacing w:val="-6"/>
                <w:w w:val="95"/>
                <w:sz w:val="21"/>
              </w:rPr>
              <w:t>封闭料棚应设有喷淋装置，喷淋范围应覆盖</w:t>
            </w:r>
            <w:r>
              <w:rPr>
                <w:spacing w:val="-6"/>
                <w:sz w:val="21"/>
              </w:rPr>
              <w:t>整个料堆。如所储存物料对含水率有严格要求或遇水会发生变化，堆场应安装有效集尘</w:t>
            </w:r>
          </w:p>
          <w:p>
            <w:pPr>
              <w:pStyle w:val="TableParagraph"/>
              <w:spacing w:before="3" w:line="260" w:lineRule="exact"/>
              <w:ind w:left="112"/>
              <w:rPr>
                <w:sz w:val="21"/>
              </w:rPr>
            </w:pPr>
            <w:r>
              <w:rPr>
                <w:sz w:val="21"/>
              </w:rPr>
              <w:t>除尘设施。</w:t>
            </w:r>
          </w:p>
        </w:tc>
        <w:tc>
          <w:tcPr>
            <w:tcW w:w="2833"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916"/>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298" w:type="dxa"/>
            <w:tcBorders>
              <w:top w:val="nil"/>
              <w:left w:val="single" w:sz="4" w:space="0" w:color="000000"/>
              <w:bottom w:val="single" w:sz="4" w:space="0" w:color="000000"/>
              <w:right w:val="single" w:sz="4" w:space="0" w:color="000000"/>
            </w:tcBorders>
          </w:tcPr>
          <w:p>
            <w:pPr>
              <w:pStyle w:val="TableParagraph"/>
              <w:spacing w:before="17" w:line="261" w:lineRule="auto"/>
              <w:ind w:left="112" w:right="184"/>
              <w:jc w:val="both"/>
              <w:rPr>
                <w:sz w:val="21"/>
              </w:rPr>
            </w:pPr>
            <w:r>
              <w:rPr>
                <w:rFonts w:ascii="Times New Roman" w:eastAsia="Times New Roman"/>
                <w:sz w:val="21"/>
              </w:rPr>
              <w:t>6.</w:t>
            </w:r>
            <w:r>
              <w:rPr>
                <w:sz w:val="21"/>
              </w:rPr>
              <w:t>封闭料棚进出口应安装封闭性良好且便于</w:t>
            </w:r>
            <w:r>
              <w:rPr>
                <w:w w:val="95"/>
                <w:sz w:val="21"/>
              </w:rPr>
              <w:t>开关的卷帘门、推拉门或自动感应门等，无</w:t>
            </w:r>
            <w:r>
              <w:rPr>
                <w:sz w:val="21"/>
              </w:rPr>
              <w:t>车辆通过时应保持关闭状态。</w:t>
            </w:r>
          </w:p>
        </w:tc>
        <w:tc>
          <w:tcPr>
            <w:tcW w:w="2833"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650"/>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single" w:sz="18" w:space="0" w:color="000000"/>
              <w:right w:val="single" w:sz="4" w:space="0" w:color="000000"/>
            </w:tcBorders>
          </w:tcPr>
          <w:p>
            <w:pPr>
              <w:pStyle w:val="TableParagraph"/>
              <w:spacing w:before="21"/>
              <w:ind w:left="109" w:right="75"/>
              <w:jc w:val="center"/>
              <w:rPr>
                <w:sz w:val="21"/>
              </w:rPr>
            </w:pPr>
            <w:r>
              <w:rPr>
                <w:sz w:val="21"/>
              </w:rPr>
              <w:t>（二）</w:t>
            </w:r>
          </w:p>
          <w:p>
            <w:pPr>
              <w:pStyle w:val="TableParagraph"/>
              <w:spacing w:before="47"/>
              <w:ind w:left="109" w:right="75"/>
              <w:jc w:val="center"/>
              <w:rPr>
                <w:sz w:val="21"/>
              </w:rPr>
            </w:pPr>
            <w:r>
              <w:rPr>
                <w:sz w:val="21"/>
              </w:rPr>
              <w:t>防风</w:t>
            </w:r>
          </w:p>
        </w:tc>
        <w:tc>
          <w:tcPr>
            <w:tcW w:w="4298" w:type="dxa"/>
            <w:tcBorders>
              <w:top w:val="single" w:sz="4" w:space="0" w:color="000000"/>
              <w:left w:val="single" w:sz="4" w:space="0" w:color="000000"/>
              <w:bottom w:val="single" w:sz="18" w:space="0" w:color="000000"/>
              <w:right w:val="single" w:sz="4" w:space="0" w:color="000000"/>
            </w:tcBorders>
          </w:tcPr>
          <w:p>
            <w:pPr>
              <w:pStyle w:val="TableParagraph"/>
              <w:spacing w:before="42" w:line="261" w:lineRule="auto"/>
              <w:ind w:left="112" w:right="184"/>
              <w:rPr>
                <w:sz w:val="21"/>
              </w:rPr>
            </w:pPr>
            <w:r>
              <w:rPr>
                <w:rFonts w:ascii="Times New Roman" w:eastAsia="Times New Roman"/>
                <w:sz w:val="21"/>
              </w:rPr>
              <w:t>1.</w:t>
            </w:r>
            <w:r>
              <w:rPr>
                <w:sz w:val="21"/>
              </w:rPr>
              <w:t>防风抑尘网材质主要包括金属板、复合材</w:t>
            </w:r>
            <w:r>
              <w:rPr>
                <w:w w:val="95"/>
                <w:sz w:val="21"/>
              </w:rPr>
              <w:t>料、玻璃钢。建设单位应根据地区风速、腐</w:t>
            </w:r>
          </w:p>
        </w:tc>
        <w:tc>
          <w:tcPr>
            <w:tcW w:w="2833" w:type="dxa"/>
            <w:tcBorders>
              <w:top w:val="single" w:sz="4" w:space="0" w:color="000000"/>
              <w:left w:val="single" w:sz="4" w:space="0" w:color="000000"/>
              <w:bottom w:val="single" w:sz="18" w:space="0" w:color="000000"/>
            </w:tcBorders>
          </w:tcPr>
          <w:p>
            <w:pPr>
              <w:pStyle w:val="TableParagraph"/>
              <w:spacing w:before="42" w:line="261" w:lineRule="auto"/>
              <w:ind w:left="113" w:right="2"/>
              <w:rPr>
                <w:sz w:val="21"/>
              </w:rPr>
            </w:pPr>
            <w:r>
              <w:rPr>
                <w:sz w:val="21"/>
              </w:rPr>
              <w:t>本次施工期建设单位将按文</w:t>
            </w:r>
            <w:r>
              <w:rPr>
                <w:spacing w:val="-6"/>
                <w:sz w:val="21"/>
              </w:rPr>
              <w:t>件要求，根据阜宁当地风速、</w:t>
            </w:r>
          </w:p>
        </w:tc>
      </w:tr>
    </w:tbl>
    <w:p>
      <w:pPr>
        <w:spacing w:after="0" w:line="261" w:lineRule="auto"/>
        <w:rPr>
          <w:sz w:val="21"/>
        </w:rPr>
        <w:sectPr>
          <w:headerReference w:type="default" r:id="rId32"/>
          <w:footerReference w:type="default" r:id="rId33"/>
          <w:pgSz w:w="11910" w:h="16840"/>
          <w:pgMar w:top="1340" w:right="1120" w:bottom="1160" w:left="1220" w:header="891" w:footer="969"/>
          <w:pgNumType w:start="14"/>
          <w:cols w:space="708"/>
        </w:sectPr>
      </w:pPr>
    </w:p>
    <w:p>
      <w:pPr>
        <w:pStyle w:val="BodyText"/>
        <w:rPr>
          <w:rFonts w:ascii="Times New Roman"/>
          <w:sz w:val="20"/>
        </w:rPr>
      </w:pPr>
    </w:p>
    <w:p>
      <w:pPr>
        <w:pStyle w:val="BodyText"/>
        <w:spacing w:before="11"/>
        <w:rPr>
          <w:rFonts w:ascii="Times New Roman"/>
          <w:sz w:val="10"/>
        </w:rPr>
      </w:pPr>
    </w:p>
    <w:tbl>
      <w:tblPr>
        <w:tblStyle w:val="TableNormal11"/>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864"/>
        <w:gridCol w:w="4298"/>
        <w:gridCol w:w="2833"/>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206"/>
          <w:jc w:val="left"/>
        </w:trPr>
        <w:tc>
          <w:tcPr>
            <w:tcW w:w="1044" w:type="dxa"/>
            <w:vMerge w:val="restart"/>
            <w:tcBorders>
              <w:right w:val="single" w:sz="4" w:space="0" w:color="000000"/>
            </w:tcBorders>
          </w:tcPr>
          <w:p>
            <w:pPr>
              <w:pStyle w:val="TableParagraph"/>
              <w:rPr>
                <w:rFonts w:ascii="Times New Roman"/>
                <w:sz w:val="20"/>
              </w:rPr>
            </w:pPr>
          </w:p>
        </w:tc>
        <w:tc>
          <w:tcPr>
            <w:tcW w:w="864" w:type="dxa"/>
            <w:tcBorders>
              <w:top w:val="thinThickMediumGap" w:sz="6" w:space="0" w:color="000000"/>
              <w:left w:val="single" w:sz="4" w:space="0" w:color="000000"/>
              <w:bottom w:val="nil"/>
              <w:right w:val="single" w:sz="4" w:space="0" w:color="000000"/>
            </w:tcBorders>
          </w:tcPr>
          <w:p>
            <w:pPr>
              <w:pStyle w:val="TableParagraph"/>
              <w:spacing w:line="256" w:lineRule="exact"/>
              <w:ind w:left="109" w:right="75"/>
              <w:jc w:val="center"/>
              <w:rPr>
                <w:sz w:val="21"/>
              </w:rPr>
            </w:pPr>
            <w:r>
              <w:rPr>
                <w:sz w:val="21"/>
              </w:rPr>
              <w:t>抑尘</w:t>
            </w:r>
          </w:p>
          <w:p>
            <w:pPr>
              <w:pStyle w:val="TableParagraph"/>
              <w:spacing w:before="47"/>
              <w:ind w:left="36"/>
              <w:jc w:val="center"/>
              <w:rPr>
                <w:sz w:val="21"/>
              </w:rPr>
            </w:pPr>
            <w:r>
              <w:rPr>
                <w:w w:val="99"/>
                <w:sz w:val="21"/>
              </w:rPr>
              <w:t>网</w:t>
            </w:r>
          </w:p>
          <w:p>
            <w:pPr>
              <w:pStyle w:val="TableParagraph"/>
              <w:spacing w:before="51"/>
              <w:ind w:left="109" w:right="75"/>
              <w:jc w:val="center"/>
              <w:rPr>
                <w:sz w:val="21"/>
              </w:rPr>
            </w:pPr>
            <w:r>
              <w:rPr>
                <w:sz w:val="21"/>
              </w:rPr>
              <w:t>（墙）</w:t>
            </w:r>
          </w:p>
        </w:tc>
        <w:tc>
          <w:tcPr>
            <w:tcW w:w="4298" w:type="dxa"/>
            <w:tcBorders>
              <w:top w:val="thinThickMediumGap" w:sz="6" w:space="0" w:color="000000"/>
              <w:left w:val="single" w:sz="4" w:space="0" w:color="000000"/>
              <w:bottom w:val="nil"/>
              <w:right w:val="single" w:sz="4" w:space="0" w:color="000000"/>
            </w:tcBorders>
          </w:tcPr>
          <w:p>
            <w:pPr>
              <w:pStyle w:val="TableParagraph"/>
              <w:spacing w:line="256" w:lineRule="exact"/>
              <w:ind w:left="112"/>
              <w:rPr>
                <w:sz w:val="21"/>
              </w:rPr>
            </w:pPr>
            <w:r>
              <w:rPr>
                <w:w w:val="95"/>
                <w:sz w:val="21"/>
              </w:rPr>
              <w:t>蚀条件、工程投资等因素综合考虑选择防风</w:t>
            </w:r>
          </w:p>
          <w:p>
            <w:pPr>
              <w:pStyle w:val="TableParagraph"/>
              <w:spacing w:before="23" w:line="261" w:lineRule="auto"/>
              <w:ind w:left="112" w:right="184"/>
              <w:jc w:val="both"/>
              <w:rPr>
                <w:sz w:val="21"/>
              </w:rPr>
            </w:pPr>
            <w:r>
              <w:rPr>
                <w:w w:val="95"/>
                <w:sz w:val="21"/>
              </w:rPr>
              <w:t>网材质。金属板材的优点是耐腐蚀性强（经 过表面处理）、抗风好、美观，板材可回收 再利用；缺点是密度大，造价相对较高。复 合材料优点是耐腐蚀性强、抗风好，缺点是 造价相对较高，不可再利用。玻璃钢材质优 点是价格便宜、耐腐蚀，缺点是抗风一般， 不可再利用，使用寿命相对较短。金属板材 防风网包括单峰、双峰、三峰等多种规格。 三峰板材安装简便，施工效率高，安装后整</w:t>
            </w:r>
          </w:p>
          <w:p>
            <w:pPr>
              <w:pStyle w:val="TableParagraph"/>
              <w:spacing w:before="8" w:line="260" w:lineRule="exact"/>
              <w:ind w:left="112"/>
              <w:rPr>
                <w:sz w:val="21"/>
              </w:rPr>
            </w:pPr>
            <w:r>
              <w:rPr>
                <w:sz w:val="21"/>
              </w:rPr>
              <w:t>体性能较好，抗风能力更强。</w:t>
            </w:r>
          </w:p>
        </w:tc>
        <w:tc>
          <w:tcPr>
            <w:tcW w:w="2833" w:type="dxa"/>
            <w:tcBorders>
              <w:top w:val="thinThickMediumGap" w:sz="6" w:space="0" w:color="000000"/>
              <w:left w:val="single" w:sz="4" w:space="0" w:color="000000"/>
              <w:bottom w:val="nil"/>
            </w:tcBorders>
          </w:tcPr>
          <w:p>
            <w:pPr>
              <w:pStyle w:val="TableParagraph"/>
              <w:spacing w:line="256" w:lineRule="exact"/>
              <w:ind w:left="113"/>
              <w:rPr>
                <w:sz w:val="21"/>
              </w:rPr>
            </w:pPr>
            <w:r>
              <w:rPr>
                <w:sz w:val="21"/>
              </w:rPr>
              <w:t>腐蚀条件等因素选择防风抑</w:t>
            </w:r>
          </w:p>
          <w:p>
            <w:pPr>
              <w:pStyle w:val="TableParagraph"/>
              <w:spacing w:before="23" w:line="261" w:lineRule="auto"/>
              <w:ind w:left="113" w:right="185"/>
              <w:rPr>
                <w:sz w:val="21"/>
              </w:rPr>
            </w:pPr>
            <w:r>
              <w:rPr>
                <w:sz w:val="21"/>
              </w:rPr>
              <w:t>尘网，并按要求安装，防风网底部设置防溢座，并定期维护，保持拼接处无缝隙、整洁；根据上述分析，本项目防风抑尘网符合文件要 求。</w:t>
            </w:r>
          </w:p>
        </w:tc>
      </w:tr>
      <w:tr>
        <w:tblPrEx>
          <w:tblW w:w="0" w:type="auto"/>
          <w:jc w:val="left"/>
          <w:tblInd w:w="321" w:type="dxa"/>
          <w:tblLayout w:type="fixed"/>
          <w:tblCellMar>
            <w:top w:w="0" w:type="dxa"/>
            <w:left w:w="0" w:type="dxa"/>
            <w:bottom w:w="0" w:type="dxa"/>
            <w:right w:w="0" w:type="dxa"/>
          </w:tblCellMar>
          <w:tblLook w:val="01E0"/>
        </w:tblPrEx>
        <w:trPr>
          <w:trHeight w:val="1766"/>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nil"/>
              <w:right w:val="single" w:sz="4" w:space="0" w:color="000000"/>
            </w:tcBorders>
          </w:tcPr>
          <w:p>
            <w:pPr>
              <w:pStyle w:val="TableParagraph"/>
              <w:rPr>
                <w:rFonts w:ascii="Times New Roman"/>
                <w:sz w:val="20"/>
              </w:rPr>
            </w:pPr>
          </w:p>
        </w:tc>
        <w:tc>
          <w:tcPr>
            <w:tcW w:w="4298" w:type="dxa"/>
            <w:tcBorders>
              <w:top w:val="nil"/>
              <w:left w:val="single" w:sz="4" w:space="0" w:color="000000"/>
              <w:bottom w:val="nil"/>
              <w:right w:val="single" w:sz="4" w:space="0" w:color="000000"/>
            </w:tcBorders>
          </w:tcPr>
          <w:p>
            <w:pPr>
              <w:pStyle w:val="TableParagraph"/>
              <w:spacing w:before="17" w:line="261" w:lineRule="auto"/>
              <w:ind w:left="112" w:right="177"/>
              <w:jc w:val="both"/>
              <w:rPr>
                <w:sz w:val="21"/>
              </w:rPr>
            </w:pPr>
            <w:r>
              <w:rPr>
                <w:rFonts w:ascii="Times New Roman" w:eastAsia="Times New Roman"/>
                <w:sz w:val="21"/>
              </w:rPr>
              <w:t>2.</w:t>
            </w:r>
            <w:r>
              <w:rPr>
                <w:sz w:val="21"/>
              </w:rPr>
              <w:t>严禁使用彩布条及其他不符合强度要求的材料作为网面材料。堆场至少应在三侧安装防风网且堆场上风向必须安装防风网；防风</w:t>
            </w:r>
            <w:r>
              <w:rPr>
                <w:spacing w:val="-7"/>
                <w:sz w:val="21"/>
              </w:rPr>
              <w:t xml:space="preserve">网宜设置在距堆垛 </w:t>
            </w:r>
            <w:r>
              <w:rPr>
                <w:rFonts w:ascii="Times New Roman" w:eastAsia="Times New Roman"/>
                <w:sz w:val="21"/>
              </w:rPr>
              <w:t xml:space="preserve">2~3 </w:t>
            </w:r>
            <w:r>
              <w:rPr>
                <w:sz w:val="21"/>
              </w:rPr>
              <w:t xml:space="preserve">倍堆垛高度距离处， </w:t>
            </w:r>
            <w:r>
              <w:rPr>
                <w:spacing w:val="-7"/>
                <w:sz w:val="21"/>
              </w:rPr>
              <w:t xml:space="preserve">最近距离不宜小于 </w:t>
            </w:r>
            <w:r>
              <w:rPr>
                <w:rFonts w:ascii="Times New Roman" w:eastAsia="Times New Roman"/>
                <w:sz w:val="21"/>
              </w:rPr>
              <w:t xml:space="preserve">1 </w:t>
            </w:r>
            <w:r>
              <w:rPr>
                <w:sz w:val="21"/>
              </w:rPr>
              <w:t>倍堆垛高度；防风网底</w:t>
            </w:r>
          </w:p>
          <w:p>
            <w:pPr>
              <w:pStyle w:val="TableParagraph"/>
              <w:spacing w:before="2" w:line="261" w:lineRule="exact"/>
              <w:ind w:left="112"/>
              <w:rPr>
                <w:sz w:val="21"/>
              </w:rPr>
            </w:pPr>
            <w:r>
              <w:rPr>
                <w:sz w:val="21"/>
              </w:rPr>
              <w:t>端应设置防溢座，防溢座之间无缝隙。</w:t>
            </w:r>
          </w:p>
        </w:tc>
        <w:tc>
          <w:tcPr>
            <w:tcW w:w="2833" w:type="dxa"/>
            <w:tcBorders>
              <w:top w:val="nil"/>
              <w:left w:val="single" w:sz="4" w:space="0" w:color="000000"/>
              <w:bottom w:val="nil"/>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1766"/>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nil"/>
              <w:right w:val="single" w:sz="4" w:space="0" w:color="000000"/>
            </w:tcBorders>
          </w:tcPr>
          <w:p>
            <w:pPr>
              <w:pStyle w:val="TableParagraph"/>
              <w:rPr>
                <w:rFonts w:ascii="Times New Roman"/>
                <w:sz w:val="20"/>
              </w:rPr>
            </w:pPr>
          </w:p>
        </w:tc>
        <w:tc>
          <w:tcPr>
            <w:tcW w:w="4298" w:type="dxa"/>
            <w:tcBorders>
              <w:top w:val="nil"/>
              <w:left w:val="single" w:sz="4" w:space="0" w:color="000000"/>
              <w:bottom w:val="nil"/>
              <w:right w:val="single" w:sz="4" w:space="0" w:color="000000"/>
            </w:tcBorders>
          </w:tcPr>
          <w:p>
            <w:pPr>
              <w:pStyle w:val="TableParagraph"/>
              <w:spacing w:before="18" w:line="261" w:lineRule="auto"/>
              <w:ind w:left="112" w:right="93"/>
              <w:rPr>
                <w:sz w:val="21"/>
              </w:rPr>
            </w:pPr>
            <w:r>
              <w:rPr>
                <w:rFonts w:ascii="Times New Roman" w:eastAsia="Times New Roman"/>
                <w:sz w:val="21"/>
              </w:rPr>
              <w:t>3.</w:t>
            </w:r>
            <w:r>
              <w:rPr>
                <w:sz w:val="21"/>
              </w:rPr>
              <w:t>建设单位应根据防风网庇护范围确定防风</w:t>
            </w:r>
            <w:r>
              <w:rPr>
                <w:spacing w:val="-8"/>
                <w:sz w:val="21"/>
              </w:rPr>
              <w:t xml:space="preserve">网高度，在庇护区内最高堆垛高度 </w:t>
            </w:r>
            <w:r>
              <w:rPr>
                <w:rFonts w:ascii="Times New Roman" w:eastAsia="Times New Roman"/>
                <w:sz w:val="21"/>
              </w:rPr>
              <w:t xml:space="preserve">1.1~1.5 </w:t>
            </w:r>
            <w:r>
              <w:rPr>
                <w:sz w:val="21"/>
              </w:rPr>
              <w:t>倍内选取，同时防风网高度应不小于庇护区垂</w:t>
            </w:r>
            <w:r>
              <w:rPr>
                <w:spacing w:val="-6"/>
                <w:sz w:val="21"/>
              </w:rPr>
              <w:t xml:space="preserve">直防风网方向长度的 </w:t>
            </w:r>
            <w:r>
              <w:rPr>
                <w:rFonts w:ascii="Times New Roman" w:eastAsia="Times New Roman"/>
                <w:sz w:val="21"/>
              </w:rPr>
              <w:t>1/25</w:t>
            </w:r>
            <w:r>
              <w:rPr>
                <w:sz w:val="21"/>
              </w:rPr>
              <w:t>；最佳高度为庇护</w:t>
            </w:r>
            <w:r>
              <w:rPr>
                <w:spacing w:val="-11"/>
                <w:sz w:val="21"/>
              </w:rPr>
              <w:t xml:space="preserve">区长度的 </w:t>
            </w:r>
            <w:r>
              <w:rPr>
                <w:rFonts w:ascii="Times New Roman" w:eastAsia="Times New Roman"/>
                <w:sz w:val="21"/>
              </w:rPr>
              <w:t>1/15</w:t>
            </w:r>
            <w:r>
              <w:rPr>
                <w:sz w:val="21"/>
              </w:rPr>
              <w:t>。若堆场超过有效庇护范围，</w:t>
            </w:r>
          </w:p>
          <w:p>
            <w:pPr>
              <w:pStyle w:val="TableParagraph"/>
              <w:spacing w:before="2" w:line="260" w:lineRule="exact"/>
              <w:ind w:left="112"/>
              <w:rPr>
                <w:sz w:val="21"/>
              </w:rPr>
            </w:pPr>
            <w:r>
              <w:rPr>
                <w:sz w:val="21"/>
              </w:rPr>
              <w:t>应加高防风网或安装多组防风网。</w:t>
            </w:r>
          </w:p>
        </w:tc>
        <w:tc>
          <w:tcPr>
            <w:tcW w:w="2833" w:type="dxa"/>
            <w:tcBorders>
              <w:top w:val="nil"/>
              <w:left w:val="single" w:sz="4" w:space="0" w:color="000000"/>
              <w:bottom w:val="nil"/>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1235"/>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298" w:type="dxa"/>
            <w:tcBorders>
              <w:top w:val="nil"/>
              <w:left w:val="single" w:sz="4" w:space="0" w:color="000000"/>
              <w:bottom w:val="single" w:sz="4" w:space="0" w:color="000000"/>
              <w:right w:val="single" w:sz="4" w:space="0" w:color="000000"/>
            </w:tcBorders>
          </w:tcPr>
          <w:p>
            <w:pPr>
              <w:pStyle w:val="TableParagraph"/>
              <w:numPr>
                <w:ilvl w:val="0"/>
                <w:numId w:val="29"/>
              </w:numPr>
              <w:tabs>
                <w:tab w:val="left" w:pos="272"/>
              </w:tabs>
              <w:spacing w:before="17" w:after="0" w:line="264" w:lineRule="auto"/>
              <w:ind w:left="112" w:right="107" w:firstLine="0"/>
              <w:jc w:val="left"/>
              <w:rPr>
                <w:sz w:val="21"/>
              </w:rPr>
            </w:pPr>
            <w:r>
              <w:rPr>
                <w:spacing w:val="-7"/>
                <w:sz w:val="21"/>
              </w:rPr>
              <w:t xml:space="preserve">防风网的开孔率以 </w:t>
            </w:r>
            <w:r>
              <w:rPr>
                <w:rFonts w:ascii="Times New Roman" w:eastAsia="Times New Roman"/>
                <w:sz w:val="21"/>
              </w:rPr>
              <w:t>20~50%</w:t>
            </w:r>
            <w:r>
              <w:rPr>
                <w:sz w:val="21"/>
              </w:rPr>
              <w:t>为宜，最佳防风</w:t>
            </w:r>
            <w:r>
              <w:rPr>
                <w:spacing w:val="-8"/>
                <w:sz w:val="21"/>
              </w:rPr>
              <w:t xml:space="preserve">网的开孔率为 </w:t>
            </w:r>
            <w:r>
              <w:rPr>
                <w:rFonts w:ascii="Times New Roman" w:eastAsia="Times New Roman"/>
                <w:sz w:val="21"/>
              </w:rPr>
              <w:t>30%~40%</w:t>
            </w:r>
            <w:r>
              <w:rPr>
                <w:sz w:val="21"/>
              </w:rPr>
              <w:t>。</w:t>
            </w:r>
          </w:p>
          <w:p>
            <w:pPr>
              <w:pStyle w:val="TableParagraph"/>
              <w:numPr>
                <w:ilvl w:val="0"/>
                <w:numId w:val="29"/>
              </w:numPr>
              <w:tabs>
                <w:tab w:val="left" w:pos="272"/>
              </w:tabs>
              <w:spacing w:before="20" w:after="0" w:line="240" w:lineRule="auto"/>
              <w:ind w:left="271" w:right="0" w:hanging="160"/>
              <w:jc w:val="left"/>
              <w:rPr>
                <w:sz w:val="21"/>
              </w:rPr>
            </w:pPr>
            <w:r>
              <w:rPr>
                <w:spacing w:val="-6"/>
                <w:sz w:val="21"/>
              </w:rPr>
              <w:t>为防止堆场内物料外溢，防风网下部可设置</w:t>
            </w:r>
          </w:p>
          <w:p>
            <w:pPr>
              <w:pStyle w:val="TableParagraph"/>
              <w:spacing w:before="26"/>
              <w:ind w:left="112"/>
              <w:rPr>
                <w:sz w:val="21"/>
              </w:rPr>
            </w:pPr>
            <w:r>
              <w:rPr>
                <w:rFonts w:ascii="Times New Roman" w:eastAsia="Times New Roman"/>
                <w:sz w:val="21"/>
              </w:rPr>
              <w:t xml:space="preserve">1.2~1.5 </w:t>
            </w:r>
            <w:r>
              <w:rPr>
                <w:sz w:val="21"/>
              </w:rPr>
              <w:t>米的实体挡墙。</w:t>
            </w:r>
          </w:p>
        </w:tc>
        <w:tc>
          <w:tcPr>
            <w:tcW w:w="2833" w:type="dxa"/>
            <w:tcBorders>
              <w:top w:val="nil"/>
              <w:left w:val="single" w:sz="4" w:space="0" w:color="000000"/>
              <w:bottom w:val="single" w:sz="4" w:space="0" w:color="000000"/>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593"/>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298" w:type="dxa"/>
            <w:tcBorders>
              <w:top w:val="single" w:sz="4" w:space="0" w:color="000000"/>
              <w:left w:val="single" w:sz="4" w:space="0" w:color="000000"/>
              <w:bottom w:val="nil"/>
              <w:right w:val="single" w:sz="4" w:space="0" w:color="000000"/>
            </w:tcBorders>
          </w:tcPr>
          <w:p>
            <w:pPr>
              <w:pStyle w:val="TableParagraph"/>
              <w:spacing w:before="21"/>
              <w:ind w:left="112"/>
              <w:rPr>
                <w:sz w:val="21"/>
              </w:rPr>
            </w:pPr>
            <w:r>
              <w:rPr>
                <w:rFonts w:ascii="Times New Roman" w:eastAsia="Times New Roman"/>
                <w:sz w:val="21"/>
              </w:rPr>
              <w:t>1.</w:t>
            </w:r>
            <w:r>
              <w:rPr>
                <w:sz w:val="21"/>
              </w:rPr>
              <w:t>防尘布须覆盖全部堆料，操作时直接在堆场</w:t>
            </w:r>
          </w:p>
          <w:p>
            <w:pPr>
              <w:pStyle w:val="TableParagraph"/>
              <w:spacing w:before="23" w:line="260" w:lineRule="exact"/>
              <w:ind w:left="112"/>
              <w:rPr>
                <w:sz w:val="21"/>
              </w:rPr>
            </w:pPr>
            <w:r>
              <w:rPr>
                <w:sz w:val="21"/>
              </w:rPr>
              <w:t>上遮盖。</w:t>
            </w:r>
          </w:p>
        </w:tc>
        <w:tc>
          <w:tcPr>
            <w:tcW w:w="2833" w:type="dxa"/>
            <w:tcBorders>
              <w:top w:val="single" w:sz="4" w:space="0" w:color="000000"/>
              <w:left w:val="single" w:sz="4" w:space="0" w:color="000000"/>
              <w:bottom w:val="nil"/>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2085"/>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6"/>
              </w:rPr>
            </w:pPr>
          </w:p>
          <w:p>
            <w:pPr>
              <w:pStyle w:val="TableParagraph"/>
              <w:spacing w:line="264" w:lineRule="auto"/>
              <w:ind w:left="235" w:right="93" w:hanging="106"/>
              <w:rPr>
                <w:sz w:val="21"/>
              </w:rPr>
            </w:pPr>
            <w:r>
              <w:rPr>
                <w:sz w:val="21"/>
              </w:rPr>
              <w:t>（三） 苫盖</w:t>
            </w:r>
          </w:p>
        </w:tc>
        <w:tc>
          <w:tcPr>
            <w:tcW w:w="4298" w:type="dxa"/>
            <w:tcBorders>
              <w:top w:val="nil"/>
              <w:left w:val="single" w:sz="4" w:space="0" w:color="000000"/>
              <w:bottom w:val="nil"/>
              <w:right w:val="single" w:sz="4" w:space="0" w:color="000000"/>
            </w:tcBorders>
          </w:tcPr>
          <w:p>
            <w:pPr>
              <w:pStyle w:val="TableParagraph"/>
              <w:spacing w:before="17" w:line="266" w:lineRule="auto"/>
              <w:ind w:left="112" w:right="-15"/>
              <w:rPr>
                <w:sz w:val="21"/>
              </w:rPr>
            </w:pPr>
            <w:r>
              <w:rPr>
                <w:rFonts w:ascii="Times New Roman" w:eastAsia="Times New Roman"/>
                <w:sz w:val="21"/>
              </w:rPr>
              <w:t>2.</w:t>
            </w:r>
            <w:r>
              <w:rPr>
                <w:spacing w:val="-4"/>
                <w:sz w:val="21"/>
              </w:rPr>
              <w:t xml:space="preserve">苫盖面积不得小于料堆表面面积的 </w:t>
            </w:r>
            <w:r>
              <w:rPr>
                <w:rFonts w:ascii="Times New Roman" w:eastAsia="Times New Roman"/>
                <w:sz w:val="21"/>
              </w:rPr>
              <w:t>100%</w:t>
            </w:r>
            <w:r>
              <w:rPr>
                <w:sz w:val="21"/>
              </w:rPr>
              <w:t xml:space="preserve">。在料堆表层苫盖防尘布应具备固定措施，做到刮风不开，宜采用重物压实和固定物拴牢 </w:t>
            </w:r>
            <w:r>
              <w:rPr>
                <w:spacing w:val="-4"/>
                <w:w w:val="95"/>
                <w:sz w:val="21"/>
              </w:rPr>
              <w:t xml:space="preserve">等方式，避免风力导致苫盖破损及料堆裸露。 </w:t>
            </w:r>
            <w:r>
              <w:rPr>
                <w:spacing w:val="-4"/>
                <w:sz w:val="21"/>
              </w:rPr>
              <w:t>苫盖接口应紧密，接口处互相叠盖，不留空隙；苫盖防尘布表面应拉挺、平整，避免折</w:t>
            </w:r>
          </w:p>
          <w:p>
            <w:pPr>
              <w:pStyle w:val="TableParagraph"/>
              <w:spacing w:line="257" w:lineRule="exact"/>
              <w:ind w:left="112"/>
              <w:rPr>
                <w:sz w:val="21"/>
              </w:rPr>
            </w:pPr>
            <w:r>
              <w:rPr>
                <w:sz w:val="21"/>
              </w:rPr>
              <w:t>叠和凹陷。</w:t>
            </w:r>
          </w:p>
        </w:tc>
        <w:tc>
          <w:tcPr>
            <w:tcW w:w="2833" w:type="dxa"/>
            <w:tcBorders>
              <w:top w:val="nil"/>
              <w:left w:val="single" w:sz="4" w:space="0" w:color="000000"/>
              <w:bottom w:val="nil"/>
            </w:tcBorders>
          </w:tcPr>
          <w:p>
            <w:pPr>
              <w:pStyle w:val="TableParagraph"/>
              <w:spacing w:before="29" w:line="261" w:lineRule="auto"/>
              <w:ind w:left="113" w:right="185"/>
              <w:jc w:val="both"/>
              <w:rPr>
                <w:sz w:val="21"/>
              </w:rPr>
            </w:pPr>
            <w:r>
              <w:rPr>
                <w:sz w:val="21"/>
              </w:rPr>
              <w:t>项目废弃土方存储时，采用防尘布直接遮盖，防尘布面积大于堆场面积，并采取重物压实和固定物拴牢等固定措施；项目废弃的苫盖物料按规定存储，并合理处置，</w:t>
            </w:r>
          </w:p>
          <w:p>
            <w:pPr>
              <w:pStyle w:val="TableParagraph"/>
              <w:spacing w:before="4"/>
              <w:ind w:left="113"/>
              <w:rPr>
                <w:sz w:val="21"/>
              </w:rPr>
            </w:pPr>
            <w:r>
              <w:rPr>
                <w:sz w:val="21"/>
              </w:rPr>
              <w:t>符合文件要求。</w:t>
            </w:r>
          </w:p>
        </w:tc>
      </w:tr>
      <w:tr>
        <w:tblPrEx>
          <w:tblW w:w="0" w:type="auto"/>
          <w:jc w:val="left"/>
          <w:tblInd w:w="321" w:type="dxa"/>
          <w:tblLayout w:type="fixed"/>
          <w:tblCellMar>
            <w:top w:w="0" w:type="dxa"/>
            <w:left w:w="0" w:type="dxa"/>
            <w:bottom w:w="0" w:type="dxa"/>
            <w:right w:w="0" w:type="dxa"/>
          </w:tblCellMar>
          <w:tblLook w:val="01E0"/>
        </w:tblPrEx>
        <w:trPr>
          <w:trHeight w:val="623"/>
          <w:jc w:val="left"/>
        </w:trPr>
        <w:tc>
          <w:tcPr>
            <w:tcW w:w="1044" w:type="dxa"/>
            <w:vMerge/>
            <w:tcBorders>
              <w:top w:val="nil"/>
              <w:right w:val="single" w:sz="4" w:space="0" w:color="000000"/>
            </w:tcBorders>
          </w:tcPr>
          <w:p>
            <w:pPr>
              <w:rPr>
                <w:sz w:val="2"/>
                <w:szCs w:val="2"/>
              </w:rPr>
            </w:pPr>
          </w:p>
        </w:tc>
        <w:tc>
          <w:tcPr>
            <w:tcW w:w="86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298" w:type="dxa"/>
            <w:tcBorders>
              <w:top w:val="nil"/>
              <w:left w:val="single" w:sz="4" w:space="0" w:color="000000"/>
              <w:bottom w:val="single" w:sz="4" w:space="0" w:color="000000"/>
              <w:right w:val="single" w:sz="4" w:space="0" w:color="000000"/>
            </w:tcBorders>
          </w:tcPr>
          <w:p>
            <w:pPr>
              <w:pStyle w:val="TableParagraph"/>
              <w:spacing w:before="18"/>
              <w:ind w:left="112"/>
              <w:rPr>
                <w:sz w:val="21"/>
              </w:rPr>
            </w:pPr>
            <w:r>
              <w:rPr>
                <w:rFonts w:ascii="Times New Roman" w:eastAsia="Times New Roman"/>
                <w:sz w:val="21"/>
              </w:rPr>
              <w:t>3.</w:t>
            </w:r>
            <w:r>
              <w:rPr>
                <w:sz w:val="21"/>
              </w:rPr>
              <w:t>对废弃苫盖的物料不得随意丢弃，严格按照</w:t>
            </w:r>
          </w:p>
          <w:p>
            <w:pPr>
              <w:pStyle w:val="TableParagraph"/>
              <w:spacing w:before="23"/>
              <w:ind w:left="112"/>
              <w:rPr>
                <w:sz w:val="21"/>
              </w:rPr>
            </w:pPr>
            <w:r>
              <w:rPr>
                <w:sz w:val="21"/>
              </w:rPr>
              <w:t>相关规定妥善做好存储、处置。</w:t>
            </w:r>
          </w:p>
        </w:tc>
        <w:tc>
          <w:tcPr>
            <w:tcW w:w="2833" w:type="dxa"/>
            <w:tcBorders>
              <w:top w:val="nil"/>
              <w:left w:val="single" w:sz="4" w:space="0" w:color="000000"/>
              <w:bottom w:val="single" w:sz="4" w:space="0" w:color="000000"/>
            </w:tcBorders>
          </w:tcPr>
          <w:p>
            <w:pPr>
              <w:pStyle w:val="TableParagraph"/>
              <w:rPr>
                <w:rFonts w:ascii="Times New Roman"/>
                <w:sz w:val="20"/>
              </w:rPr>
            </w:pPr>
          </w:p>
        </w:tc>
      </w:tr>
      <w:tr>
        <w:tblPrEx>
          <w:tblW w:w="0" w:type="auto"/>
          <w:jc w:val="left"/>
          <w:tblInd w:w="321" w:type="dxa"/>
          <w:tblLayout w:type="fixed"/>
          <w:tblCellMar>
            <w:top w:w="0" w:type="dxa"/>
            <w:left w:w="0" w:type="dxa"/>
            <w:bottom w:w="0" w:type="dxa"/>
            <w:right w:w="0" w:type="dxa"/>
          </w:tblCellMar>
          <w:tblLook w:val="01E0"/>
        </w:tblPrEx>
        <w:trPr>
          <w:trHeight w:val="1778"/>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34" w:line="264" w:lineRule="auto"/>
              <w:ind w:left="235" w:right="93" w:hanging="106"/>
              <w:rPr>
                <w:sz w:val="21"/>
              </w:rPr>
            </w:pPr>
            <w:r>
              <w:rPr>
                <w:sz w:val="21"/>
              </w:rPr>
              <w:t>（四） 喷淋</w:t>
            </w:r>
          </w:p>
        </w:tc>
        <w:tc>
          <w:tcPr>
            <w:tcW w:w="4298" w:type="dxa"/>
            <w:tcBorders>
              <w:top w:val="single" w:sz="4" w:space="0" w:color="000000"/>
              <w:left w:val="single" w:sz="4" w:space="0" w:color="000000"/>
              <w:bottom w:val="single" w:sz="18" w:space="0" w:color="000000"/>
              <w:right w:val="single" w:sz="4" w:space="0" w:color="000000"/>
            </w:tcBorders>
          </w:tcPr>
          <w:p>
            <w:pPr>
              <w:pStyle w:val="TableParagraph"/>
              <w:spacing w:before="20" w:line="261" w:lineRule="auto"/>
              <w:ind w:left="112" w:right="-15"/>
              <w:rPr>
                <w:sz w:val="21"/>
              </w:rPr>
            </w:pPr>
            <w:r>
              <w:rPr>
                <w:rFonts w:ascii="Times New Roman" w:eastAsia="Times New Roman"/>
                <w:sz w:val="21"/>
              </w:rPr>
              <w:t>1.</w:t>
            </w:r>
            <w:r>
              <w:rPr>
                <w:spacing w:val="-6"/>
                <w:sz w:val="21"/>
              </w:rPr>
              <w:t xml:space="preserve">堆场应设置自动喷淋系统，喷淋范围应覆盖所有料堆存放地面及作业面，喷洒均匀，喷洒设备扬程、射程半径、回转角度、仰射角等应满足抑尘要求，鼓励使用料堆表层、防 </w:t>
            </w:r>
            <w:r>
              <w:rPr>
                <w:spacing w:val="-5"/>
                <w:w w:val="95"/>
                <w:sz w:val="21"/>
              </w:rPr>
              <w:t>风网、庇护区、固化抑尘剂等喷淋抑尘措施，</w:t>
            </w:r>
          </w:p>
          <w:p>
            <w:pPr>
              <w:pStyle w:val="TableParagraph"/>
              <w:spacing w:before="3"/>
              <w:ind w:left="112"/>
              <w:rPr>
                <w:sz w:val="21"/>
              </w:rPr>
            </w:pPr>
            <w:r>
              <w:rPr>
                <w:sz w:val="21"/>
              </w:rPr>
              <w:t>在满足生产要求和物料特性的前提下，尽可</w:t>
            </w:r>
          </w:p>
        </w:tc>
        <w:tc>
          <w:tcPr>
            <w:tcW w:w="2833" w:type="dxa"/>
            <w:tcBorders>
              <w:top w:val="single" w:sz="4" w:space="0" w:color="000000"/>
              <w:left w:val="single" w:sz="4" w:space="0" w:color="000000"/>
              <w:bottom w:val="single" w:sz="18" w:space="0" w:color="000000"/>
            </w:tcBorders>
          </w:tcPr>
          <w:p>
            <w:pPr>
              <w:pStyle w:val="TableParagraph"/>
              <w:spacing w:before="20" w:line="261" w:lineRule="auto"/>
              <w:ind w:left="113" w:right="185"/>
              <w:jc w:val="both"/>
              <w:rPr>
                <w:sz w:val="21"/>
              </w:rPr>
            </w:pPr>
            <w:r>
              <w:rPr>
                <w:rFonts w:ascii="Times New Roman" w:eastAsia="Times New Roman"/>
                <w:sz w:val="21"/>
              </w:rPr>
              <w:t>1.</w:t>
            </w:r>
            <w:r>
              <w:rPr>
                <w:sz w:val="21"/>
              </w:rPr>
              <w:t>项目施工场地委托有专业</w:t>
            </w:r>
            <w:r>
              <w:rPr>
                <w:spacing w:val="-1"/>
                <w:sz w:val="21"/>
              </w:rPr>
              <w:t>建设资质的设计施工单位建设，并委托有资质的监理单位监理，确保施工场地内覆</w:t>
            </w:r>
            <w:r>
              <w:rPr>
                <w:spacing w:val="-1"/>
                <w:w w:val="95"/>
                <w:sz w:val="21"/>
              </w:rPr>
              <w:t>盖自动喷淋系统，并配套建</w:t>
            </w:r>
          </w:p>
          <w:p>
            <w:pPr>
              <w:pStyle w:val="TableParagraph"/>
              <w:spacing w:before="3"/>
              <w:ind w:left="113"/>
              <w:rPr>
                <w:sz w:val="21"/>
              </w:rPr>
            </w:pPr>
            <w:r>
              <w:rPr>
                <w:w w:val="95"/>
                <w:sz w:val="21"/>
              </w:rPr>
              <w:t>设喷淋数据记录系统；根据</w:t>
            </w:r>
          </w:p>
        </w:tc>
      </w:tr>
    </w:tbl>
    <w:p>
      <w:pPr>
        <w:spacing w:after="0"/>
        <w:rPr>
          <w:sz w:val="21"/>
        </w:rPr>
        <w:sectPr>
          <w:headerReference w:type="default" r:id="rId34"/>
          <w:footerReference w:type="default" r:id="rId35"/>
          <w:pgSz w:w="11910" w:h="16840"/>
          <w:pgMar w:top="1340" w:right="1120" w:bottom="1160" w:left="1220" w:header="891" w:footer="969"/>
          <w:pgNumType w:start="15"/>
          <w:cols w:space="708"/>
        </w:sectPr>
      </w:pPr>
    </w:p>
    <w:p>
      <w:pPr>
        <w:pStyle w:val="BodyText"/>
        <w:rPr>
          <w:rFonts w:ascii="Times New Roman"/>
          <w:sz w:val="20"/>
        </w:rPr>
      </w:pPr>
    </w:p>
    <w:p>
      <w:pPr>
        <w:pStyle w:val="BodyText"/>
        <w:spacing w:before="11"/>
        <w:rPr>
          <w:rFonts w:ascii="Times New Roman"/>
          <w:sz w:val="10"/>
        </w:rPr>
      </w:pPr>
    </w:p>
    <w:tbl>
      <w:tblPr>
        <w:tblStyle w:val="TableNormal12"/>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864"/>
        <w:gridCol w:w="4298"/>
        <w:gridCol w:w="2833"/>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427"/>
          <w:jc w:val="left"/>
        </w:trPr>
        <w:tc>
          <w:tcPr>
            <w:tcW w:w="1044" w:type="dxa"/>
            <w:vMerge w:val="restart"/>
            <w:tcBorders>
              <w:right w:val="single" w:sz="4" w:space="0" w:color="000000"/>
            </w:tcBorders>
          </w:tcPr>
          <w:p>
            <w:pPr>
              <w:pStyle w:val="TableParagraph"/>
              <w:rPr>
                <w:rFonts w:ascii="Times New Roman"/>
                <w:sz w:val="20"/>
              </w:rPr>
            </w:pPr>
          </w:p>
        </w:tc>
        <w:tc>
          <w:tcPr>
            <w:tcW w:w="864"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298"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112"/>
              <w:rPr>
                <w:sz w:val="21"/>
              </w:rPr>
            </w:pPr>
            <w:r>
              <w:rPr>
                <w:sz w:val="21"/>
              </w:rPr>
              <w:t>能增加物料含水率。</w:t>
            </w:r>
          </w:p>
          <w:p>
            <w:pPr>
              <w:pStyle w:val="TableParagraph"/>
              <w:numPr>
                <w:ilvl w:val="0"/>
                <w:numId w:val="28"/>
              </w:numPr>
              <w:tabs>
                <w:tab w:val="left" w:pos="272"/>
              </w:tabs>
              <w:spacing w:before="47" w:after="0" w:line="264" w:lineRule="auto"/>
              <w:ind w:left="112" w:right="93" w:firstLine="0"/>
              <w:jc w:val="left"/>
              <w:rPr>
                <w:sz w:val="21"/>
              </w:rPr>
            </w:pPr>
            <w:r>
              <w:rPr>
                <w:spacing w:val="-6"/>
                <w:w w:val="95"/>
                <w:sz w:val="21"/>
              </w:rPr>
              <w:t>喷淋频次应确保料堆潮湿，大风和重污染天</w:t>
            </w:r>
            <w:r>
              <w:rPr>
                <w:spacing w:val="-6"/>
                <w:sz w:val="21"/>
              </w:rPr>
              <w:t>气应增加喷淋频次和喷水量。</w:t>
            </w:r>
          </w:p>
          <w:p>
            <w:pPr>
              <w:pStyle w:val="TableParagraph"/>
              <w:numPr>
                <w:ilvl w:val="0"/>
                <w:numId w:val="28"/>
              </w:numPr>
              <w:tabs>
                <w:tab w:val="left" w:pos="272"/>
              </w:tabs>
              <w:spacing w:before="20" w:after="0" w:line="261" w:lineRule="auto"/>
              <w:ind w:left="112" w:right="-15" w:firstLine="0"/>
              <w:jc w:val="left"/>
              <w:rPr>
                <w:sz w:val="21"/>
              </w:rPr>
            </w:pPr>
            <w:r>
              <w:rPr>
                <w:spacing w:val="-4"/>
                <w:sz w:val="21"/>
              </w:rPr>
              <w:t>配套建设具备数据记录功能的喷淋系统：喷淋系统记录并储存喷淋频次、喷水量、喷射</w:t>
            </w:r>
            <w:r>
              <w:rPr>
                <w:spacing w:val="-15"/>
                <w:sz w:val="21"/>
              </w:rPr>
              <w:t xml:space="preserve">压力等技术参数；数据保留时间不少于 </w:t>
            </w:r>
            <w:r>
              <w:rPr>
                <w:rFonts w:ascii="Times New Roman" w:eastAsia="Times New Roman"/>
                <w:sz w:val="21"/>
              </w:rPr>
              <w:t>30</w:t>
            </w:r>
            <w:r>
              <w:rPr>
                <w:rFonts w:ascii="Times New Roman" w:eastAsia="Times New Roman"/>
                <w:spacing w:val="-14"/>
                <w:sz w:val="21"/>
              </w:rPr>
              <w:t xml:space="preserve"> </w:t>
            </w:r>
            <w:r>
              <w:rPr>
                <w:sz w:val="21"/>
              </w:rPr>
              <w:t>天。</w:t>
            </w:r>
          </w:p>
          <w:p>
            <w:pPr>
              <w:pStyle w:val="TableParagraph"/>
              <w:numPr>
                <w:ilvl w:val="0"/>
                <w:numId w:val="28"/>
              </w:numPr>
              <w:tabs>
                <w:tab w:val="left" w:pos="272"/>
              </w:tabs>
              <w:spacing w:before="7" w:after="0" w:line="290" w:lineRule="atLeast"/>
              <w:ind w:left="112" w:right="239" w:firstLine="0"/>
              <w:jc w:val="left"/>
              <w:rPr>
                <w:sz w:val="21"/>
              </w:rPr>
            </w:pPr>
            <w:r>
              <w:rPr>
                <w:w w:val="95"/>
                <w:sz w:val="21"/>
              </w:rPr>
              <w:t>在喷淋过程产生污水的应同时设置污水回</w:t>
            </w:r>
            <w:r>
              <w:rPr>
                <w:sz w:val="21"/>
              </w:rPr>
              <w:t>收池、污水处理装置。</w:t>
            </w:r>
          </w:p>
        </w:tc>
        <w:tc>
          <w:tcPr>
            <w:tcW w:w="2833" w:type="dxa"/>
            <w:tcBorders>
              <w:top w:val="thinThickMediumGap" w:sz="6" w:space="0" w:color="000000"/>
              <w:left w:val="single" w:sz="4" w:space="0" w:color="000000"/>
              <w:bottom w:val="single" w:sz="4" w:space="0" w:color="000000"/>
            </w:tcBorders>
          </w:tcPr>
          <w:p>
            <w:pPr>
              <w:pStyle w:val="TableParagraph"/>
              <w:spacing w:line="256" w:lineRule="exact"/>
              <w:ind w:left="113"/>
              <w:rPr>
                <w:sz w:val="21"/>
              </w:rPr>
            </w:pPr>
            <w:r>
              <w:rPr>
                <w:sz w:val="21"/>
              </w:rPr>
              <w:t>天气情况调整喷淋频次和喷</w:t>
            </w:r>
          </w:p>
          <w:p>
            <w:pPr>
              <w:pStyle w:val="TableParagraph"/>
              <w:spacing w:before="23"/>
              <w:ind w:left="113"/>
              <w:rPr>
                <w:sz w:val="21"/>
              </w:rPr>
            </w:pPr>
            <w:r>
              <w:rPr>
                <w:sz w:val="21"/>
              </w:rPr>
              <w:t>水量，确保喷洒均匀。</w:t>
            </w:r>
          </w:p>
          <w:p>
            <w:pPr>
              <w:pStyle w:val="TableParagraph"/>
              <w:spacing w:before="51" w:line="261" w:lineRule="auto"/>
              <w:ind w:left="113" w:right="185"/>
              <w:jc w:val="both"/>
              <w:rPr>
                <w:sz w:val="21"/>
              </w:rPr>
            </w:pPr>
            <w:r>
              <w:rPr>
                <w:rFonts w:ascii="Times New Roman" w:eastAsia="Times New Roman"/>
                <w:sz w:val="21"/>
              </w:rPr>
              <w:t>2.</w:t>
            </w:r>
            <w:r>
              <w:rPr>
                <w:sz w:val="21"/>
              </w:rPr>
              <w:t>项目施工场地内设置隔油池、沉淀池用于处理施工期间内产生的污水。</w:t>
            </w:r>
          </w:p>
          <w:p>
            <w:pPr>
              <w:pStyle w:val="TableParagraph"/>
              <w:spacing w:before="25" w:line="264" w:lineRule="auto"/>
              <w:ind w:left="113" w:right="185"/>
              <w:rPr>
                <w:sz w:val="21"/>
              </w:rPr>
            </w:pPr>
            <w:r>
              <w:rPr>
                <w:sz w:val="21"/>
              </w:rPr>
              <w:t>根据上述分析，本项目施工喷淋符合文件要求。</w:t>
            </w:r>
          </w:p>
        </w:tc>
      </w:tr>
      <w:tr>
        <w:tblPrEx>
          <w:tblW w:w="0" w:type="auto"/>
          <w:jc w:val="left"/>
          <w:tblInd w:w="321" w:type="dxa"/>
          <w:tblLayout w:type="fixed"/>
          <w:tblCellMar>
            <w:top w:w="0" w:type="dxa"/>
            <w:left w:w="0" w:type="dxa"/>
            <w:bottom w:w="0" w:type="dxa"/>
            <w:right w:w="0" w:type="dxa"/>
          </w:tblCellMar>
          <w:tblLook w:val="01E0"/>
        </w:tblPrEx>
        <w:trPr>
          <w:trHeight w:val="3001"/>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9" w:line="261" w:lineRule="auto"/>
              <w:ind w:left="129" w:right="93"/>
              <w:jc w:val="center"/>
              <w:rPr>
                <w:sz w:val="21"/>
              </w:rPr>
            </w:pPr>
            <w:r>
              <w:rPr>
                <w:sz w:val="21"/>
              </w:rPr>
              <w:t>（五） 物料传输</w:t>
            </w:r>
          </w:p>
        </w:tc>
        <w:tc>
          <w:tcPr>
            <w:tcW w:w="4298" w:type="dxa"/>
            <w:tcBorders>
              <w:top w:val="single" w:sz="4" w:space="0" w:color="000000"/>
              <w:left w:val="single" w:sz="4" w:space="0" w:color="000000"/>
              <w:bottom w:val="single" w:sz="4" w:space="0" w:color="000000"/>
              <w:right w:val="single" w:sz="4" w:space="0" w:color="000000"/>
            </w:tcBorders>
          </w:tcPr>
          <w:p>
            <w:pPr>
              <w:pStyle w:val="TableParagraph"/>
              <w:numPr>
                <w:ilvl w:val="0"/>
                <w:numId w:val="27"/>
              </w:numPr>
              <w:tabs>
                <w:tab w:val="left" w:pos="272"/>
              </w:tabs>
              <w:spacing w:before="20" w:after="0" w:line="261" w:lineRule="auto"/>
              <w:ind w:left="112" w:right="93" w:firstLine="0"/>
              <w:jc w:val="left"/>
              <w:rPr>
                <w:sz w:val="21"/>
              </w:rPr>
            </w:pPr>
            <w:r>
              <w:rPr>
                <w:spacing w:val="-7"/>
                <w:w w:val="95"/>
                <w:sz w:val="21"/>
              </w:rPr>
              <w:t>应采用密闭皮带、封闭通廊、管状带式输送</w:t>
            </w:r>
            <w:r>
              <w:rPr>
                <w:spacing w:val="-7"/>
                <w:sz w:val="21"/>
              </w:rPr>
              <w:t>机传输物料，易起尘物料传输过程中应同时进行喷淋作业，最大限度抑制扬尘污染。</w:t>
            </w:r>
          </w:p>
          <w:p>
            <w:pPr>
              <w:pStyle w:val="TableParagraph"/>
              <w:numPr>
                <w:ilvl w:val="0"/>
                <w:numId w:val="27"/>
              </w:numPr>
              <w:tabs>
                <w:tab w:val="left" w:pos="272"/>
              </w:tabs>
              <w:spacing w:before="25" w:after="0" w:line="261" w:lineRule="auto"/>
              <w:ind w:left="112" w:right="184" w:firstLine="0"/>
              <w:jc w:val="both"/>
              <w:rPr>
                <w:sz w:val="21"/>
              </w:rPr>
            </w:pPr>
            <w:r>
              <w:rPr>
                <w:sz w:val="21"/>
              </w:rPr>
              <w:t>前沿带式输送机应在两侧设置挡风板或防</w:t>
            </w:r>
            <w:r>
              <w:rPr>
                <w:w w:val="95"/>
                <w:sz w:val="21"/>
              </w:rPr>
              <w:t>尘罩；带式输送机应设防尘罩、钢结构全封 闭型密封罩等防尘设施，确保货物输送过程 处于密闭状态。挡风板、防尘罩、密闭罩应 采用钢板、玻璃钢、彩钢板或其他能满足强 度要求的硬质、不易燃材料，同时在落料、</w:t>
            </w:r>
            <w:r>
              <w:rPr>
                <w:sz w:val="21"/>
              </w:rPr>
              <w:t>卸料处配备吸尘、喷淋等防尘设施。</w:t>
            </w:r>
          </w:p>
        </w:tc>
        <w:tc>
          <w:tcPr>
            <w:tcW w:w="2833"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6"/>
              </w:rPr>
            </w:pPr>
          </w:p>
          <w:p>
            <w:pPr>
              <w:pStyle w:val="TableParagraph"/>
              <w:spacing w:line="261" w:lineRule="auto"/>
              <w:ind w:left="113" w:right="2"/>
              <w:rPr>
                <w:sz w:val="21"/>
              </w:rPr>
            </w:pPr>
            <w:r>
              <w:rPr>
                <w:sz w:val="21"/>
              </w:rPr>
              <w:t>项目物料运输采取封闭车辆运输，并在易起尘物料传输过程同时进行喷淋作业；项目落料、卸料等均在封闭的</w:t>
            </w:r>
            <w:r>
              <w:rPr>
                <w:spacing w:val="-6"/>
                <w:sz w:val="21"/>
              </w:rPr>
              <w:t>料棚内进行，符合文件要求。</w:t>
            </w:r>
          </w:p>
        </w:tc>
      </w:tr>
      <w:tr>
        <w:tblPrEx>
          <w:tblW w:w="0" w:type="auto"/>
          <w:jc w:val="left"/>
          <w:tblInd w:w="321" w:type="dxa"/>
          <w:tblLayout w:type="fixed"/>
          <w:tblCellMar>
            <w:top w:w="0" w:type="dxa"/>
            <w:left w:w="0" w:type="dxa"/>
            <w:bottom w:w="0" w:type="dxa"/>
            <w:right w:w="0" w:type="dxa"/>
          </w:tblCellMar>
          <w:tblLook w:val="01E0"/>
        </w:tblPrEx>
        <w:trPr>
          <w:trHeight w:val="6918"/>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2"/>
              </w:rPr>
            </w:pPr>
          </w:p>
          <w:p>
            <w:pPr>
              <w:pStyle w:val="TableParagraph"/>
              <w:spacing w:line="261" w:lineRule="auto"/>
              <w:ind w:left="129" w:right="93"/>
              <w:jc w:val="center"/>
              <w:rPr>
                <w:sz w:val="21"/>
              </w:rPr>
            </w:pPr>
            <w:r>
              <w:rPr>
                <w:sz w:val="21"/>
              </w:rPr>
              <w:t>（六） 运输管理</w:t>
            </w:r>
          </w:p>
        </w:tc>
        <w:tc>
          <w:tcPr>
            <w:tcW w:w="429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6"/>
              </w:rPr>
            </w:pPr>
          </w:p>
          <w:p>
            <w:pPr>
              <w:pStyle w:val="TableParagraph"/>
              <w:numPr>
                <w:ilvl w:val="0"/>
                <w:numId w:val="26"/>
              </w:numPr>
              <w:tabs>
                <w:tab w:val="left" w:pos="272"/>
              </w:tabs>
              <w:spacing w:before="0" w:after="0" w:line="261" w:lineRule="auto"/>
              <w:ind w:left="112" w:right="-15" w:firstLine="0"/>
              <w:jc w:val="left"/>
              <w:rPr>
                <w:sz w:val="21"/>
              </w:rPr>
            </w:pPr>
            <w:r>
              <w:rPr>
                <w:sz w:val="21"/>
              </w:rPr>
              <w:t xml:space="preserve">堆场物料陆上运输必须采用全封闭厢式货 车，装载高度不得超出车厢高度，避免出现 </w:t>
            </w:r>
            <w:r>
              <w:rPr>
                <w:spacing w:val="-2"/>
                <w:w w:val="95"/>
                <w:sz w:val="21"/>
              </w:rPr>
              <w:t xml:space="preserve">因颠簸造成的遗撒现象，不得出现敞篷运输。 </w:t>
            </w:r>
            <w:r>
              <w:rPr>
                <w:spacing w:val="-2"/>
                <w:sz w:val="21"/>
              </w:rPr>
              <w:t>进出堆场的运输车辆严禁超载。堆场物料水上运输必须采用防尘网或防尘布全覆盖。</w:t>
            </w:r>
          </w:p>
          <w:p>
            <w:pPr>
              <w:pStyle w:val="TableParagraph"/>
              <w:numPr>
                <w:ilvl w:val="0"/>
                <w:numId w:val="26"/>
              </w:numPr>
              <w:tabs>
                <w:tab w:val="left" w:pos="272"/>
              </w:tabs>
              <w:spacing w:before="26" w:after="0" w:line="261" w:lineRule="auto"/>
              <w:ind w:left="112" w:right="93" w:firstLine="0"/>
              <w:jc w:val="left"/>
              <w:rPr>
                <w:sz w:val="21"/>
              </w:rPr>
            </w:pPr>
            <w:r>
              <w:rPr>
                <w:spacing w:val="-5"/>
                <w:w w:val="95"/>
                <w:sz w:val="21"/>
              </w:rPr>
              <w:t>物料装车过程中应采取喷淋、覆盖或其它抑</w:t>
            </w:r>
            <w:r>
              <w:rPr>
                <w:spacing w:val="-5"/>
                <w:sz w:val="21"/>
              </w:rPr>
              <w:t>尘措施；使用传输带输送的，传输带、转载点和卸载点应当密闭。</w:t>
            </w:r>
          </w:p>
          <w:p>
            <w:pPr>
              <w:pStyle w:val="TableParagraph"/>
              <w:numPr>
                <w:ilvl w:val="0"/>
                <w:numId w:val="26"/>
              </w:numPr>
              <w:tabs>
                <w:tab w:val="left" w:pos="272"/>
              </w:tabs>
              <w:spacing w:before="25" w:after="0" w:line="261" w:lineRule="auto"/>
              <w:ind w:left="112" w:right="93" w:firstLine="0"/>
              <w:jc w:val="left"/>
              <w:rPr>
                <w:sz w:val="21"/>
              </w:rPr>
            </w:pPr>
            <w:r>
              <w:rPr>
                <w:spacing w:val="-4"/>
                <w:w w:val="95"/>
                <w:sz w:val="21"/>
              </w:rPr>
              <w:t>堆场进出口处应进行地面混凝土硬化，建设</w:t>
            </w:r>
            <w:r>
              <w:rPr>
                <w:spacing w:val="-4"/>
                <w:sz w:val="21"/>
              </w:rPr>
              <w:t>车辆冲洗设施，冲洗设施应具备对运输车辆轮胎部位的冲洗能力，严禁带尘带土上路， 冲洗废水经处理后回用。</w:t>
            </w:r>
          </w:p>
          <w:p>
            <w:pPr>
              <w:pStyle w:val="TableParagraph"/>
              <w:numPr>
                <w:ilvl w:val="0"/>
                <w:numId w:val="26"/>
              </w:numPr>
              <w:tabs>
                <w:tab w:val="left" w:pos="272"/>
              </w:tabs>
              <w:spacing w:before="27" w:after="0" w:line="261" w:lineRule="auto"/>
              <w:ind w:left="112" w:right="93" w:firstLine="0"/>
              <w:jc w:val="left"/>
              <w:rPr>
                <w:sz w:val="21"/>
              </w:rPr>
            </w:pPr>
            <w:r>
              <w:rPr>
                <w:spacing w:val="-8"/>
                <w:w w:val="95"/>
                <w:sz w:val="21"/>
              </w:rPr>
              <w:t>与主干道相连、大宗物料运输的堆场周边道</w:t>
            </w:r>
            <w:r>
              <w:rPr>
                <w:spacing w:val="-8"/>
                <w:sz w:val="21"/>
              </w:rPr>
              <w:t>路必须进行硬化，并定期对路面进行清扫， 保证长期保洁。</w:t>
            </w:r>
          </w:p>
          <w:p>
            <w:pPr>
              <w:pStyle w:val="TableParagraph"/>
              <w:numPr>
                <w:ilvl w:val="0"/>
                <w:numId w:val="26"/>
              </w:numPr>
              <w:tabs>
                <w:tab w:val="left" w:pos="272"/>
              </w:tabs>
              <w:spacing w:before="25" w:after="0" w:line="261" w:lineRule="auto"/>
              <w:ind w:left="112" w:right="28" w:firstLine="0"/>
              <w:jc w:val="left"/>
              <w:rPr>
                <w:sz w:val="21"/>
              </w:rPr>
            </w:pPr>
            <w:r>
              <w:rPr>
                <w:w w:val="95"/>
                <w:sz w:val="21"/>
              </w:rPr>
              <w:t>堆场周边市政道路、国道、省道、县乡路、</w:t>
            </w:r>
            <w:r>
              <w:rPr>
                <w:sz w:val="21"/>
              </w:rPr>
              <w:t>村路有破损路面时，堆场负责人应及时联系相关部门对破损路面进行维护。</w:t>
            </w:r>
          </w:p>
        </w:tc>
        <w:tc>
          <w:tcPr>
            <w:tcW w:w="2833" w:type="dxa"/>
            <w:tcBorders>
              <w:top w:val="single" w:sz="4" w:space="0" w:color="000000"/>
              <w:left w:val="single" w:sz="4" w:space="0" w:color="000000"/>
              <w:bottom w:val="single" w:sz="4" w:space="0" w:color="000000"/>
            </w:tcBorders>
          </w:tcPr>
          <w:p>
            <w:pPr>
              <w:pStyle w:val="TableParagraph"/>
              <w:numPr>
                <w:ilvl w:val="0"/>
                <w:numId w:val="25"/>
              </w:numPr>
              <w:tabs>
                <w:tab w:val="left" w:pos="273"/>
              </w:tabs>
              <w:spacing w:before="21" w:after="0" w:line="261" w:lineRule="auto"/>
              <w:ind w:left="113" w:right="185" w:firstLine="0"/>
              <w:jc w:val="both"/>
              <w:rPr>
                <w:sz w:val="21"/>
              </w:rPr>
            </w:pPr>
            <w:r>
              <w:rPr>
                <w:sz w:val="21"/>
              </w:rPr>
              <w:t>项目施工物料运输均采用</w:t>
            </w:r>
            <w:r>
              <w:rPr>
                <w:spacing w:val="-1"/>
                <w:sz w:val="21"/>
              </w:rPr>
              <w:t>封闭车厢货车运输，装在高度不高于车厢高度，不超载</w:t>
            </w:r>
            <w:r>
              <w:rPr>
                <w:sz w:val="21"/>
              </w:rPr>
              <w:t>运输。</w:t>
            </w:r>
          </w:p>
          <w:p>
            <w:pPr>
              <w:pStyle w:val="TableParagraph"/>
              <w:numPr>
                <w:ilvl w:val="0"/>
                <w:numId w:val="25"/>
              </w:numPr>
              <w:tabs>
                <w:tab w:val="left" w:pos="273"/>
              </w:tabs>
              <w:spacing w:before="24" w:after="0" w:line="264" w:lineRule="auto"/>
              <w:ind w:left="113" w:right="237" w:firstLine="0"/>
              <w:jc w:val="left"/>
              <w:rPr>
                <w:sz w:val="21"/>
              </w:rPr>
            </w:pPr>
            <w:r>
              <w:rPr>
                <w:spacing w:val="-2"/>
                <w:sz w:val="21"/>
              </w:rPr>
              <w:t>项目装载过程中采取喷淋</w:t>
            </w:r>
            <w:r>
              <w:rPr>
                <w:sz w:val="21"/>
              </w:rPr>
              <w:t>措施进行抑尘。</w:t>
            </w:r>
          </w:p>
          <w:p>
            <w:pPr>
              <w:pStyle w:val="TableParagraph"/>
              <w:numPr>
                <w:ilvl w:val="0"/>
                <w:numId w:val="25"/>
              </w:numPr>
              <w:tabs>
                <w:tab w:val="left" w:pos="273"/>
              </w:tabs>
              <w:spacing w:before="20" w:after="0" w:line="261" w:lineRule="auto"/>
              <w:ind w:left="113" w:right="185" w:firstLine="0"/>
              <w:jc w:val="both"/>
              <w:rPr>
                <w:sz w:val="21"/>
              </w:rPr>
            </w:pPr>
            <w:r>
              <w:rPr>
                <w:sz w:val="21"/>
              </w:rPr>
              <w:t>项目施工场地地面均采取</w:t>
            </w:r>
            <w:r>
              <w:rPr>
                <w:spacing w:val="-1"/>
                <w:sz w:val="21"/>
              </w:rPr>
              <w:t>混凝土硬化，并在进出口处设置洗车平台，对出入车辆及其车辆进行冲洗，冲洗废水经隔油池、沉淀池处理后</w:t>
            </w:r>
            <w:r>
              <w:rPr>
                <w:sz w:val="21"/>
              </w:rPr>
              <w:t>会用。</w:t>
            </w:r>
          </w:p>
          <w:p>
            <w:pPr>
              <w:pStyle w:val="TableParagraph"/>
              <w:numPr>
                <w:ilvl w:val="0"/>
                <w:numId w:val="25"/>
              </w:numPr>
              <w:tabs>
                <w:tab w:val="left" w:pos="273"/>
              </w:tabs>
              <w:spacing w:before="28" w:after="0" w:line="261" w:lineRule="auto"/>
              <w:ind w:left="113" w:right="108" w:firstLine="0"/>
              <w:jc w:val="left"/>
              <w:rPr>
                <w:sz w:val="21"/>
              </w:rPr>
            </w:pPr>
            <w:r>
              <w:rPr>
                <w:spacing w:val="-9"/>
                <w:sz w:val="21"/>
              </w:rPr>
              <w:t>项目不设置临时道路，均利</w:t>
            </w:r>
            <w:r>
              <w:rPr>
                <w:sz w:val="21"/>
              </w:rPr>
              <w:t>用现有已硬化道路，施工期间定期对路面进行清扫，保持清洁。</w:t>
            </w:r>
          </w:p>
          <w:p>
            <w:pPr>
              <w:pStyle w:val="TableParagraph"/>
              <w:numPr>
                <w:ilvl w:val="0"/>
                <w:numId w:val="25"/>
              </w:numPr>
              <w:tabs>
                <w:tab w:val="left" w:pos="273"/>
              </w:tabs>
              <w:spacing w:before="27" w:after="0" w:line="261" w:lineRule="auto"/>
              <w:ind w:left="113" w:right="185" w:firstLine="0"/>
              <w:jc w:val="both"/>
              <w:rPr>
                <w:sz w:val="21"/>
              </w:rPr>
            </w:pPr>
            <w:r>
              <w:rPr>
                <w:sz w:val="21"/>
              </w:rPr>
              <w:t>项目施工场地附近的道路</w:t>
            </w:r>
            <w:r>
              <w:rPr>
                <w:spacing w:val="-1"/>
                <w:sz w:val="21"/>
              </w:rPr>
              <w:t>由专人进行监管，出现破损由堆场负责人联系相关部门</w:t>
            </w:r>
            <w:r>
              <w:rPr>
                <w:sz w:val="21"/>
              </w:rPr>
              <w:t>进行维护。</w:t>
            </w:r>
          </w:p>
          <w:p>
            <w:pPr>
              <w:pStyle w:val="TableParagraph"/>
              <w:spacing w:before="6" w:line="290" w:lineRule="atLeast"/>
              <w:ind w:left="113" w:right="185"/>
              <w:rPr>
                <w:sz w:val="21"/>
              </w:rPr>
            </w:pPr>
            <w:r>
              <w:rPr>
                <w:sz w:val="21"/>
              </w:rPr>
              <w:t>根据上述分析，本项目施工期内运输过程符合文件要 求。</w:t>
            </w:r>
          </w:p>
        </w:tc>
      </w:tr>
      <w:tr>
        <w:tblPrEx>
          <w:tblW w:w="0" w:type="auto"/>
          <w:jc w:val="left"/>
          <w:tblInd w:w="321" w:type="dxa"/>
          <w:tblLayout w:type="fixed"/>
          <w:tblCellMar>
            <w:top w:w="0" w:type="dxa"/>
            <w:left w:w="0" w:type="dxa"/>
            <w:bottom w:w="0" w:type="dxa"/>
            <w:right w:w="0" w:type="dxa"/>
          </w:tblCellMar>
          <w:tblLook w:val="01E0"/>
        </w:tblPrEx>
        <w:trPr>
          <w:trHeight w:val="950"/>
          <w:jc w:val="left"/>
        </w:trPr>
        <w:tc>
          <w:tcPr>
            <w:tcW w:w="1044" w:type="dxa"/>
            <w:vMerge/>
            <w:tcBorders>
              <w:top w:val="nil"/>
              <w:right w:val="single" w:sz="4" w:space="0" w:color="000000"/>
            </w:tcBorders>
          </w:tcPr>
          <w:p>
            <w:pPr>
              <w:rPr>
                <w:sz w:val="2"/>
                <w:szCs w:val="2"/>
              </w:rPr>
            </w:pPr>
          </w:p>
        </w:tc>
        <w:tc>
          <w:tcPr>
            <w:tcW w:w="864" w:type="dxa"/>
            <w:tcBorders>
              <w:top w:val="single" w:sz="4" w:space="0" w:color="000000"/>
              <w:left w:val="single" w:sz="4" w:space="0" w:color="000000"/>
              <w:bottom w:val="single" w:sz="18" w:space="0" w:color="000000"/>
              <w:right w:val="single" w:sz="4" w:space="0" w:color="000000"/>
            </w:tcBorders>
          </w:tcPr>
          <w:p>
            <w:pPr>
              <w:pStyle w:val="TableParagraph"/>
              <w:spacing w:before="21" w:line="261" w:lineRule="auto"/>
              <w:ind w:left="129" w:right="93"/>
              <w:jc w:val="center"/>
              <w:rPr>
                <w:sz w:val="21"/>
              </w:rPr>
            </w:pPr>
            <w:r>
              <w:rPr>
                <w:sz w:val="21"/>
              </w:rPr>
              <w:t>（七） 堆场管理</w:t>
            </w:r>
          </w:p>
        </w:tc>
        <w:tc>
          <w:tcPr>
            <w:tcW w:w="4298" w:type="dxa"/>
            <w:tcBorders>
              <w:top w:val="single" w:sz="4" w:space="0" w:color="000000"/>
              <w:left w:val="single" w:sz="4" w:space="0" w:color="000000"/>
              <w:bottom w:val="single" w:sz="18" w:space="0" w:color="000000"/>
              <w:right w:val="single" w:sz="4" w:space="0" w:color="000000"/>
            </w:tcBorders>
          </w:tcPr>
          <w:p>
            <w:pPr>
              <w:pStyle w:val="TableParagraph"/>
              <w:spacing w:before="21" w:line="261" w:lineRule="auto"/>
              <w:ind w:left="112" w:right="-15"/>
              <w:rPr>
                <w:sz w:val="21"/>
              </w:rPr>
            </w:pPr>
            <w:r>
              <w:rPr>
                <w:rFonts w:ascii="Times New Roman" w:eastAsia="Times New Roman"/>
                <w:w w:val="95"/>
                <w:sz w:val="21"/>
              </w:rPr>
              <w:t>1.</w:t>
            </w:r>
            <w:r>
              <w:rPr>
                <w:spacing w:val="-14"/>
                <w:w w:val="95"/>
                <w:sz w:val="21"/>
              </w:rPr>
              <w:t xml:space="preserve">所有搅拌、粉碎、筛分等易产生扬尘的作业， </w:t>
            </w:r>
            <w:r>
              <w:rPr>
                <w:spacing w:val="-14"/>
                <w:sz w:val="21"/>
              </w:rPr>
              <w:t>应在封闭场所内进行；堆场内进行装卸、倒运等作业时应采取抑尘措施。</w:t>
            </w:r>
          </w:p>
        </w:tc>
        <w:tc>
          <w:tcPr>
            <w:tcW w:w="2833" w:type="dxa"/>
            <w:tcBorders>
              <w:top w:val="single" w:sz="4" w:space="0" w:color="000000"/>
              <w:left w:val="single" w:sz="4" w:space="0" w:color="000000"/>
              <w:bottom w:val="single" w:sz="18" w:space="0" w:color="000000"/>
            </w:tcBorders>
          </w:tcPr>
          <w:p>
            <w:pPr>
              <w:pStyle w:val="TableParagraph"/>
              <w:spacing w:before="30" w:line="261" w:lineRule="auto"/>
              <w:ind w:left="113" w:right="185"/>
              <w:jc w:val="both"/>
              <w:rPr>
                <w:sz w:val="21"/>
              </w:rPr>
            </w:pPr>
            <w:r>
              <w:rPr>
                <w:rFonts w:ascii="Times New Roman" w:eastAsia="Times New Roman"/>
                <w:sz w:val="21"/>
              </w:rPr>
              <w:t>1.</w:t>
            </w:r>
            <w:r>
              <w:rPr>
                <w:sz w:val="21"/>
              </w:rPr>
              <w:t>本项目不设置混凝土搅拌站，均外购成品混凝土。</w:t>
            </w:r>
            <w:r>
              <w:rPr>
                <w:rFonts w:ascii="Times New Roman" w:eastAsia="Times New Roman"/>
                <w:sz w:val="21"/>
              </w:rPr>
              <w:t xml:space="preserve">2. </w:t>
            </w:r>
            <w:r>
              <w:rPr>
                <w:sz w:val="21"/>
              </w:rPr>
              <w:t>项目废弃土方装卸完毕后及</w:t>
            </w:r>
          </w:p>
        </w:tc>
      </w:tr>
    </w:tbl>
    <w:p>
      <w:pPr>
        <w:spacing w:after="0" w:line="261" w:lineRule="auto"/>
        <w:jc w:val="both"/>
        <w:rPr>
          <w:sz w:val="21"/>
        </w:rPr>
        <w:sectPr>
          <w:headerReference w:type="default" r:id="rId36"/>
          <w:footerReference w:type="default" r:id="rId37"/>
          <w:pgSz w:w="11910" w:h="16840"/>
          <w:pgMar w:top="1340" w:right="1120" w:bottom="1160" w:left="1220" w:header="891" w:footer="969"/>
          <w:pgNumType w:start="16"/>
          <w:cols w:space="708"/>
        </w:sectPr>
      </w:pPr>
    </w:p>
    <w:p>
      <w:pPr>
        <w:pStyle w:val="BodyText"/>
        <w:rPr>
          <w:rFonts w:ascii="Times New Roman"/>
          <w:sz w:val="20"/>
        </w:rPr>
      </w:pPr>
    </w:p>
    <w:p>
      <w:pPr>
        <w:pStyle w:val="BodyText"/>
        <w:spacing w:before="11"/>
        <w:rPr>
          <w:rFonts w:ascii="Times New Roman"/>
          <w:sz w:val="10"/>
        </w:rPr>
      </w:pPr>
    </w:p>
    <w:tbl>
      <w:tblPr>
        <w:tblStyle w:val="TableNormal13"/>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737"/>
        <w:gridCol w:w="127"/>
        <w:gridCol w:w="4298"/>
        <w:gridCol w:w="853"/>
        <w:gridCol w:w="1980"/>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007"/>
          <w:jc w:val="left"/>
        </w:trPr>
        <w:tc>
          <w:tcPr>
            <w:tcW w:w="1044" w:type="dxa"/>
            <w:vMerge w:val="restart"/>
            <w:tcBorders>
              <w:right w:val="single" w:sz="4" w:space="0" w:color="000000"/>
            </w:tcBorders>
          </w:tcPr>
          <w:p>
            <w:pPr>
              <w:pStyle w:val="TableParagraph"/>
              <w:rPr>
                <w:rFonts w:ascii="Times New Roman"/>
                <w:sz w:val="20"/>
              </w:rPr>
            </w:pPr>
          </w:p>
        </w:tc>
        <w:tc>
          <w:tcPr>
            <w:tcW w:w="864" w:type="dxa"/>
            <w:gridSpan w:val="2"/>
            <w:tcBorders>
              <w:top w:val="thinThickMediumGap" w:sz="6" w:space="0" w:color="000000"/>
              <w:left w:val="single" w:sz="4" w:space="0" w:color="000000"/>
              <w:bottom w:val="single" w:sz="12" w:space="0" w:color="000000"/>
              <w:right w:val="single" w:sz="4" w:space="0" w:color="000000"/>
            </w:tcBorders>
          </w:tcPr>
          <w:p>
            <w:pPr>
              <w:pStyle w:val="TableParagraph"/>
              <w:rPr>
                <w:rFonts w:ascii="Times New Roman"/>
                <w:sz w:val="20"/>
              </w:rPr>
            </w:pPr>
          </w:p>
        </w:tc>
        <w:tc>
          <w:tcPr>
            <w:tcW w:w="4298" w:type="dxa"/>
            <w:tcBorders>
              <w:top w:val="thinThickMediumGap" w:sz="6" w:space="0" w:color="000000"/>
              <w:left w:val="single" w:sz="4" w:space="0" w:color="000000"/>
              <w:bottom w:val="single" w:sz="12" w:space="0" w:color="000000"/>
              <w:right w:val="single" w:sz="4" w:space="0" w:color="000000"/>
            </w:tcBorders>
          </w:tcPr>
          <w:p>
            <w:pPr>
              <w:pStyle w:val="TableParagraph"/>
              <w:numPr>
                <w:ilvl w:val="0"/>
                <w:numId w:val="24"/>
              </w:numPr>
              <w:tabs>
                <w:tab w:val="left" w:pos="272"/>
              </w:tabs>
              <w:spacing w:before="0" w:after="0" w:line="256" w:lineRule="exact"/>
              <w:ind w:left="271" w:right="0" w:hanging="160"/>
              <w:jc w:val="left"/>
              <w:rPr>
                <w:sz w:val="21"/>
              </w:rPr>
            </w:pPr>
            <w:r>
              <w:rPr>
                <w:sz w:val="21"/>
              </w:rPr>
              <w:t>采用苫盖的堆场装卸完毕后应及时采用防</w:t>
            </w:r>
          </w:p>
          <w:p>
            <w:pPr>
              <w:pStyle w:val="TableParagraph"/>
              <w:spacing w:before="23" w:line="261" w:lineRule="auto"/>
              <w:ind w:left="112" w:right="184"/>
              <w:rPr>
                <w:sz w:val="21"/>
              </w:rPr>
            </w:pPr>
            <w:r>
              <w:rPr>
                <w:w w:val="95"/>
                <w:sz w:val="21"/>
              </w:rPr>
              <w:t>尘布覆盖，装卸过程中喷水抑尘；在实施重</w:t>
            </w:r>
            <w:r>
              <w:rPr>
                <w:sz w:val="21"/>
              </w:rPr>
              <w:t>污染天气应急管控时禁止打开苫盖进行装 卸、倒运等易产生扬尘的作业。</w:t>
            </w:r>
          </w:p>
          <w:p>
            <w:pPr>
              <w:pStyle w:val="TableParagraph"/>
              <w:numPr>
                <w:ilvl w:val="0"/>
                <w:numId w:val="24"/>
              </w:numPr>
              <w:tabs>
                <w:tab w:val="left" w:pos="272"/>
              </w:tabs>
              <w:spacing w:before="28" w:after="0" w:line="261" w:lineRule="auto"/>
              <w:ind w:left="112" w:right="-15" w:firstLine="0"/>
              <w:jc w:val="left"/>
              <w:rPr>
                <w:sz w:val="21"/>
              </w:rPr>
            </w:pPr>
            <w:r>
              <w:rPr>
                <w:spacing w:val="-3"/>
                <w:sz w:val="21"/>
              </w:rPr>
              <w:t>采取防风抑尘网</w:t>
            </w:r>
            <w:r>
              <w:rPr>
                <w:sz w:val="21"/>
              </w:rPr>
              <w:t>（墙</w:t>
            </w:r>
            <w:r>
              <w:rPr>
                <w:spacing w:val="-22"/>
                <w:sz w:val="21"/>
              </w:rPr>
              <w:t>）</w:t>
            </w:r>
            <w:r>
              <w:rPr>
                <w:spacing w:val="-4"/>
                <w:sz w:val="21"/>
              </w:rPr>
              <w:t>的堆场，应同时采取</w:t>
            </w:r>
            <w:r>
              <w:rPr>
                <w:spacing w:val="-5"/>
                <w:w w:val="95"/>
                <w:sz w:val="21"/>
              </w:rPr>
              <w:t xml:space="preserve">苫盖、喷淋措施，并安装扬尘在线监控系统； </w:t>
            </w:r>
            <w:r>
              <w:rPr>
                <w:spacing w:val="-11"/>
                <w:sz w:val="21"/>
              </w:rPr>
              <w:t>堆料长时间</w:t>
            </w:r>
            <w:r>
              <w:rPr>
                <w:sz w:val="21"/>
              </w:rPr>
              <w:t>（</w:t>
            </w:r>
            <w:r>
              <w:rPr>
                <w:rFonts w:ascii="Times New Roman" w:eastAsia="Times New Roman"/>
                <w:sz w:val="21"/>
              </w:rPr>
              <w:t>1</w:t>
            </w:r>
            <w:r>
              <w:rPr>
                <w:rFonts w:ascii="Times New Roman" w:eastAsia="Times New Roman"/>
                <w:spacing w:val="-4"/>
                <w:sz w:val="21"/>
              </w:rPr>
              <w:t xml:space="preserve"> </w:t>
            </w:r>
            <w:r>
              <w:rPr>
                <w:sz w:val="21"/>
              </w:rPr>
              <w:t>天以上</w:t>
            </w:r>
            <w:r>
              <w:rPr>
                <w:spacing w:val="-32"/>
                <w:sz w:val="21"/>
              </w:rPr>
              <w:t>）</w:t>
            </w:r>
            <w:r>
              <w:rPr>
                <w:sz w:val="21"/>
              </w:rPr>
              <w:t>不使用时应及时进行苫盖。</w:t>
            </w:r>
          </w:p>
          <w:p>
            <w:pPr>
              <w:pStyle w:val="TableParagraph"/>
              <w:numPr>
                <w:ilvl w:val="0"/>
                <w:numId w:val="24"/>
              </w:numPr>
              <w:tabs>
                <w:tab w:val="left" w:pos="272"/>
              </w:tabs>
              <w:spacing w:before="27" w:after="0" w:line="261" w:lineRule="auto"/>
              <w:ind w:left="112" w:right="93" w:firstLine="0"/>
              <w:jc w:val="left"/>
              <w:rPr>
                <w:sz w:val="21"/>
              </w:rPr>
            </w:pPr>
            <w:r>
              <w:rPr>
                <w:spacing w:val="-5"/>
                <w:w w:val="95"/>
                <w:sz w:val="21"/>
              </w:rPr>
              <w:t>堆场外撒落的物料及时收集清理，定期</w:t>
            </w:r>
            <w:r>
              <w:rPr>
                <w:w w:val="95"/>
                <w:sz w:val="21"/>
              </w:rPr>
              <w:t>（每</w:t>
            </w:r>
            <w:r>
              <w:rPr>
                <w:sz w:val="21"/>
              </w:rPr>
              <w:t>周至少一次）对堆场外四周路面进行清扫， 避免造成扬尘污染。</w:t>
            </w:r>
          </w:p>
          <w:p>
            <w:pPr>
              <w:pStyle w:val="TableParagraph"/>
              <w:numPr>
                <w:ilvl w:val="0"/>
                <w:numId w:val="24"/>
              </w:numPr>
              <w:tabs>
                <w:tab w:val="left" w:pos="272"/>
              </w:tabs>
              <w:spacing w:before="25" w:after="0" w:line="261" w:lineRule="auto"/>
              <w:ind w:left="112" w:right="28" w:firstLine="0"/>
              <w:jc w:val="left"/>
              <w:rPr>
                <w:sz w:val="21"/>
              </w:rPr>
            </w:pPr>
            <w:r>
              <w:rPr>
                <w:w w:val="95"/>
                <w:sz w:val="21"/>
              </w:rPr>
              <w:t xml:space="preserve">厂区内道路应硬化，平整无破损、无积尘， </w:t>
            </w:r>
            <w:r>
              <w:rPr>
                <w:sz w:val="21"/>
              </w:rPr>
              <w:t>闲置裸露空地应及时绿化或硬化，定期洒水清扫。</w:t>
            </w:r>
          </w:p>
          <w:p>
            <w:pPr>
              <w:pStyle w:val="TableParagraph"/>
              <w:numPr>
                <w:ilvl w:val="0"/>
                <w:numId w:val="24"/>
              </w:numPr>
              <w:tabs>
                <w:tab w:val="left" w:pos="272"/>
              </w:tabs>
              <w:spacing w:before="25" w:after="0" w:line="264" w:lineRule="auto"/>
              <w:ind w:left="112" w:right="93" w:firstLine="0"/>
              <w:jc w:val="left"/>
              <w:rPr>
                <w:sz w:val="21"/>
              </w:rPr>
            </w:pPr>
            <w:r>
              <w:rPr>
                <w:spacing w:val="-8"/>
                <w:w w:val="95"/>
                <w:sz w:val="21"/>
              </w:rPr>
              <w:t>加强对抑尘设施、喷淋冲洗装置及在线监控</w:t>
            </w:r>
            <w:r>
              <w:rPr>
                <w:spacing w:val="-8"/>
                <w:sz w:val="21"/>
              </w:rPr>
              <w:t>设备的维护管理，确保正常使用。</w:t>
            </w:r>
          </w:p>
          <w:p>
            <w:pPr>
              <w:pStyle w:val="TableParagraph"/>
              <w:numPr>
                <w:ilvl w:val="0"/>
                <w:numId w:val="24"/>
              </w:numPr>
              <w:tabs>
                <w:tab w:val="left" w:pos="272"/>
              </w:tabs>
              <w:spacing w:before="20" w:after="0" w:line="261" w:lineRule="auto"/>
              <w:ind w:left="112" w:right="93" w:firstLine="0"/>
              <w:jc w:val="left"/>
              <w:rPr>
                <w:sz w:val="21"/>
              </w:rPr>
            </w:pPr>
            <w:r>
              <w:rPr>
                <w:spacing w:val="-9"/>
                <w:w w:val="95"/>
                <w:sz w:val="21"/>
              </w:rPr>
              <w:t>明确责任人，建立责任制，完善堆场扬尘污</w:t>
            </w:r>
            <w:r>
              <w:rPr>
                <w:spacing w:val="-9"/>
                <w:sz w:val="21"/>
              </w:rPr>
              <w:t>染防治工作台账，对扬尘治理设施运行和维护、在线监控系统、运输车辆进出冲洗、应急管控等情况进行记录。</w:t>
            </w:r>
          </w:p>
        </w:tc>
        <w:tc>
          <w:tcPr>
            <w:tcW w:w="2833" w:type="dxa"/>
            <w:gridSpan w:val="2"/>
            <w:tcBorders>
              <w:top w:val="thinThickMediumGap" w:sz="6" w:space="0" w:color="000000"/>
              <w:left w:val="single" w:sz="4" w:space="0" w:color="000000"/>
              <w:bottom w:val="single" w:sz="12" w:space="0" w:color="000000"/>
            </w:tcBorders>
          </w:tcPr>
          <w:p>
            <w:pPr>
              <w:pStyle w:val="TableParagraph"/>
              <w:spacing w:line="256" w:lineRule="exact"/>
              <w:ind w:left="113"/>
              <w:rPr>
                <w:sz w:val="21"/>
              </w:rPr>
            </w:pPr>
            <w:r>
              <w:rPr>
                <w:sz w:val="21"/>
              </w:rPr>
              <w:t>时采用防尘布覆盖，并采取</w:t>
            </w:r>
          </w:p>
          <w:p>
            <w:pPr>
              <w:pStyle w:val="TableParagraph"/>
              <w:spacing w:before="23" w:line="264" w:lineRule="auto"/>
              <w:ind w:left="113" w:right="185"/>
              <w:rPr>
                <w:sz w:val="21"/>
              </w:rPr>
            </w:pPr>
            <w:r>
              <w:rPr>
                <w:spacing w:val="-1"/>
                <w:sz w:val="21"/>
              </w:rPr>
              <w:t>喷水抑尘；重污染天气应急</w:t>
            </w:r>
            <w:r>
              <w:rPr>
                <w:sz w:val="21"/>
              </w:rPr>
              <w:t>管控时，暂停施工。</w:t>
            </w:r>
          </w:p>
          <w:p>
            <w:pPr>
              <w:pStyle w:val="TableParagraph"/>
              <w:numPr>
                <w:ilvl w:val="0"/>
                <w:numId w:val="23"/>
              </w:numPr>
              <w:tabs>
                <w:tab w:val="left" w:pos="273"/>
              </w:tabs>
              <w:spacing w:before="20" w:after="0" w:line="261" w:lineRule="auto"/>
              <w:ind w:left="113" w:right="105" w:firstLine="0"/>
              <w:jc w:val="left"/>
              <w:rPr>
                <w:sz w:val="21"/>
              </w:rPr>
            </w:pPr>
            <w:r>
              <w:rPr>
                <w:spacing w:val="-10"/>
                <w:sz w:val="21"/>
              </w:rPr>
              <w:t>项目堆场采取顶棚、围挡封</w:t>
            </w:r>
            <w:r>
              <w:rPr>
                <w:sz w:val="21"/>
              </w:rPr>
              <w:t>闭，在车辆出入口处安装扬尘在线监控系统；项目废弃土方采取防尘布覆盖。</w:t>
            </w:r>
          </w:p>
          <w:p>
            <w:pPr>
              <w:pStyle w:val="TableParagraph"/>
              <w:numPr>
                <w:ilvl w:val="0"/>
                <w:numId w:val="23"/>
              </w:numPr>
              <w:tabs>
                <w:tab w:val="left" w:pos="273"/>
              </w:tabs>
              <w:spacing w:before="27" w:after="0" w:line="264" w:lineRule="auto"/>
              <w:ind w:left="113" w:right="237" w:firstLine="0"/>
              <w:jc w:val="left"/>
              <w:rPr>
                <w:sz w:val="21"/>
              </w:rPr>
            </w:pPr>
            <w:r>
              <w:rPr>
                <w:spacing w:val="-2"/>
                <w:sz w:val="21"/>
              </w:rPr>
              <w:t>项目施工期内每周对堆场</w:t>
            </w:r>
            <w:r>
              <w:rPr>
                <w:sz w:val="21"/>
              </w:rPr>
              <w:t>外的四周路面进行清扫。</w:t>
            </w:r>
          </w:p>
          <w:p>
            <w:pPr>
              <w:pStyle w:val="TableParagraph"/>
              <w:spacing w:before="20" w:line="264" w:lineRule="auto"/>
              <w:ind w:left="113" w:right="52"/>
              <w:rPr>
                <w:sz w:val="21"/>
              </w:rPr>
            </w:pPr>
            <w:r>
              <w:rPr>
                <w:rFonts w:ascii="Times New Roman" w:eastAsia="Times New Roman"/>
                <w:sz w:val="21"/>
              </w:rPr>
              <w:t>5</w:t>
            </w:r>
            <w:r>
              <w:rPr>
                <w:sz w:val="21"/>
              </w:rPr>
              <w:t>、项目施工场地内地面均硬化处理，定期洒水清扫。</w:t>
            </w:r>
          </w:p>
          <w:p>
            <w:pPr>
              <w:pStyle w:val="TableParagraph"/>
              <w:spacing w:before="20" w:line="266" w:lineRule="auto"/>
              <w:ind w:left="113" w:right="185"/>
              <w:rPr>
                <w:sz w:val="21"/>
              </w:rPr>
            </w:pPr>
            <w:r>
              <w:rPr>
                <w:rFonts w:ascii="Times New Roman" w:eastAsia="Times New Roman"/>
                <w:sz w:val="21"/>
              </w:rPr>
              <w:t>6.</w:t>
            </w:r>
            <w:r>
              <w:rPr>
                <w:sz w:val="21"/>
              </w:rPr>
              <w:t>本次评价要求建设单位设</w:t>
            </w:r>
            <w:r>
              <w:rPr>
                <w:spacing w:val="-1"/>
                <w:sz w:val="21"/>
              </w:rPr>
              <w:t>置环保专员，对抑尘设施、喷淋冲洗装置及在线监控设备进行维护管理，完善堆场</w:t>
            </w:r>
            <w:r>
              <w:rPr>
                <w:sz w:val="21"/>
              </w:rPr>
              <w:t xml:space="preserve">扬尘污染防治工作台账。 </w:t>
            </w:r>
            <w:r>
              <w:rPr>
                <w:spacing w:val="-1"/>
                <w:sz w:val="21"/>
              </w:rPr>
              <w:t>根据上述分析，本项目堆场</w:t>
            </w:r>
            <w:r>
              <w:rPr>
                <w:sz w:val="21"/>
              </w:rPr>
              <w:t>管理符合文件要</w:t>
            </w:r>
          </w:p>
          <w:p>
            <w:pPr>
              <w:pStyle w:val="TableParagraph"/>
              <w:spacing w:before="15"/>
              <w:ind w:left="113"/>
              <w:rPr>
                <w:sz w:val="21"/>
              </w:rPr>
            </w:pPr>
            <w:r>
              <w:rPr>
                <w:sz w:val="21"/>
              </w:rPr>
              <w:t>求。</w:t>
            </w:r>
          </w:p>
        </w:tc>
      </w:tr>
      <w:tr>
        <w:tblPrEx>
          <w:tblW w:w="0" w:type="auto"/>
          <w:jc w:val="left"/>
          <w:tblInd w:w="321" w:type="dxa"/>
          <w:tblLayout w:type="fixed"/>
          <w:tblCellMar>
            <w:top w:w="0" w:type="dxa"/>
            <w:left w:w="0" w:type="dxa"/>
            <w:bottom w:w="0" w:type="dxa"/>
            <w:right w:w="0" w:type="dxa"/>
          </w:tblCellMar>
          <w:tblLook w:val="01E0"/>
        </w:tblPrEx>
        <w:trPr>
          <w:trHeight w:val="3579"/>
          <w:jc w:val="left"/>
        </w:trPr>
        <w:tc>
          <w:tcPr>
            <w:tcW w:w="1044" w:type="dxa"/>
            <w:vMerge/>
            <w:tcBorders>
              <w:top w:val="nil"/>
              <w:right w:val="single" w:sz="4" w:space="0" w:color="000000"/>
            </w:tcBorders>
          </w:tcPr>
          <w:p>
            <w:pPr>
              <w:rPr>
                <w:sz w:val="2"/>
                <w:szCs w:val="2"/>
              </w:rPr>
            </w:pPr>
          </w:p>
        </w:tc>
        <w:tc>
          <w:tcPr>
            <w:tcW w:w="7995" w:type="dxa"/>
            <w:gridSpan w:val="5"/>
            <w:tcBorders>
              <w:top w:val="single" w:sz="12" w:space="0" w:color="000000"/>
              <w:left w:val="single" w:sz="4" w:space="0" w:color="000000"/>
              <w:bottom w:val="single" w:sz="12" w:space="0" w:color="000000"/>
            </w:tcBorders>
          </w:tcPr>
          <w:p>
            <w:pPr>
              <w:pStyle w:val="TableParagraph"/>
              <w:spacing w:before="3" w:line="242" w:lineRule="auto"/>
              <w:ind w:left="21" w:right="-15" w:firstLine="480"/>
              <w:jc w:val="both"/>
              <w:rPr>
                <w:sz w:val="24"/>
              </w:rPr>
            </w:pPr>
            <w:r>
              <w:rPr>
                <w:sz w:val="24"/>
              </w:rPr>
              <w:t xml:space="preserve">根据表 </w:t>
            </w:r>
            <w:r>
              <w:rPr>
                <w:rFonts w:ascii="Times New Roman" w:eastAsia="Times New Roman"/>
                <w:sz w:val="24"/>
              </w:rPr>
              <w:t xml:space="preserve">1-7 </w:t>
            </w:r>
            <w:r>
              <w:rPr>
                <w:sz w:val="24"/>
              </w:rPr>
              <w:t>分析，本项目施工期符合盐城市堆场扬尘防治指南的相关要求。</w:t>
            </w:r>
          </w:p>
          <w:p>
            <w:pPr>
              <w:pStyle w:val="TableParagraph"/>
              <w:spacing w:line="364" w:lineRule="auto"/>
              <w:ind w:left="21" w:firstLine="480"/>
              <w:jc w:val="both"/>
              <w:rPr>
                <w:b/>
                <w:sz w:val="24"/>
              </w:rPr>
            </w:pPr>
            <w:r>
              <w:rPr>
                <w:b/>
                <w:color w:val="FF0000"/>
                <w:sz w:val="24"/>
              </w:rPr>
              <w:t>4</w:t>
            </w:r>
            <w:r>
              <w:rPr>
                <w:b/>
                <w:color w:val="FF0000"/>
                <w:spacing w:val="-12"/>
                <w:sz w:val="24"/>
              </w:rPr>
              <w:t>、本项目与《省生态环境厅关于印发防范清淤疏浚工程对水质影响工作</w:t>
            </w:r>
            <w:r>
              <w:rPr>
                <w:b/>
                <w:color w:val="FF0000"/>
                <w:sz w:val="24"/>
              </w:rPr>
              <w:t>方案的通知》（苏环办〔2021〕185</w:t>
            </w:r>
            <w:r>
              <w:rPr>
                <w:b/>
                <w:color w:val="FF0000"/>
                <w:spacing w:val="-31"/>
                <w:sz w:val="24"/>
              </w:rPr>
              <w:t xml:space="preserve"> 号</w:t>
            </w:r>
            <w:r>
              <w:rPr>
                <w:b/>
                <w:color w:val="FF0000"/>
                <w:sz w:val="24"/>
              </w:rPr>
              <w:t>）相符性</w:t>
            </w:r>
          </w:p>
          <w:p>
            <w:pPr>
              <w:pStyle w:val="TableParagraph"/>
              <w:spacing w:line="364" w:lineRule="auto"/>
              <w:ind w:left="21" w:right="-15" w:firstLine="480"/>
              <w:jc w:val="both"/>
              <w:rPr>
                <w:sz w:val="24"/>
              </w:rPr>
            </w:pPr>
            <w:r>
              <w:rPr>
                <w:color w:val="FF0000"/>
                <w:sz w:val="24"/>
              </w:rPr>
              <w:t>根据《省生态环境厅关于印发防范清淤疏浚工程对水质影响工作方案的通知》（苏环办〔2021〕185 号），做到清淤疏浚“前、中、后”全过程管理，形成工作闭环。</w:t>
            </w:r>
          </w:p>
          <w:p>
            <w:pPr>
              <w:pStyle w:val="TableParagraph"/>
              <w:spacing w:line="305" w:lineRule="exact"/>
              <w:ind w:left="25" w:right="4"/>
              <w:jc w:val="center"/>
              <w:rPr>
                <w:b/>
                <w:sz w:val="24"/>
              </w:rPr>
            </w:pPr>
            <w:r>
              <w:rPr>
                <w:b/>
                <w:color w:val="FF0000"/>
                <w:spacing w:val="-34"/>
                <w:sz w:val="24"/>
              </w:rPr>
              <w:t xml:space="preserve">表 </w:t>
            </w:r>
            <w:r>
              <w:rPr>
                <w:b/>
                <w:color w:val="FF0000"/>
                <w:sz w:val="24"/>
              </w:rPr>
              <w:t>1-8</w:t>
            </w:r>
            <w:r>
              <w:rPr>
                <w:b/>
                <w:color w:val="FF0000"/>
                <w:spacing w:val="-9"/>
                <w:sz w:val="24"/>
              </w:rPr>
              <w:t xml:space="preserve"> 项目与《省生态环境厅关于印发防范清淤疏浚工程对水质影响工作方</w:t>
            </w:r>
          </w:p>
          <w:p>
            <w:pPr>
              <w:pStyle w:val="TableParagraph"/>
              <w:spacing w:before="3" w:line="290" w:lineRule="exact"/>
              <w:ind w:left="25" w:right="4"/>
              <w:jc w:val="center"/>
              <w:rPr>
                <w:b/>
                <w:sz w:val="24"/>
              </w:rPr>
            </w:pPr>
            <w:r>
              <w:rPr>
                <w:b/>
                <w:color w:val="FF0000"/>
                <w:sz w:val="24"/>
              </w:rPr>
              <w:t>案的通知》（苏环办〔2021〕185 号）相符性分析</w:t>
            </w:r>
          </w:p>
        </w:tc>
      </w:tr>
      <w:tr>
        <w:tblPrEx>
          <w:tblW w:w="0" w:type="auto"/>
          <w:jc w:val="left"/>
          <w:tblInd w:w="321" w:type="dxa"/>
          <w:tblLayout w:type="fixed"/>
          <w:tblCellMar>
            <w:top w:w="0" w:type="dxa"/>
            <w:left w:w="0" w:type="dxa"/>
            <w:bottom w:w="0" w:type="dxa"/>
            <w:right w:w="0" w:type="dxa"/>
          </w:tblCellMar>
          <w:tblLook w:val="01E0"/>
        </w:tblPrEx>
        <w:trPr>
          <w:trHeight w:val="337"/>
          <w:jc w:val="left"/>
        </w:trPr>
        <w:tc>
          <w:tcPr>
            <w:tcW w:w="1044" w:type="dxa"/>
            <w:vMerge/>
            <w:tcBorders>
              <w:top w:val="nil"/>
              <w:right w:val="single" w:sz="4" w:space="0" w:color="000000"/>
            </w:tcBorders>
          </w:tcPr>
          <w:p>
            <w:pPr>
              <w:rPr>
                <w:sz w:val="2"/>
                <w:szCs w:val="2"/>
              </w:rPr>
            </w:pPr>
          </w:p>
        </w:tc>
        <w:tc>
          <w:tcPr>
            <w:tcW w:w="737" w:type="dxa"/>
            <w:tcBorders>
              <w:top w:val="single" w:sz="12" w:space="0" w:color="000000"/>
              <w:left w:val="single" w:sz="4" w:space="0" w:color="000000"/>
              <w:bottom w:val="single" w:sz="4" w:space="0" w:color="000000"/>
              <w:right w:val="single" w:sz="4" w:space="0" w:color="000000"/>
            </w:tcBorders>
          </w:tcPr>
          <w:p>
            <w:pPr>
              <w:pStyle w:val="TableParagraph"/>
              <w:spacing w:before="26"/>
              <w:ind w:left="170"/>
              <w:rPr>
                <w:b/>
                <w:sz w:val="21"/>
              </w:rPr>
            </w:pPr>
            <w:r>
              <w:rPr>
                <w:b/>
                <w:color w:val="FF0000"/>
                <w:sz w:val="21"/>
              </w:rPr>
              <w:t>内容</w:t>
            </w:r>
          </w:p>
        </w:tc>
        <w:tc>
          <w:tcPr>
            <w:tcW w:w="5278"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26"/>
              <w:ind w:left="2201" w:right="2183"/>
              <w:jc w:val="center"/>
              <w:rPr>
                <w:b/>
                <w:sz w:val="21"/>
              </w:rPr>
            </w:pPr>
            <w:r>
              <w:rPr>
                <w:b/>
                <w:color w:val="FF0000"/>
                <w:sz w:val="21"/>
              </w:rPr>
              <w:t>具体要求</w:t>
            </w:r>
          </w:p>
        </w:tc>
        <w:tc>
          <w:tcPr>
            <w:tcW w:w="1980" w:type="dxa"/>
            <w:tcBorders>
              <w:top w:val="single" w:sz="12" w:space="0" w:color="000000"/>
              <w:left w:val="single" w:sz="4" w:space="0" w:color="000000"/>
              <w:bottom w:val="single" w:sz="4" w:space="0" w:color="000000"/>
            </w:tcBorders>
          </w:tcPr>
          <w:p>
            <w:pPr>
              <w:pStyle w:val="TableParagraph"/>
              <w:spacing w:before="26"/>
              <w:ind w:left="457"/>
              <w:rPr>
                <w:b/>
                <w:sz w:val="21"/>
              </w:rPr>
            </w:pPr>
            <w:r>
              <w:rPr>
                <w:b/>
                <w:color w:val="FF0000"/>
                <w:sz w:val="21"/>
              </w:rPr>
              <w:t>符合性说明</w:t>
            </w:r>
          </w:p>
        </w:tc>
      </w:tr>
      <w:tr>
        <w:tblPrEx>
          <w:tblW w:w="0" w:type="auto"/>
          <w:jc w:val="left"/>
          <w:tblInd w:w="321" w:type="dxa"/>
          <w:tblLayout w:type="fixed"/>
          <w:tblCellMar>
            <w:top w:w="0" w:type="dxa"/>
            <w:left w:w="0" w:type="dxa"/>
            <w:bottom w:w="0" w:type="dxa"/>
            <w:right w:w="0" w:type="dxa"/>
          </w:tblCellMar>
          <w:tblLook w:val="01E0"/>
        </w:tblPrEx>
        <w:trPr>
          <w:trHeight w:val="3295"/>
          <w:jc w:val="left"/>
        </w:trPr>
        <w:tc>
          <w:tcPr>
            <w:tcW w:w="1044" w:type="dxa"/>
            <w:vMerge/>
            <w:tcBorders>
              <w:top w:val="nil"/>
              <w:right w:val="single" w:sz="4" w:space="0" w:color="000000"/>
            </w:tcBorders>
          </w:tcPr>
          <w:p>
            <w:pPr>
              <w:rPr>
                <w:sz w:val="2"/>
                <w:szCs w:val="2"/>
              </w:rPr>
            </w:pPr>
          </w:p>
        </w:tc>
        <w:tc>
          <w:tcPr>
            <w:tcW w:w="737"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6"/>
              </w:rPr>
            </w:pPr>
          </w:p>
          <w:p>
            <w:pPr>
              <w:pStyle w:val="TableParagraph"/>
              <w:spacing w:before="1" w:line="261" w:lineRule="auto"/>
              <w:ind w:left="172" w:right="134"/>
              <w:jc w:val="both"/>
              <w:rPr>
                <w:sz w:val="21"/>
              </w:rPr>
            </w:pPr>
            <w:r>
              <w:rPr>
                <w:color w:val="FF0000"/>
                <w:sz w:val="21"/>
              </w:rPr>
              <w:t>一、规范清淤前期管理程序</w:t>
            </w:r>
          </w:p>
        </w:tc>
        <w:tc>
          <w:tcPr>
            <w:tcW w:w="5278" w:type="dxa"/>
            <w:gridSpan w:val="3"/>
            <w:tcBorders>
              <w:top w:val="single" w:sz="4" w:space="0" w:color="000000"/>
              <w:left w:val="single" w:sz="4" w:space="0" w:color="000000"/>
              <w:bottom w:val="single" w:sz="18" w:space="0" w:color="000000"/>
              <w:right w:val="single" w:sz="4" w:space="0" w:color="000000"/>
            </w:tcBorders>
          </w:tcPr>
          <w:p>
            <w:pPr>
              <w:pStyle w:val="TableParagraph"/>
              <w:numPr>
                <w:ilvl w:val="0"/>
                <w:numId w:val="22"/>
              </w:numPr>
              <w:tabs>
                <w:tab w:val="left" w:pos="324"/>
              </w:tabs>
              <w:spacing w:before="19" w:after="0" w:line="261" w:lineRule="auto"/>
              <w:ind w:left="112" w:right="115" w:firstLine="0"/>
              <w:jc w:val="both"/>
              <w:rPr>
                <w:sz w:val="21"/>
              </w:rPr>
            </w:pPr>
            <w:r>
              <w:rPr>
                <w:color w:val="FF0000"/>
                <w:w w:val="95"/>
                <w:sz w:val="21"/>
              </w:rPr>
              <w:t xml:space="preserve">一般建设性工程建设单位施工前需按照相关要求完成 项目立项、初步设计、环评、稳评、洪评等工作，需制 定详细施工组织方案。按照环评批复要求，制订环境管 控工作方案和突发环境事故的应急处置预案。对于工程 规模较小或临时性、应急性工程，需针对环境质量状况 </w:t>
            </w:r>
            <w:r>
              <w:rPr>
                <w:color w:val="FF0000"/>
                <w:sz w:val="21"/>
              </w:rPr>
              <w:t>和工程作业方法，提前制定环境保护工程措施。</w:t>
            </w:r>
          </w:p>
          <w:p>
            <w:pPr>
              <w:pStyle w:val="TableParagraph"/>
              <w:numPr>
                <w:ilvl w:val="0"/>
                <w:numId w:val="22"/>
              </w:numPr>
              <w:tabs>
                <w:tab w:val="left" w:pos="324"/>
              </w:tabs>
              <w:spacing w:before="28" w:after="0" w:line="261" w:lineRule="auto"/>
              <w:ind w:left="112" w:right="-15" w:firstLine="0"/>
              <w:jc w:val="left"/>
              <w:rPr>
                <w:sz w:val="21"/>
              </w:rPr>
            </w:pPr>
            <w:r>
              <w:rPr>
                <w:color w:val="FF0000"/>
                <w:spacing w:val="-5"/>
                <w:w w:val="95"/>
                <w:sz w:val="21"/>
              </w:rPr>
              <w:t>对于重点湖泊和较大骨干河道清淤前，应开展湖</w:t>
            </w:r>
            <w:r>
              <w:rPr>
                <w:color w:val="FF0000"/>
                <w:w w:val="95"/>
                <w:sz w:val="21"/>
              </w:rPr>
              <w:t xml:space="preserve">（河） </w:t>
            </w:r>
            <w:r>
              <w:rPr>
                <w:color w:val="FF0000"/>
                <w:sz w:val="21"/>
              </w:rPr>
              <w:t>底泥摸底性调查，切实掌握底泥分布特点和实际污染状况，科学确定清淤深度和土方量，合理安排生态清淤工程作业方法，确保工程能够取得较大环境效益的同时， 减轻对水环境、水生态造成影响。</w:t>
            </w:r>
          </w:p>
        </w:tc>
        <w:tc>
          <w:tcPr>
            <w:tcW w:w="1980" w:type="dxa"/>
            <w:tcBorders>
              <w:top w:val="single" w:sz="4" w:space="0" w:color="000000"/>
              <w:left w:val="single" w:sz="4" w:space="0" w:color="000000"/>
              <w:bottom w:val="single" w:sz="18" w:space="0" w:color="000000"/>
            </w:tcBorders>
          </w:tcPr>
          <w:p>
            <w:pPr>
              <w:pStyle w:val="TableParagraph"/>
              <w:spacing w:before="43" w:line="261" w:lineRule="auto"/>
              <w:ind w:left="112" w:right="170"/>
              <w:jc w:val="both"/>
              <w:rPr>
                <w:sz w:val="21"/>
              </w:rPr>
            </w:pPr>
            <w:r>
              <w:rPr>
                <w:color w:val="FF0000"/>
                <w:sz w:val="21"/>
              </w:rPr>
              <w:t>本项目正在按照相关要求完成项目相关工作，并初步制定施工组织方案， 施工前按要求完成相关方案、预案制定。本项目不属于重点湖泊和较大骨干河道，本项目施工过程使用临时围挡，断绝与通榆河</w:t>
            </w:r>
          </w:p>
        </w:tc>
      </w:tr>
    </w:tbl>
    <w:p>
      <w:pPr>
        <w:spacing w:after="0" w:line="261" w:lineRule="auto"/>
        <w:jc w:val="both"/>
        <w:rPr>
          <w:sz w:val="21"/>
        </w:rPr>
        <w:sectPr>
          <w:headerReference w:type="default" r:id="rId38"/>
          <w:footerReference w:type="default" r:id="rId39"/>
          <w:pgSz w:w="11910" w:h="16840"/>
          <w:pgMar w:top="1340" w:right="1120" w:bottom="1160" w:left="1220" w:header="891" w:footer="969"/>
          <w:pgNumType w:start="17"/>
          <w:cols w:space="708"/>
        </w:sectPr>
      </w:pPr>
    </w:p>
    <w:p>
      <w:pPr>
        <w:pStyle w:val="BodyText"/>
        <w:rPr>
          <w:rFonts w:ascii="Times New Roman"/>
          <w:sz w:val="20"/>
        </w:rPr>
      </w:pPr>
    </w:p>
    <w:p>
      <w:pPr>
        <w:pStyle w:val="BodyText"/>
        <w:spacing w:before="11"/>
        <w:rPr>
          <w:rFonts w:ascii="Times New Roman"/>
          <w:sz w:val="10"/>
        </w:rPr>
      </w:pPr>
    </w:p>
    <w:tbl>
      <w:tblPr>
        <w:tblStyle w:val="TableNormal14"/>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737"/>
        <w:gridCol w:w="5278"/>
        <w:gridCol w:w="1980"/>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531"/>
          <w:jc w:val="left"/>
        </w:trPr>
        <w:tc>
          <w:tcPr>
            <w:tcW w:w="1044" w:type="dxa"/>
            <w:vMerge w:val="restart"/>
            <w:tcBorders>
              <w:right w:val="single" w:sz="4" w:space="0" w:color="000000"/>
            </w:tcBorders>
          </w:tcPr>
          <w:p>
            <w:pPr>
              <w:pStyle w:val="TableParagraph"/>
              <w:rPr>
                <w:rFonts w:ascii="Times New Roman"/>
                <w:sz w:val="20"/>
              </w:rPr>
            </w:pPr>
          </w:p>
        </w:tc>
        <w:tc>
          <w:tcPr>
            <w:tcW w:w="737"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278"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112"/>
              <w:rPr>
                <w:sz w:val="21"/>
              </w:rPr>
            </w:pPr>
            <w:r>
              <w:rPr>
                <w:color w:val="FF0000"/>
                <w:w w:val="95"/>
                <w:sz w:val="21"/>
              </w:rPr>
              <w:t>3.影响国省考断面水质的治污清淤工程，应在工程实施</w:t>
            </w:r>
          </w:p>
          <w:p>
            <w:pPr>
              <w:pStyle w:val="TableParagraph"/>
              <w:spacing w:before="23"/>
              <w:ind w:left="112"/>
              <w:rPr>
                <w:sz w:val="21"/>
              </w:rPr>
            </w:pPr>
            <w:r>
              <w:rPr>
                <w:color w:val="FF0000"/>
                <w:w w:val="95"/>
                <w:sz w:val="21"/>
              </w:rPr>
              <w:t>前向省厅提前报备，并提供工程实施计划、图片资料等</w:t>
            </w:r>
          </w:p>
          <w:p>
            <w:pPr>
              <w:pStyle w:val="TableParagraph"/>
              <w:spacing w:before="27" w:line="261" w:lineRule="auto"/>
              <w:ind w:left="112" w:right="115"/>
              <w:jc w:val="both"/>
              <w:rPr>
                <w:sz w:val="21"/>
              </w:rPr>
            </w:pPr>
            <w:r>
              <w:rPr>
                <w:color w:val="FF0000"/>
                <w:w w:val="95"/>
                <w:sz w:val="21"/>
              </w:rPr>
              <w:t xml:space="preserve">（包括招标合同、开工证明、清淤位置、淤泥去向、土 方量、上游汇水去向、施工时限等）。若治污清淤工程 将引起考核断面所在水体断流无监测数据的，应申请临 时替代监测点位，其中涉及国考断面应提前三个月由设 区市生态环境部门向省厅提出申请，经论证后由省厅报 生态环境部审核批准：省考断面应提前两个月由设区市 生态环境部门向省厅申请。为有效保障水环境质量，当 地生态环境部门应会同相关行业主管部门和工程施工单 位，立即编制断面水质保障应对方案，确保工程施工期 </w:t>
            </w:r>
            <w:r>
              <w:rPr>
                <w:color w:val="FF0000"/>
                <w:sz w:val="21"/>
              </w:rPr>
              <w:t>间水质保持稳定。</w:t>
            </w:r>
          </w:p>
        </w:tc>
        <w:tc>
          <w:tcPr>
            <w:tcW w:w="1980" w:type="dxa"/>
            <w:tcBorders>
              <w:top w:val="thinThickMediumGap" w:sz="6" w:space="0" w:color="000000"/>
              <w:left w:val="single" w:sz="4" w:space="0" w:color="000000"/>
              <w:bottom w:val="single" w:sz="4" w:space="0" w:color="000000"/>
            </w:tcBorders>
          </w:tcPr>
          <w:p>
            <w:pPr>
              <w:pStyle w:val="TableParagraph"/>
              <w:spacing w:line="256" w:lineRule="exact"/>
              <w:ind w:left="112"/>
              <w:rPr>
                <w:sz w:val="21"/>
              </w:rPr>
            </w:pPr>
            <w:r>
              <w:rPr>
                <w:color w:val="FF0000"/>
                <w:sz w:val="21"/>
              </w:rPr>
              <w:t>的水力联系，符合</w:t>
            </w:r>
          </w:p>
          <w:p>
            <w:pPr>
              <w:pStyle w:val="TableParagraph"/>
              <w:spacing w:before="23"/>
              <w:ind w:left="112"/>
              <w:rPr>
                <w:sz w:val="21"/>
              </w:rPr>
            </w:pPr>
            <w:r>
              <w:rPr>
                <w:color w:val="FF0000"/>
                <w:sz w:val="21"/>
              </w:rPr>
              <w:t>文件要求。</w:t>
            </w:r>
          </w:p>
        </w:tc>
      </w:tr>
      <w:tr>
        <w:tblPrEx>
          <w:tblW w:w="0" w:type="auto"/>
          <w:jc w:val="left"/>
          <w:tblInd w:w="321" w:type="dxa"/>
          <w:tblLayout w:type="fixed"/>
          <w:tblCellMar>
            <w:top w:w="0" w:type="dxa"/>
            <w:left w:w="0" w:type="dxa"/>
            <w:bottom w:w="0" w:type="dxa"/>
            <w:right w:w="0" w:type="dxa"/>
          </w:tblCellMar>
          <w:tblLook w:val="01E0"/>
        </w:tblPrEx>
        <w:trPr>
          <w:trHeight w:val="9539"/>
          <w:jc w:val="left"/>
        </w:trPr>
        <w:tc>
          <w:tcPr>
            <w:tcW w:w="1044" w:type="dxa"/>
            <w:vMerge/>
            <w:tcBorders>
              <w:top w:val="nil"/>
              <w:right w:val="single" w:sz="4" w:space="0" w:color="000000"/>
            </w:tcBorders>
          </w:tcPr>
          <w:p>
            <w:pPr>
              <w:rPr>
                <w:sz w:val="2"/>
                <w:szCs w:val="2"/>
              </w:rPr>
            </w:pPr>
          </w:p>
        </w:tc>
        <w:tc>
          <w:tcPr>
            <w:tcW w:w="737"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44" w:line="261" w:lineRule="auto"/>
              <w:ind w:left="172" w:right="134"/>
              <w:jc w:val="both"/>
              <w:rPr>
                <w:sz w:val="21"/>
              </w:rPr>
            </w:pPr>
            <w:r>
              <w:rPr>
                <w:color w:val="FF0000"/>
                <w:sz w:val="21"/>
              </w:rPr>
              <w:t>二、强化清淤施工期间各项环境管控</w:t>
            </w:r>
          </w:p>
        </w:tc>
        <w:tc>
          <w:tcPr>
            <w:tcW w:w="5278" w:type="dxa"/>
            <w:tcBorders>
              <w:top w:val="single" w:sz="4" w:space="0" w:color="000000"/>
              <w:left w:val="single" w:sz="4" w:space="0" w:color="000000"/>
              <w:bottom w:val="single" w:sz="18" w:space="0" w:color="000000"/>
              <w:right w:val="single" w:sz="4" w:space="0" w:color="000000"/>
            </w:tcBorders>
          </w:tcPr>
          <w:p>
            <w:pPr>
              <w:pStyle w:val="TableParagraph"/>
              <w:numPr>
                <w:ilvl w:val="0"/>
                <w:numId w:val="21"/>
              </w:numPr>
              <w:tabs>
                <w:tab w:val="left" w:pos="324"/>
              </w:tabs>
              <w:spacing w:before="20" w:after="0" w:line="261" w:lineRule="auto"/>
              <w:ind w:left="112" w:right="-15" w:firstLine="0"/>
              <w:jc w:val="left"/>
              <w:rPr>
                <w:sz w:val="21"/>
              </w:rPr>
            </w:pPr>
            <w:r>
              <w:rPr>
                <w:color w:val="FF0000"/>
                <w:sz w:val="21"/>
              </w:rPr>
              <w:t>实施生态清淤。干法清淤需科学建设挡水围堰，严禁施工淤泥沿岸露天堆放。湿法清淤需规避抓斗式方法， 减少底泥扰动扩散，严控对河水的二次污染。优先选用新型环保绞吸式清淤船作业，利用环保绞刀头进行全方位封闭式清淤，挖泥区周围需设置防淤帘，减少底泥中污染物释放。严禁水冲式湿法清淤，避免大量高浓度泥</w:t>
            </w:r>
            <w:r>
              <w:rPr>
                <w:color w:val="FF0000"/>
                <w:spacing w:val="-10"/>
                <w:w w:val="95"/>
                <w:sz w:val="21"/>
              </w:rPr>
              <w:t xml:space="preserve">水下泄，造成下游水质污染。淤泥采用管理输送或汽运、 </w:t>
            </w:r>
            <w:r>
              <w:rPr>
                <w:color w:val="FF0000"/>
                <w:spacing w:val="-10"/>
                <w:sz w:val="21"/>
              </w:rPr>
              <w:t>船运等环节均需全程封闭，淤泥堆场需进行防渗、防漏防雨处置。</w:t>
            </w:r>
          </w:p>
          <w:p>
            <w:pPr>
              <w:pStyle w:val="TableParagraph"/>
              <w:numPr>
                <w:ilvl w:val="0"/>
                <w:numId w:val="21"/>
              </w:numPr>
              <w:tabs>
                <w:tab w:val="left" w:pos="324"/>
              </w:tabs>
              <w:spacing w:before="29" w:after="0" w:line="261" w:lineRule="auto"/>
              <w:ind w:left="112" w:right="115" w:firstLine="0"/>
              <w:jc w:val="both"/>
              <w:rPr>
                <w:sz w:val="21"/>
              </w:rPr>
            </w:pPr>
            <w:r>
              <w:rPr>
                <w:color w:val="FF0000"/>
                <w:w w:val="95"/>
                <w:sz w:val="21"/>
              </w:rPr>
              <w:t xml:space="preserve">清淤船舶管理。水下施工时，禁止将污水、垃圾和其 他施工机械的废油等污染物抛入水体，清淤船舶内各种 阀件和油路管中可能溢出的含油废水不可直接排放，含 油废水需收集到岸上进入隔油池进行预处理，处理后产 </w:t>
            </w:r>
            <w:r>
              <w:rPr>
                <w:color w:val="FF0000"/>
                <w:sz w:val="21"/>
              </w:rPr>
              <w:t>生的油污交由有资质的单位处置。</w:t>
            </w:r>
          </w:p>
          <w:p>
            <w:pPr>
              <w:pStyle w:val="TableParagraph"/>
              <w:numPr>
                <w:ilvl w:val="0"/>
                <w:numId w:val="21"/>
              </w:numPr>
              <w:tabs>
                <w:tab w:val="left" w:pos="324"/>
              </w:tabs>
              <w:spacing w:before="27" w:after="0" w:line="261" w:lineRule="auto"/>
              <w:ind w:left="112" w:right="115" w:firstLine="0"/>
              <w:jc w:val="both"/>
              <w:rPr>
                <w:sz w:val="21"/>
              </w:rPr>
            </w:pPr>
            <w:r>
              <w:rPr>
                <w:color w:val="FF0000"/>
                <w:w w:val="95"/>
                <w:sz w:val="21"/>
              </w:rPr>
              <w:t xml:space="preserve">生产生活污水管控。严格规范施工行为，及时维护和 修理施工机械，避免机油的跑冒滴漏，施工期车辆、设 备冲洗废水施工人员生活污水不可直接排放。需配建隔 油池、沉淀池、集水池等设施，就近接入污水管网进行 收集，送污水处理厂处理。淤泥堆场的尾水需经处理后 达标排放，尾水排口应设置在考核断面下游，避免对考 </w:t>
            </w:r>
            <w:r>
              <w:rPr>
                <w:color w:val="FF0000"/>
                <w:sz w:val="21"/>
              </w:rPr>
              <w:t>核监测带来不利影响。</w:t>
            </w:r>
          </w:p>
          <w:p>
            <w:pPr>
              <w:pStyle w:val="TableParagraph"/>
              <w:numPr>
                <w:ilvl w:val="0"/>
                <w:numId w:val="21"/>
              </w:numPr>
              <w:tabs>
                <w:tab w:val="left" w:pos="324"/>
              </w:tabs>
              <w:spacing w:before="27" w:after="0" w:line="261" w:lineRule="auto"/>
              <w:ind w:left="112" w:right="115" w:firstLine="0"/>
              <w:jc w:val="both"/>
              <w:rPr>
                <w:sz w:val="21"/>
              </w:rPr>
            </w:pPr>
            <w:r>
              <w:rPr>
                <w:color w:val="FF0000"/>
                <w:w w:val="95"/>
                <w:sz w:val="21"/>
              </w:rPr>
              <w:t xml:space="preserve">加强应急处置。建设足够容量的收集池，尤其在雨季 和汛期，对可能存在的漫溢风险，做好余水收集池的监 管，降低漫溢风险。清淤船作业中一旦发生工程事故， </w:t>
            </w:r>
            <w:r>
              <w:rPr>
                <w:color w:val="FF0000"/>
                <w:sz w:val="21"/>
              </w:rPr>
              <w:t>按照保障方案要求进行应急处置。</w:t>
            </w:r>
          </w:p>
          <w:p>
            <w:pPr>
              <w:pStyle w:val="TableParagraph"/>
              <w:numPr>
                <w:ilvl w:val="0"/>
                <w:numId w:val="21"/>
              </w:numPr>
              <w:tabs>
                <w:tab w:val="left" w:pos="324"/>
              </w:tabs>
              <w:spacing w:before="27" w:after="0" w:line="261" w:lineRule="auto"/>
              <w:ind w:left="112" w:right="115" w:firstLine="0"/>
              <w:jc w:val="both"/>
              <w:rPr>
                <w:sz w:val="21"/>
              </w:rPr>
            </w:pPr>
            <w:r>
              <w:rPr>
                <w:color w:val="FF0000"/>
                <w:w w:val="95"/>
                <w:sz w:val="21"/>
              </w:rPr>
              <w:t xml:space="preserve">加强水质监测监控。建设单位需科学制定企业自行监 测方案。按照有关要求在淤泥尾水排放点设置监控断面 或尾水自动监测，委托第三方有资质检测单位定期对水 质进行监测，及时研判施工过程对水体影响。如尾水出 现不达标的情况，立即停工，优化措施，确保减少对断 </w:t>
            </w:r>
            <w:r>
              <w:rPr>
                <w:color w:val="FF0000"/>
                <w:sz w:val="21"/>
              </w:rPr>
              <w:t>面水质的影响。</w:t>
            </w:r>
          </w:p>
          <w:p>
            <w:pPr>
              <w:pStyle w:val="TableParagraph"/>
              <w:numPr>
                <w:ilvl w:val="0"/>
                <w:numId w:val="21"/>
              </w:numPr>
              <w:tabs>
                <w:tab w:val="left" w:pos="324"/>
              </w:tabs>
              <w:spacing w:before="29" w:after="0" w:line="269" w:lineRule="exact"/>
              <w:ind w:left="323" w:right="0" w:hanging="212"/>
              <w:jc w:val="left"/>
              <w:rPr>
                <w:sz w:val="21"/>
              </w:rPr>
            </w:pPr>
            <w:r>
              <w:rPr>
                <w:color w:val="FF0000"/>
                <w:sz w:val="21"/>
              </w:rPr>
              <w:t>严禁干扰国省考断面监测的行为。施工单位和相关部</w:t>
            </w:r>
          </w:p>
        </w:tc>
        <w:tc>
          <w:tcPr>
            <w:tcW w:w="1980" w:type="dxa"/>
            <w:tcBorders>
              <w:top w:val="single" w:sz="4" w:space="0" w:color="000000"/>
              <w:left w:val="single" w:sz="4" w:space="0" w:color="000000"/>
              <w:bottom w:val="single" w:sz="18" w:space="0" w:color="000000"/>
            </w:tcBorders>
          </w:tcPr>
          <w:p>
            <w:pPr>
              <w:pStyle w:val="TableParagraph"/>
              <w:numPr>
                <w:ilvl w:val="0"/>
                <w:numId w:val="20"/>
              </w:numPr>
              <w:tabs>
                <w:tab w:val="left" w:pos="324"/>
              </w:tabs>
              <w:spacing w:before="53" w:after="0" w:line="261" w:lineRule="auto"/>
              <w:ind w:left="112" w:right="170" w:firstLine="0"/>
              <w:jc w:val="left"/>
              <w:rPr>
                <w:sz w:val="21"/>
              </w:rPr>
            </w:pPr>
            <w:r>
              <w:rPr>
                <w:color w:val="FF0000"/>
                <w:spacing w:val="-2"/>
                <w:sz w:val="21"/>
              </w:rPr>
              <w:t xml:space="preserve">本项目淤泥清出后由密闭车运出， </w:t>
            </w:r>
            <w:r>
              <w:rPr>
                <w:color w:val="FF0000"/>
                <w:sz w:val="21"/>
              </w:rPr>
              <w:t xml:space="preserve">外运至指定弃土 </w:t>
            </w:r>
            <w:r>
              <w:rPr>
                <w:color w:val="FF0000"/>
                <w:spacing w:val="-2"/>
                <w:sz w:val="21"/>
              </w:rPr>
              <w:t>场，淤泥采用汽运方式，运输环节均全程封闭。并对淤泥堆场进行防渗、防漏防雨处置。以减少淤泥对周边环</w:t>
            </w:r>
            <w:r>
              <w:rPr>
                <w:color w:val="FF0000"/>
                <w:sz w:val="21"/>
              </w:rPr>
              <w:t>境的影响。</w:t>
            </w:r>
          </w:p>
          <w:p>
            <w:pPr>
              <w:pStyle w:val="TableParagraph"/>
              <w:numPr>
                <w:ilvl w:val="0"/>
                <w:numId w:val="20"/>
              </w:numPr>
              <w:tabs>
                <w:tab w:val="left" w:pos="324"/>
              </w:tabs>
              <w:spacing w:before="32" w:after="0" w:line="261" w:lineRule="auto"/>
              <w:ind w:left="112" w:right="170" w:firstLine="0"/>
              <w:jc w:val="both"/>
              <w:rPr>
                <w:sz w:val="21"/>
              </w:rPr>
            </w:pPr>
            <w:r>
              <w:rPr>
                <w:color w:val="FF0000"/>
                <w:spacing w:val="-2"/>
                <w:sz w:val="21"/>
              </w:rPr>
              <w:t>本项目施工过程中禁止将污水、垃圾和其他施工机械的废油等污染物抛入水体，本项目设置隔油池及沉淀池等进行污水预处理处理后产生的油污交由有资质的单位</w:t>
            </w:r>
            <w:r>
              <w:rPr>
                <w:color w:val="FF0000"/>
                <w:sz w:val="21"/>
              </w:rPr>
              <w:t>处置。</w:t>
            </w:r>
          </w:p>
          <w:p>
            <w:pPr>
              <w:pStyle w:val="TableParagraph"/>
              <w:spacing w:before="29" w:line="261" w:lineRule="auto"/>
              <w:ind w:left="112" w:right="105"/>
              <w:rPr>
                <w:sz w:val="21"/>
              </w:rPr>
            </w:pPr>
            <w:r>
              <w:rPr>
                <w:color w:val="FF0000"/>
                <w:sz w:val="21"/>
              </w:rPr>
              <w:t>3</w:t>
            </w:r>
            <w:r>
              <w:rPr>
                <w:color w:val="FF0000"/>
                <w:spacing w:val="-8"/>
                <w:sz w:val="21"/>
              </w:rPr>
              <w:t>、本项目施工过程</w:t>
            </w:r>
            <w:r>
              <w:rPr>
                <w:color w:val="FF0000"/>
                <w:sz w:val="21"/>
              </w:rPr>
              <w:t>中应严格规范施工行为，及时维护和修理施工机械，避免机油的跑冒滴 漏，项目配套隔油池、沉淀池等设施用于生产废水的处理，项目生活污水处理依托于周边农户化粪池。淤泥堆场的尾水经处理后</w:t>
            </w:r>
          </w:p>
        </w:tc>
      </w:tr>
    </w:tbl>
    <w:p>
      <w:pPr>
        <w:spacing w:after="0" w:line="261" w:lineRule="auto"/>
        <w:rPr>
          <w:sz w:val="21"/>
        </w:rPr>
        <w:sectPr>
          <w:headerReference w:type="default" r:id="rId40"/>
          <w:footerReference w:type="default" r:id="rId41"/>
          <w:pgSz w:w="11910" w:h="16840"/>
          <w:pgMar w:top="1340" w:right="1120" w:bottom="1160" w:left="1220" w:header="891" w:footer="969"/>
          <w:pgNumType w:start="18"/>
          <w:cols w:space="708"/>
        </w:sectPr>
      </w:pPr>
    </w:p>
    <w:p>
      <w:pPr>
        <w:pStyle w:val="BodyText"/>
        <w:rPr>
          <w:rFonts w:ascii="Times New Roman"/>
          <w:sz w:val="20"/>
        </w:rPr>
      </w:pPr>
    </w:p>
    <w:p>
      <w:pPr>
        <w:pStyle w:val="BodyText"/>
        <w:spacing w:before="11"/>
        <w:rPr>
          <w:rFonts w:ascii="Times New Roman"/>
          <w:sz w:val="10"/>
        </w:rPr>
      </w:pPr>
    </w:p>
    <w:tbl>
      <w:tblPr>
        <w:tblStyle w:val="TableNormal15"/>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737"/>
        <w:gridCol w:w="4214"/>
        <w:gridCol w:w="1064"/>
        <w:gridCol w:w="1980"/>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366"/>
          <w:jc w:val="left"/>
        </w:trPr>
        <w:tc>
          <w:tcPr>
            <w:tcW w:w="1044" w:type="dxa"/>
            <w:vMerge w:val="restart"/>
            <w:tcBorders>
              <w:right w:val="single" w:sz="4" w:space="0" w:color="000000"/>
            </w:tcBorders>
          </w:tcPr>
          <w:p>
            <w:pPr>
              <w:pStyle w:val="TableParagraph"/>
              <w:rPr>
                <w:rFonts w:ascii="Times New Roman"/>
                <w:sz w:val="20"/>
              </w:rPr>
            </w:pPr>
          </w:p>
        </w:tc>
        <w:tc>
          <w:tcPr>
            <w:tcW w:w="737"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278" w:type="dxa"/>
            <w:gridSpan w:val="2"/>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112"/>
              <w:rPr>
                <w:sz w:val="21"/>
              </w:rPr>
            </w:pPr>
            <w:r>
              <w:rPr>
                <w:color w:val="FF0000"/>
                <w:w w:val="95"/>
                <w:sz w:val="21"/>
              </w:rPr>
              <w:t>门要严格落实《省生态环境厅关于进一步明确生态环境</w:t>
            </w:r>
          </w:p>
          <w:p>
            <w:pPr>
              <w:pStyle w:val="TableParagraph"/>
              <w:spacing w:before="23" w:line="264" w:lineRule="auto"/>
              <w:ind w:left="112" w:right="115"/>
              <w:rPr>
                <w:sz w:val="21"/>
              </w:rPr>
            </w:pPr>
            <w:r>
              <w:rPr>
                <w:color w:val="FF0000"/>
                <w:w w:val="95"/>
                <w:sz w:val="21"/>
              </w:rPr>
              <w:t xml:space="preserve">监测设施保护范围的通知》要求，在河流型站点的采水 </w:t>
            </w:r>
            <w:r>
              <w:rPr>
                <w:color w:val="FF0000"/>
                <w:spacing w:val="-4"/>
                <w:sz w:val="21"/>
              </w:rPr>
              <w:t xml:space="preserve">口周边区域覆盖站点采水口上、下游 </w:t>
            </w:r>
            <w:r>
              <w:rPr>
                <w:color w:val="FF0000"/>
                <w:sz w:val="21"/>
              </w:rPr>
              <w:t>1</w:t>
            </w:r>
            <w:r>
              <w:rPr>
                <w:color w:val="FF0000"/>
                <w:spacing w:val="-9"/>
                <w:sz w:val="21"/>
              </w:rPr>
              <w:t xml:space="preserve"> 公里范围以及湖</w:t>
            </w:r>
          </w:p>
          <w:p>
            <w:pPr>
              <w:pStyle w:val="TableParagraph"/>
              <w:spacing w:line="261" w:lineRule="auto"/>
              <w:ind w:left="112" w:right="-15"/>
              <w:rPr>
                <w:sz w:val="21"/>
              </w:rPr>
            </w:pPr>
            <w:r>
              <w:rPr>
                <w:color w:val="FF0000"/>
                <w:spacing w:val="-3"/>
                <w:sz w:val="21"/>
              </w:rPr>
              <w:t xml:space="preserve">库型站点的采水口周边区域覆盖站点采水口 </w:t>
            </w:r>
            <w:r>
              <w:rPr>
                <w:color w:val="FF0000"/>
                <w:sz w:val="21"/>
              </w:rPr>
              <w:t>500</w:t>
            </w:r>
            <w:r>
              <w:rPr>
                <w:color w:val="FF0000"/>
                <w:spacing w:val="-15"/>
                <w:sz w:val="21"/>
              </w:rPr>
              <w:t xml:space="preserve"> 米半径水域，严禁对采水环境实施人为干扰，造成河流改道或断流或故意绕开站点采水口，导致站点失去污染监控作用等违法违规行为。杜绝出现《环境监测数据弄虚作假行为判定及处理办法》和《国家采测分离管理办法》等文件中禁止的违法违规行为。如确因突发性事件影响监</w:t>
            </w:r>
            <w:r>
              <w:rPr>
                <w:color w:val="FF0000"/>
                <w:spacing w:val="-17"/>
                <w:w w:val="95"/>
                <w:sz w:val="21"/>
              </w:rPr>
              <w:t xml:space="preserve">测条件需暂停或替代断面监测的，要及时履行相关报批、 </w:t>
            </w:r>
            <w:r>
              <w:rPr>
                <w:color w:val="FF0000"/>
                <w:spacing w:val="-17"/>
                <w:sz w:val="21"/>
              </w:rPr>
              <w:t>备案、审批等手续。</w:t>
            </w:r>
          </w:p>
        </w:tc>
        <w:tc>
          <w:tcPr>
            <w:tcW w:w="1980" w:type="dxa"/>
            <w:tcBorders>
              <w:top w:val="thinThickMediumGap" w:sz="6" w:space="0" w:color="000000"/>
              <w:left w:val="single" w:sz="4" w:space="0" w:color="000000"/>
              <w:bottom w:val="single" w:sz="4" w:space="0" w:color="000000"/>
            </w:tcBorders>
          </w:tcPr>
          <w:p>
            <w:pPr>
              <w:pStyle w:val="TableParagraph"/>
              <w:spacing w:line="256" w:lineRule="exact"/>
              <w:ind w:left="112"/>
              <w:rPr>
                <w:sz w:val="21"/>
              </w:rPr>
            </w:pPr>
            <w:r>
              <w:rPr>
                <w:color w:val="FF0000"/>
                <w:sz w:val="21"/>
              </w:rPr>
              <w:t>达标排放。</w:t>
            </w:r>
          </w:p>
          <w:p>
            <w:pPr>
              <w:pStyle w:val="TableParagraph"/>
              <w:spacing w:before="47" w:line="261" w:lineRule="auto"/>
              <w:ind w:left="112" w:right="105"/>
              <w:jc w:val="both"/>
              <w:rPr>
                <w:sz w:val="21"/>
              </w:rPr>
            </w:pPr>
            <w:r>
              <w:rPr>
                <w:color w:val="FF0000"/>
                <w:sz w:val="21"/>
              </w:rPr>
              <w:t>4</w:t>
            </w:r>
            <w:r>
              <w:rPr>
                <w:color w:val="FF0000"/>
                <w:spacing w:val="-8"/>
                <w:sz w:val="21"/>
              </w:rPr>
              <w:t>、本项目建设收集</w:t>
            </w:r>
            <w:r>
              <w:rPr>
                <w:color w:val="FF0000"/>
                <w:sz w:val="21"/>
              </w:rPr>
              <w:t>池，用于雨季雨水收集。</w:t>
            </w:r>
          </w:p>
          <w:p>
            <w:pPr>
              <w:pStyle w:val="TableParagraph"/>
              <w:spacing w:before="28" w:line="261" w:lineRule="auto"/>
              <w:ind w:left="112" w:right="2"/>
              <w:rPr>
                <w:sz w:val="21"/>
              </w:rPr>
            </w:pPr>
            <w:r>
              <w:rPr>
                <w:color w:val="FF0000"/>
                <w:sz w:val="21"/>
              </w:rPr>
              <w:t>5</w:t>
            </w:r>
            <w:r>
              <w:rPr>
                <w:color w:val="FF0000"/>
                <w:spacing w:val="-7"/>
                <w:sz w:val="21"/>
              </w:rPr>
              <w:t>、本项目施工全过程均委托第三方有资质检测单位定期对水质进行监测。如尾水出现不达标</w:t>
            </w:r>
            <w:r>
              <w:rPr>
                <w:color w:val="FF0000"/>
                <w:spacing w:val="-10"/>
                <w:sz w:val="21"/>
              </w:rPr>
              <w:t xml:space="preserve">的情况，立即停工， </w:t>
            </w:r>
            <w:r>
              <w:rPr>
                <w:color w:val="FF0000"/>
                <w:sz w:val="21"/>
              </w:rPr>
              <w:t>优化措施，确保减少对断面水质的影响。</w:t>
            </w:r>
          </w:p>
          <w:p>
            <w:pPr>
              <w:pStyle w:val="TableParagraph"/>
              <w:spacing w:before="29" w:line="261" w:lineRule="auto"/>
              <w:ind w:left="112" w:right="105"/>
              <w:jc w:val="both"/>
              <w:rPr>
                <w:sz w:val="21"/>
              </w:rPr>
            </w:pPr>
            <w:r>
              <w:rPr>
                <w:rFonts w:ascii="Times New Roman" w:eastAsia="Times New Roman"/>
                <w:color w:val="FF0000"/>
                <w:sz w:val="21"/>
              </w:rPr>
              <w:t>6</w:t>
            </w:r>
            <w:r>
              <w:rPr>
                <w:color w:val="FF0000"/>
                <w:spacing w:val="-8"/>
                <w:sz w:val="21"/>
              </w:rPr>
              <w:t>、本项目施工过程</w:t>
            </w:r>
            <w:r>
              <w:rPr>
                <w:color w:val="FF0000"/>
                <w:sz w:val="21"/>
              </w:rPr>
              <w:t>使用临时围挡，断绝与通榆河的水力联系，符合文件要求。</w:t>
            </w:r>
          </w:p>
        </w:tc>
      </w:tr>
      <w:tr>
        <w:tblPrEx>
          <w:tblW w:w="0" w:type="auto"/>
          <w:jc w:val="left"/>
          <w:tblInd w:w="321" w:type="dxa"/>
          <w:tblLayout w:type="fixed"/>
          <w:tblCellMar>
            <w:top w:w="0" w:type="dxa"/>
            <w:left w:w="0" w:type="dxa"/>
            <w:bottom w:w="0" w:type="dxa"/>
            <w:right w:w="0" w:type="dxa"/>
          </w:tblCellMar>
          <w:tblLook w:val="01E0"/>
        </w:tblPrEx>
        <w:trPr>
          <w:trHeight w:val="4181"/>
          <w:jc w:val="left"/>
        </w:trPr>
        <w:tc>
          <w:tcPr>
            <w:tcW w:w="1044" w:type="dxa"/>
            <w:vMerge/>
            <w:tcBorders>
              <w:top w:val="nil"/>
              <w:right w:val="single" w:sz="4" w:space="0" w:color="000000"/>
            </w:tcBorders>
          </w:tcPr>
          <w:p>
            <w:pPr>
              <w:rPr>
                <w:sz w:val="2"/>
                <w:szCs w:val="2"/>
              </w:rPr>
            </w:pPr>
          </w:p>
        </w:tc>
        <w:tc>
          <w:tcPr>
            <w:tcW w:w="737"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4"/>
              </w:rPr>
            </w:pPr>
          </w:p>
          <w:p>
            <w:pPr>
              <w:pStyle w:val="TableParagraph"/>
              <w:spacing w:before="1" w:line="261" w:lineRule="auto"/>
              <w:ind w:left="172" w:right="134"/>
              <w:jc w:val="both"/>
              <w:rPr>
                <w:sz w:val="21"/>
              </w:rPr>
            </w:pPr>
            <w:r>
              <w:rPr>
                <w:color w:val="FF0000"/>
                <w:sz w:val="21"/>
              </w:rPr>
              <w:t>三、规范淤泥临时堆场管理</w:t>
            </w:r>
          </w:p>
        </w:tc>
        <w:tc>
          <w:tcPr>
            <w:tcW w:w="5278" w:type="dxa"/>
            <w:gridSpan w:val="2"/>
            <w:tcBorders>
              <w:top w:val="single" w:sz="4" w:space="0" w:color="000000"/>
              <w:left w:val="single" w:sz="4" w:space="0" w:color="000000"/>
              <w:bottom w:val="single" w:sz="12" w:space="0" w:color="000000"/>
              <w:right w:val="single" w:sz="4" w:space="0" w:color="000000"/>
            </w:tcBorders>
          </w:tcPr>
          <w:p>
            <w:pPr>
              <w:pStyle w:val="TableParagraph"/>
              <w:numPr>
                <w:ilvl w:val="0"/>
                <w:numId w:val="19"/>
              </w:numPr>
              <w:tabs>
                <w:tab w:val="left" w:pos="324"/>
              </w:tabs>
              <w:spacing w:before="21" w:after="0" w:line="261" w:lineRule="auto"/>
              <w:ind w:left="112" w:right="115" w:firstLine="0"/>
              <w:jc w:val="both"/>
              <w:rPr>
                <w:sz w:val="21"/>
              </w:rPr>
            </w:pPr>
            <w:r>
              <w:rPr>
                <w:color w:val="FF0000"/>
                <w:w w:val="95"/>
                <w:sz w:val="21"/>
              </w:rPr>
              <w:t xml:space="preserve">严格规范淤泥堆场设置。淤泥堆场应尽量设置于考核 断面下游，若河道往复流频繁的原则上清淤堆场应设置 </w:t>
            </w:r>
            <w:r>
              <w:rPr>
                <w:color w:val="FF0000"/>
                <w:spacing w:val="-10"/>
                <w:sz w:val="21"/>
              </w:rPr>
              <w:t xml:space="preserve">在考核断面 </w:t>
            </w:r>
            <w:r>
              <w:rPr>
                <w:color w:val="FF0000"/>
                <w:sz w:val="21"/>
              </w:rPr>
              <w:t>1</w:t>
            </w:r>
            <w:r>
              <w:rPr>
                <w:color w:val="FF0000"/>
                <w:spacing w:val="-8"/>
                <w:sz w:val="21"/>
              </w:rPr>
              <w:t xml:space="preserve"> 公里范围以外。干化淤泥等堆放应远离水</w:t>
            </w:r>
            <w:r>
              <w:rPr>
                <w:color w:val="FF0000"/>
                <w:spacing w:val="-8"/>
                <w:w w:val="95"/>
                <w:sz w:val="21"/>
              </w:rPr>
              <w:t xml:space="preserve">体，应在场地四周设置围挡，必要时进行加高加固，同 时应备有防雨遮雨等设施，避免淤泥受雨水冲刷后随地 </w:t>
            </w:r>
            <w:r>
              <w:rPr>
                <w:color w:val="FF0000"/>
                <w:spacing w:val="-8"/>
                <w:sz w:val="21"/>
              </w:rPr>
              <w:t>表径流进入附近水体。</w:t>
            </w:r>
          </w:p>
          <w:p>
            <w:pPr>
              <w:pStyle w:val="TableParagraph"/>
              <w:numPr>
                <w:ilvl w:val="0"/>
                <w:numId w:val="19"/>
              </w:numPr>
              <w:tabs>
                <w:tab w:val="left" w:pos="324"/>
              </w:tabs>
              <w:spacing w:before="26" w:after="0" w:line="240" w:lineRule="auto"/>
              <w:ind w:left="323" w:right="0" w:hanging="212"/>
              <w:jc w:val="left"/>
              <w:rPr>
                <w:sz w:val="21"/>
              </w:rPr>
            </w:pPr>
            <w:r>
              <w:rPr>
                <w:color w:val="FF0000"/>
                <w:sz w:val="21"/>
              </w:rPr>
              <w:t>严格规范淤泥管理程序。根据《固体废物鉴别导则》</w:t>
            </w:r>
          </w:p>
          <w:p>
            <w:pPr>
              <w:pStyle w:val="TableParagraph"/>
              <w:spacing w:before="26" w:line="261" w:lineRule="auto"/>
              <w:ind w:left="112" w:right="115"/>
              <w:rPr>
                <w:sz w:val="21"/>
              </w:rPr>
            </w:pPr>
            <w:r>
              <w:rPr>
                <w:color w:val="FF0000"/>
                <w:sz w:val="21"/>
              </w:rPr>
              <w:t xml:space="preserve">《土壤环境质量建设用地土壤污染风险管控标准（试 </w:t>
            </w:r>
            <w:r>
              <w:rPr>
                <w:color w:val="FF0000"/>
                <w:w w:val="95"/>
                <w:sz w:val="21"/>
              </w:rPr>
              <w:t>行）》和《土壤环境质量农用地土壤污染风险管控标准</w:t>
            </w:r>
          </w:p>
          <w:p>
            <w:pPr>
              <w:pStyle w:val="TableParagraph"/>
              <w:spacing w:before="1" w:line="261" w:lineRule="auto"/>
              <w:ind w:left="112" w:right="-15"/>
              <w:rPr>
                <w:sz w:val="21"/>
              </w:rPr>
            </w:pPr>
            <w:r>
              <w:rPr>
                <w:color w:val="FF0000"/>
                <w:sz w:val="21"/>
              </w:rPr>
              <w:t>（试行）》中风险筛选值和管制值的要求，对淤泥进行</w:t>
            </w:r>
            <w:r>
              <w:rPr>
                <w:color w:val="FF0000"/>
                <w:spacing w:val="-9"/>
                <w:w w:val="95"/>
                <w:sz w:val="21"/>
              </w:rPr>
              <w:t xml:space="preserve">鉴定和监测，如不能满足淤泥去向对应的风险管控标准， </w:t>
            </w:r>
            <w:r>
              <w:rPr>
                <w:color w:val="FF0000"/>
                <w:spacing w:val="-9"/>
                <w:sz w:val="21"/>
              </w:rPr>
              <w:t>应合理利用、妥善处置；属于危险废物的，及时送交资质单位处置，不得用于农用地填埋，避免对土壤造成二次污染。</w:t>
            </w:r>
          </w:p>
        </w:tc>
        <w:tc>
          <w:tcPr>
            <w:tcW w:w="1980" w:type="dxa"/>
            <w:tcBorders>
              <w:top w:val="single" w:sz="4" w:space="0" w:color="000000"/>
              <w:left w:val="single" w:sz="4" w:space="0" w:color="000000"/>
              <w:bottom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spacing w:before="159" w:line="261" w:lineRule="auto"/>
              <w:ind w:left="112" w:right="2"/>
              <w:rPr>
                <w:sz w:val="21"/>
              </w:rPr>
            </w:pPr>
            <w:r>
              <w:rPr>
                <w:color w:val="FF0000"/>
                <w:sz w:val="21"/>
              </w:rPr>
              <w:t xml:space="preserve">本项目利用现有蟹塘进行排泥工作， 排泥场距离通榆河 </w:t>
            </w:r>
            <w:r>
              <w:rPr>
                <w:rFonts w:ascii="Times New Roman" w:eastAsia="Times New Roman"/>
                <w:color w:val="FF0000"/>
                <w:sz w:val="21"/>
              </w:rPr>
              <w:t>1</w:t>
            </w:r>
            <w:r>
              <w:rPr>
                <w:rFonts w:ascii="Times New Roman" w:eastAsia="Times New Roman"/>
                <w:color w:val="FF0000"/>
                <w:spacing w:val="-1"/>
                <w:sz w:val="21"/>
              </w:rPr>
              <w:t xml:space="preserve"> </w:t>
            </w:r>
            <w:r>
              <w:rPr>
                <w:color w:val="FF0000"/>
                <w:spacing w:val="-13"/>
                <w:sz w:val="21"/>
              </w:rPr>
              <w:t>公里以外。清理的淤泥需进行危废鉴</w:t>
            </w:r>
            <w:r>
              <w:rPr>
                <w:color w:val="FF0000"/>
                <w:spacing w:val="-9"/>
                <w:sz w:val="21"/>
              </w:rPr>
              <w:t xml:space="preserve">别，如属于危废，， </w:t>
            </w:r>
            <w:r>
              <w:rPr>
                <w:color w:val="FF0000"/>
                <w:sz w:val="21"/>
              </w:rPr>
              <w:t>及时送交资质单位处置，以减少淤泥对周边环境的影</w:t>
            </w:r>
          </w:p>
          <w:p>
            <w:pPr>
              <w:pStyle w:val="TableParagraph"/>
              <w:spacing w:before="5"/>
              <w:ind w:left="112"/>
              <w:rPr>
                <w:sz w:val="21"/>
              </w:rPr>
            </w:pPr>
            <w:r>
              <w:rPr>
                <w:color w:val="FF0000"/>
                <w:spacing w:val="-8"/>
                <w:sz w:val="21"/>
              </w:rPr>
              <w:t>响。符合文件要求。</w:t>
            </w:r>
          </w:p>
        </w:tc>
      </w:tr>
      <w:tr>
        <w:tblPrEx>
          <w:tblW w:w="0" w:type="auto"/>
          <w:jc w:val="left"/>
          <w:tblInd w:w="321" w:type="dxa"/>
          <w:tblLayout w:type="fixed"/>
          <w:tblCellMar>
            <w:top w:w="0" w:type="dxa"/>
            <w:left w:w="0" w:type="dxa"/>
            <w:bottom w:w="0" w:type="dxa"/>
            <w:right w:w="0" w:type="dxa"/>
          </w:tblCellMar>
          <w:tblLook w:val="01E0"/>
        </w:tblPrEx>
        <w:trPr>
          <w:trHeight w:val="1555"/>
          <w:jc w:val="left"/>
        </w:trPr>
        <w:tc>
          <w:tcPr>
            <w:tcW w:w="1044" w:type="dxa"/>
            <w:vMerge/>
            <w:tcBorders>
              <w:top w:val="nil"/>
              <w:right w:val="single" w:sz="4" w:space="0" w:color="000000"/>
            </w:tcBorders>
          </w:tcPr>
          <w:p>
            <w:pPr>
              <w:rPr>
                <w:sz w:val="2"/>
                <w:szCs w:val="2"/>
              </w:rPr>
            </w:pPr>
          </w:p>
        </w:tc>
        <w:tc>
          <w:tcPr>
            <w:tcW w:w="7995" w:type="dxa"/>
            <w:gridSpan w:val="4"/>
            <w:tcBorders>
              <w:top w:val="single" w:sz="12" w:space="0" w:color="000000"/>
              <w:left w:val="single" w:sz="4" w:space="0" w:color="000000"/>
              <w:bottom w:val="single" w:sz="12" w:space="0" w:color="000000"/>
            </w:tcBorders>
          </w:tcPr>
          <w:p>
            <w:pPr>
              <w:pStyle w:val="TableParagraph"/>
              <w:spacing w:before="1" w:line="364" w:lineRule="auto"/>
              <w:ind w:left="21" w:right="-15" w:firstLine="480"/>
              <w:rPr>
                <w:b/>
                <w:sz w:val="24"/>
              </w:rPr>
            </w:pPr>
            <w:r>
              <w:rPr>
                <w:b/>
                <w:color w:val="FF0000"/>
                <w:sz w:val="24"/>
              </w:rPr>
              <w:t>5</w:t>
            </w:r>
            <w:r>
              <w:rPr>
                <w:b/>
                <w:color w:val="FF0000"/>
                <w:spacing w:val="-9"/>
                <w:sz w:val="24"/>
              </w:rPr>
              <w:t>、本项目与《水利建设项目</w:t>
            </w:r>
            <w:r>
              <w:rPr>
                <w:b/>
                <w:color w:val="FF0000"/>
                <w:sz w:val="24"/>
              </w:rPr>
              <w:t>（河湖整治与防洪除涝工程</w:t>
            </w:r>
            <w:r>
              <w:rPr>
                <w:b/>
                <w:color w:val="FF0000"/>
                <w:spacing w:val="-34"/>
                <w:sz w:val="24"/>
              </w:rPr>
              <w:t>）</w:t>
            </w:r>
            <w:r>
              <w:rPr>
                <w:b/>
                <w:color w:val="FF0000"/>
                <w:sz w:val="24"/>
              </w:rPr>
              <w:t>环境影响评价文件审批原则（实行</w:t>
            </w:r>
            <w:r>
              <w:rPr>
                <w:b/>
                <w:color w:val="FF0000"/>
                <w:spacing w:val="-3"/>
                <w:sz w:val="24"/>
              </w:rPr>
              <w:t>）</w:t>
            </w:r>
            <w:r>
              <w:rPr>
                <w:b/>
                <w:color w:val="FF0000"/>
                <w:sz w:val="24"/>
              </w:rPr>
              <w:t>》相符性</w:t>
            </w:r>
          </w:p>
          <w:p>
            <w:pPr>
              <w:pStyle w:val="TableParagraph"/>
              <w:spacing w:line="306" w:lineRule="exact"/>
              <w:ind w:left="27" w:right="4"/>
              <w:jc w:val="center"/>
              <w:rPr>
                <w:b/>
                <w:sz w:val="24"/>
              </w:rPr>
            </w:pPr>
            <w:r>
              <w:rPr>
                <w:b/>
                <w:color w:val="FF0000"/>
                <w:spacing w:val="-33"/>
                <w:sz w:val="24"/>
              </w:rPr>
              <w:t xml:space="preserve">表 </w:t>
            </w:r>
            <w:r>
              <w:rPr>
                <w:b/>
                <w:color w:val="FF0000"/>
                <w:sz w:val="24"/>
              </w:rPr>
              <w:t>1-9</w:t>
            </w:r>
            <w:r>
              <w:rPr>
                <w:b/>
                <w:color w:val="FF0000"/>
                <w:spacing w:val="-9"/>
                <w:sz w:val="24"/>
              </w:rPr>
              <w:t xml:space="preserve"> 项目与《水利建设项目</w:t>
            </w:r>
            <w:r>
              <w:rPr>
                <w:b/>
                <w:color w:val="FF0000"/>
                <w:sz w:val="24"/>
              </w:rPr>
              <w:t>（河湖整治与防洪除涝工程）环境影响评价文</w:t>
            </w:r>
          </w:p>
          <w:p>
            <w:pPr>
              <w:pStyle w:val="TableParagraph"/>
              <w:spacing w:before="4" w:line="289" w:lineRule="exact"/>
              <w:ind w:left="25" w:right="4"/>
              <w:jc w:val="center"/>
              <w:rPr>
                <w:b/>
                <w:sz w:val="24"/>
              </w:rPr>
            </w:pPr>
            <w:r>
              <w:rPr>
                <w:b/>
                <w:color w:val="FF0000"/>
                <w:sz w:val="24"/>
              </w:rPr>
              <w:t>件审批原则（实行）》相符性分析</w:t>
            </w:r>
          </w:p>
        </w:tc>
      </w:tr>
      <w:tr>
        <w:tblPrEx>
          <w:tblW w:w="0" w:type="auto"/>
          <w:jc w:val="left"/>
          <w:tblInd w:w="321" w:type="dxa"/>
          <w:tblLayout w:type="fixed"/>
          <w:tblCellMar>
            <w:top w:w="0" w:type="dxa"/>
            <w:left w:w="0" w:type="dxa"/>
            <w:bottom w:w="0" w:type="dxa"/>
            <w:right w:w="0" w:type="dxa"/>
          </w:tblCellMar>
          <w:tblLook w:val="01E0"/>
        </w:tblPrEx>
        <w:trPr>
          <w:trHeight w:val="337"/>
          <w:jc w:val="left"/>
        </w:trPr>
        <w:tc>
          <w:tcPr>
            <w:tcW w:w="1044" w:type="dxa"/>
            <w:vMerge/>
            <w:tcBorders>
              <w:top w:val="nil"/>
              <w:right w:val="single" w:sz="4" w:space="0" w:color="000000"/>
            </w:tcBorders>
          </w:tcPr>
          <w:p>
            <w:pPr>
              <w:rPr>
                <w:sz w:val="2"/>
                <w:szCs w:val="2"/>
              </w:rPr>
            </w:pPr>
          </w:p>
        </w:tc>
        <w:tc>
          <w:tcPr>
            <w:tcW w:w="4951"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24"/>
              <w:ind w:left="2045" w:right="2011"/>
              <w:jc w:val="center"/>
              <w:rPr>
                <w:b/>
                <w:sz w:val="21"/>
              </w:rPr>
            </w:pPr>
            <w:r>
              <w:rPr>
                <w:b/>
                <w:color w:val="FF0000"/>
                <w:sz w:val="21"/>
              </w:rPr>
              <w:t>具体要求</w:t>
            </w:r>
          </w:p>
        </w:tc>
        <w:tc>
          <w:tcPr>
            <w:tcW w:w="3044" w:type="dxa"/>
            <w:gridSpan w:val="2"/>
            <w:tcBorders>
              <w:top w:val="single" w:sz="12" w:space="0" w:color="000000"/>
              <w:left w:val="single" w:sz="4" w:space="0" w:color="000000"/>
              <w:bottom w:val="single" w:sz="4" w:space="0" w:color="000000"/>
            </w:tcBorders>
          </w:tcPr>
          <w:p>
            <w:pPr>
              <w:pStyle w:val="TableParagraph"/>
              <w:spacing w:before="24"/>
              <w:ind w:left="991"/>
              <w:rPr>
                <w:b/>
                <w:sz w:val="21"/>
              </w:rPr>
            </w:pPr>
            <w:r>
              <w:rPr>
                <w:b/>
                <w:color w:val="FF0000"/>
                <w:sz w:val="21"/>
              </w:rPr>
              <w:t>符合性说明</w:t>
            </w:r>
          </w:p>
        </w:tc>
      </w:tr>
      <w:tr>
        <w:tblPrEx>
          <w:tblW w:w="0" w:type="auto"/>
          <w:jc w:val="left"/>
          <w:tblInd w:w="321" w:type="dxa"/>
          <w:tblLayout w:type="fixed"/>
          <w:tblCellMar>
            <w:top w:w="0" w:type="dxa"/>
            <w:left w:w="0" w:type="dxa"/>
            <w:bottom w:w="0" w:type="dxa"/>
            <w:right w:w="0" w:type="dxa"/>
          </w:tblCellMar>
          <w:tblLook w:val="01E0"/>
        </w:tblPrEx>
        <w:trPr>
          <w:trHeight w:val="1778"/>
          <w:jc w:val="left"/>
        </w:trPr>
        <w:tc>
          <w:tcPr>
            <w:tcW w:w="1044" w:type="dxa"/>
            <w:vMerge/>
            <w:tcBorders>
              <w:top w:val="nil"/>
              <w:right w:val="single" w:sz="4" w:space="0" w:color="000000"/>
            </w:tcBorders>
          </w:tcPr>
          <w:p>
            <w:pPr>
              <w:rPr>
                <w:sz w:val="2"/>
                <w:szCs w:val="2"/>
              </w:rPr>
            </w:pPr>
          </w:p>
        </w:tc>
        <w:tc>
          <w:tcPr>
            <w:tcW w:w="4951" w:type="dxa"/>
            <w:gridSpan w:val="2"/>
            <w:tcBorders>
              <w:top w:val="single" w:sz="4" w:space="0" w:color="000000"/>
              <w:left w:val="single" w:sz="4" w:space="0" w:color="000000"/>
              <w:bottom w:val="single" w:sz="18" w:space="0" w:color="000000"/>
              <w:right w:val="single" w:sz="4" w:space="0" w:color="000000"/>
            </w:tcBorders>
          </w:tcPr>
          <w:p>
            <w:pPr>
              <w:pStyle w:val="TableParagraph"/>
              <w:spacing w:before="19" w:line="261" w:lineRule="auto"/>
              <w:ind w:left="129" w:right="191"/>
              <w:jc w:val="both"/>
              <w:rPr>
                <w:sz w:val="21"/>
              </w:rPr>
            </w:pPr>
            <w:r>
              <w:rPr>
                <w:color w:val="FF0000"/>
                <w:w w:val="95"/>
                <w:sz w:val="21"/>
              </w:rPr>
              <w:t>项目符合环境保护相关法律法规和政策要求，与主 体功能区规划、生态功能区划、水环境功能区划、 水功能区划、生态环境保护规划、流域综合规划、 防洪规划等相协调，满足相关规划环评要求。工程 涉及岸线调整（治导线变化）、裁弯取直、围垦水</w:t>
            </w:r>
          </w:p>
          <w:p>
            <w:pPr>
              <w:pStyle w:val="TableParagraph"/>
              <w:spacing w:before="3"/>
              <w:ind w:left="129"/>
              <w:rPr>
                <w:sz w:val="21"/>
              </w:rPr>
            </w:pPr>
            <w:r>
              <w:rPr>
                <w:color w:val="FF0000"/>
                <w:w w:val="95"/>
                <w:sz w:val="21"/>
              </w:rPr>
              <w:t>面和占用河湖滩地等建设内容的，充分论证了方案</w:t>
            </w:r>
          </w:p>
        </w:tc>
        <w:tc>
          <w:tcPr>
            <w:tcW w:w="3044" w:type="dxa"/>
            <w:gridSpan w:val="2"/>
            <w:tcBorders>
              <w:top w:val="single" w:sz="4" w:space="0" w:color="000000"/>
              <w:left w:val="single" w:sz="4" w:space="0" w:color="000000"/>
              <w:bottom w:val="single" w:sz="18" w:space="0" w:color="000000"/>
            </w:tcBorders>
          </w:tcPr>
          <w:p>
            <w:pPr>
              <w:pStyle w:val="TableParagraph"/>
              <w:spacing w:before="19" w:line="261" w:lineRule="auto"/>
              <w:ind w:left="113" w:right="105"/>
              <w:rPr>
                <w:sz w:val="21"/>
              </w:rPr>
            </w:pPr>
            <w:r>
              <w:rPr>
                <w:color w:val="FF0000"/>
                <w:sz w:val="21"/>
              </w:rPr>
              <w:t>本项目符合《淮河流域综合规</w:t>
            </w:r>
            <w:r>
              <w:rPr>
                <w:color w:val="FF0000"/>
                <w:spacing w:val="-6"/>
                <w:w w:val="95"/>
                <w:sz w:val="21"/>
              </w:rPr>
              <w:t>划</w:t>
            </w:r>
            <w:r>
              <w:rPr>
                <w:color w:val="FF0000"/>
                <w:w w:val="95"/>
                <w:sz w:val="21"/>
              </w:rPr>
              <w:t>（2012-2030）</w:t>
            </w:r>
            <w:r>
              <w:rPr>
                <w:color w:val="FF0000"/>
                <w:spacing w:val="-6"/>
                <w:w w:val="95"/>
                <w:sz w:val="21"/>
              </w:rPr>
              <w:t>》、《江苏省</w:t>
            </w:r>
            <w:r>
              <w:rPr>
                <w:color w:val="FF0000"/>
                <w:sz w:val="21"/>
              </w:rPr>
              <w:t>“十四五”水利发展规划》、</w:t>
            </w:r>
          </w:p>
          <w:p>
            <w:pPr>
              <w:pStyle w:val="TableParagraph"/>
              <w:spacing w:before="1"/>
              <w:ind w:left="113"/>
              <w:rPr>
                <w:sz w:val="21"/>
              </w:rPr>
            </w:pPr>
            <w:r>
              <w:rPr>
                <w:color w:val="FF0000"/>
                <w:w w:val="95"/>
                <w:sz w:val="21"/>
              </w:rPr>
              <w:t>《江苏省里下河区水利治理规</w:t>
            </w:r>
          </w:p>
          <w:p>
            <w:pPr>
              <w:pStyle w:val="TableParagraph"/>
              <w:spacing w:before="6" w:line="290" w:lineRule="atLeast"/>
              <w:ind w:left="113" w:right="187"/>
              <w:rPr>
                <w:sz w:val="21"/>
              </w:rPr>
            </w:pPr>
            <w:r>
              <w:rPr>
                <w:color w:val="FF0000"/>
                <w:spacing w:val="-1"/>
                <w:sz w:val="21"/>
              </w:rPr>
              <w:t>划》《盐城市“十四五”水利</w:t>
            </w:r>
            <w:r>
              <w:rPr>
                <w:color w:val="FF0000"/>
                <w:spacing w:val="-1"/>
                <w:w w:val="95"/>
                <w:sz w:val="21"/>
              </w:rPr>
              <w:t>发展规划》等相关规划，本项</w:t>
            </w:r>
          </w:p>
        </w:tc>
      </w:tr>
    </w:tbl>
    <w:p>
      <w:pPr>
        <w:spacing w:after="0" w:line="290" w:lineRule="atLeast"/>
        <w:rPr>
          <w:sz w:val="21"/>
        </w:rPr>
        <w:sectPr>
          <w:headerReference w:type="default" r:id="rId42"/>
          <w:footerReference w:type="default" r:id="rId43"/>
          <w:pgSz w:w="11910" w:h="16840"/>
          <w:pgMar w:top="1340" w:right="1120" w:bottom="1160" w:left="1220" w:header="891" w:footer="969"/>
          <w:pgNumType w:start="19"/>
          <w:cols w:space="708"/>
        </w:sectPr>
      </w:pPr>
    </w:p>
    <w:p>
      <w:pPr>
        <w:pStyle w:val="BodyText"/>
        <w:rPr>
          <w:rFonts w:ascii="Times New Roman"/>
          <w:sz w:val="20"/>
        </w:rPr>
      </w:pPr>
    </w:p>
    <w:p>
      <w:pPr>
        <w:pStyle w:val="BodyText"/>
        <w:spacing w:before="11"/>
        <w:rPr>
          <w:rFonts w:ascii="Times New Roman"/>
          <w:sz w:val="10"/>
        </w:rPr>
      </w:pPr>
    </w:p>
    <w:tbl>
      <w:tblPr>
        <w:tblStyle w:val="TableNormal16"/>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44"/>
        <w:gridCol w:w="4951"/>
        <w:gridCol w:w="3044"/>
      </w:tblGrid>
      <w:tr>
        <w:tblPrEx>
          <w:tblW w:w="0" w:type="auto"/>
          <w:jc w:val="left"/>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57"/>
          <w:jc w:val="left"/>
        </w:trPr>
        <w:tc>
          <w:tcPr>
            <w:tcW w:w="1044" w:type="dxa"/>
            <w:vMerge w:val="restart"/>
            <w:tcBorders>
              <w:right w:val="single" w:sz="4" w:space="0" w:color="000000"/>
            </w:tcBorders>
          </w:tcPr>
          <w:p>
            <w:pPr>
              <w:pStyle w:val="TableParagraph"/>
              <w:rPr>
                <w:rFonts w:ascii="Times New Roman"/>
                <w:sz w:val="20"/>
              </w:rPr>
            </w:pPr>
          </w:p>
        </w:tc>
        <w:tc>
          <w:tcPr>
            <w:tcW w:w="4951" w:type="dxa"/>
            <w:tcBorders>
              <w:top w:val="thinThickMediumGap" w:sz="6" w:space="0" w:color="000000"/>
              <w:left w:val="single" w:sz="4" w:space="0" w:color="000000"/>
              <w:bottom w:val="nil"/>
              <w:right w:val="single" w:sz="4" w:space="0" w:color="000000"/>
            </w:tcBorders>
          </w:tcPr>
          <w:p>
            <w:pPr>
              <w:pStyle w:val="TableParagraph"/>
              <w:spacing w:line="238" w:lineRule="exact"/>
              <w:ind w:left="129"/>
              <w:rPr>
                <w:sz w:val="21"/>
              </w:rPr>
            </w:pPr>
            <w:r>
              <w:rPr>
                <w:color w:val="FF0000"/>
                <w:sz w:val="21"/>
              </w:rPr>
              <w:t>环境可行性，最大程度保持了河湖自然形态，最大</w:t>
            </w:r>
          </w:p>
        </w:tc>
        <w:tc>
          <w:tcPr>
            <w:tcW w:w="3044" w:type="dxa"/>
            <w:tcBorders>
              <w:top w:val="thinThickMediumGap" w:sz="6" w:space="0" w:color="000000"/>
              <w:left w:val="single" w:sz="4" w:space="0" w:color="000000"/>
              <w:bottom w:val="nil"/>
            </w:tcBorders>
          </w:tcPr>
          <w:p>
            <w:pPr>
              <w:pStyle w:val="TableParagraph"/>
              <w:spacing w:line="238" w:lineRule="exact"/>
              <w:ind w:left="113"/>
              <w:rPr>
                <w:sz w:val="21"/>
              </w:rPr>
            </w:pPr>
            <w:r>
              <w:rPr>
                <w:color w:val="FF0000"/>
                <w:sz w:val="21"/>
              </w:rPr>
              <w:t>目仅对河流进行清淤，不涉及</w:t>
            </w:r>
          </w:p>
        </w:tc>
      </w:tr>
      <w:tr>
        <w:tblPrEx>
          <w:tblW w:w="0" w:type="auto"/>
          <w:jc w:val="left"/>
          <w:tblInd w:w="321" w:type="dxa"/>
          <w:tblLayout w:type="fixed"/>
          <w:tblCellMar>
            <w:top w:w="0" w:type="dxa"/>
            <w:left w:w="0" w:type="dxa"/>
            <w:bottom w:w="0" w:type="dxa"/>
            <w:right w:w="0" w:type="dxa"/>
          </w:tblCellMar>
          <w:tblLook w:val="01E0"/>
        </w:tblPrEx>
        <w:trPr>
          <w:trHeight w:val="27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before="1" w:line="253" w:lineRule="exact"/>
              <w:ind w:left="129" w:right="-15"/>
              <w:rPr>
                <w:sz w:val="21"/>
              </w:rPr>
            </w:pPr>
            <w:r>
              <w:rPr>
                <w:color w:val="FF0000"/>
                <w:spacing w:val="-1"/>
                <w:w w:val="95"/>
                <w:sz w:val="21"/>
              </w:rPr>
              <w:t>限度维护了河湖健康、生态系统功能和生物多样性。</w:t>
            </w:r>
          </w:p>
        </w:tc>
        <w:tc>
          <w:tcPr>
            <w:tcW w:w="3044" w:type="dxa"/>
            <w:tcBorders>
              <w:top w:val="nil"/>
              <w:left w:val="single" w:sz="4" w:space="0" w:color="000000"/>
              <w:bottom w:val="nil"/>
            </w:tcBorders>
          </w:tcPr>
          <w:p>
            <w:pPr>
              <w:pStyle w:val="TableParagraph"/>
              <w:spacing w:before="1" w:line="253" w:lineRule="exact"/>
              <w:ind w:left="113"/>
              <w:rPr>
                <w:sz w:val="21"/>
              </w:rPr>
            </w:pPr>
            <w:r>
              <w:rPr>
                <w:color w:val="FF0000"/>
                <w:sz w:val="21"/>
              </w:rPr>
              <w:t>岸线调整等内容，符合文件要</w:t>
            </w:r>
          </w:p>
        </w:tc>
      </w:tr>
      <w:tr>
        <w:tblPrEx>
          <w:tblW w:w="0" w:type="auto"/>
          <w:jc w:val="left"/>
          <w:tblInd w:w="321" w:type="dxa"/>
          <w:tblLayout w:type="fixed"/>
          <w:tblCellMar>
            <w:top w:w="0" w:type="dxa"/>
            <w:left w:w="0" w:type="dxa"/>
            <w:bottom w:w="0" w:type="dxa"/>
            <w:right w:w="0" w:type="dxa"/>
          </w:tblCellMar>
          <w:tblLook w:val="01E0"/>
        </w:tblPrEx>
        <w:trPr>
          <w:trHeight w:val="315"/>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044" w:type="dxa"/>
            <w:tcBorders>
              <w:top w:val="nil"/>
              <w:left w:val="single" w:sz="4" w:space="0" w:color="000000"/>
              <w:bottom w:val="single" w:sz="4" w:space="0" w:color="000000"/>
            </w:tcBorders>
          </w:tcPr>
          <w:p>
            <w:pPr>
              <w:pStyle w:val="TableParagraph"/>
              <w:spacing w:before="2"/>
              <w:ind w:left="113"/>
              <w:rPr>
                <w:sz w:val="21"/>
              </w:rPr>
            </w:pPr>
            <w:r>
              <w:rPr>
                <w:color w:val="FF0000"/>
                <w:sz w:val="21"/>
              </w:rPr>
              <w:t>求。</w:t>
            </w:r>
          </w:p>
        </w:tc>
      </w:tr>
      <w:tr>
        <w:tblPrEx>
          <w:tblW w:w="0" w:type="auto"/>
          <w:jc w:val="left"/>
          <w:tblInd w:w="321" w:type="dxa"/>
          <w:tblLayout w:type="fixed"/>
          <w:tblCellMar>
            <w:top w:w="0" w:type="dxa"/>
            <w:left w:w="0" w:type="dxa"/>
            <w:bottom w:w="0" w:type="dxa"/>
            <w:right w:w="0" w:type="dxa"/>
          </w:tblCellMar>
          <w:tblLook w:val="01E0"/>
        </w:tblPrEx>
        <w:trPr>
          <w:trHeight w:val="435"/>
          <w:jc w:val="left"/>
        </w:trPr>
        <w:tc>
          <w:tcPr>
            <w:tcW w:w="1044" w:type="dxa"/>
            <w:vMerge/>
            <w:tcBorders>
              <w:top w:val="nil"/>
              <w:right w:val="single" w:sz="4" w:space="0" w:color="000000"/>
            </w:tcBorders>
          </w:tcPr>
          <w:p>
            <w:pPr>
              <w:rPr>
                <w:sz w:val="2"/>
                <w:szCs w:val="2"/>
              </w:rPr>
            </w:pPr>
          </w:p>
        </w:tc>
        <w:tc>
          <w:tcPr>
            <w:tcW w:w="4951" w:type="dxa"/>
            <w:tcBorders>
              <w:top w:val="single" w:sz="4" w:space="0" w:color="000000"/>
              <w:left w:val="single" w:sz="4" w:space="0" w:color="000000"/>
              <w:bottom w:val="nil"/>
              <w:right w:val="single" w:sz="4" w:space="0" w:color="000000"/>
            </w:tcBorders>
          </w:tcPr>
          <w:p>
            <w:pPr>
              <w:pStyle w:val="TableParagraph"/>
              <w:spacing w:before="164" w:line="251" w:lineRule="exact"/>
              <w:ind w:left="129" w:right="-15"/>
              <w:rPr>
                <w:sz w:val="21"/>
              </w:rPr>
            </w:pPr>
            <w:r>
              <w:rPr>
                <w:color w:val="FF0000"/>
                <w:spacing w:val="-1"/>
                <w:w w:val="95"/>
                <w:sz w:val="21"/>
              </w:rPr>
              <w:t>工程选址选线、施工布置原则上不占用自然保护区、</w:t>
            </w:r>
          </w:p>
        </w:tc>
        <w:tc>
          <w:tcPr>
            <w:tcW w:w="3044" w:type="dxa"/>
            <w:vMerge w:val="restart"/>
            <w:tcBorders>
              <w:top w:val="single" w:sz="4" w:space="0" w:color="000000"/>
              <w:left w:val="single" w:sz="4" w:space="0" w:color="000000"/>
              <w:bottom w:val="single" w:sz="4" w:space="0" w:color="000000"/>
            </w:tcBorders>
          </w:tcPr>
          <w:p>
            <w:pPr>
              <w:pStyle w:val="TableParagraph"/>
              <w:spacing w:before="18" w:line="261" w:lineRule="auto"/>
              <w:ind w:left="113" w:right="185"/>
              <w:jc w:val="both"/>
              <w:rPr>
                <w:sz w:val="21"/>
              </w:rPr>
            </w:pPr>
            <w:r>
              <w:rPr>
                <w:color w:val="FF0000"/>
                <w:sz w:val="21"/>
              </w:rPr>
              <w:t>本项目不涉及自然保护区、风景名胜区、世界文化和自然遗</w:t>
            </w:r>
            <w:r>
              <w:rPr>
                <w:color w:val="FF0000"/>
                <w:w w:val="95"/>
                <w:sz w:val="21"/>
              </w:rPr>
              <w:t>产地、其他生态保护红线等环</w:t>
            </w:r>
            <w:r>
              <w:rPr>
                <w:color w:val="FF0000"/>
                <w:sz w:val="21"/>
              </w:rPr>
              <w:t>境敏感区中法律法规禁止占用</w:t>
            </w:r>
            <w:r>
              <w:rPr>
                <w:color w:val="FF0000"/>
                <w:w w:val="95"/>
                <w:sz w:val="21"/>
              </w:rPr>
              <w:t>的区域，不涉及饮用水水源保</w:t>
            </w:r>
            <w:r>
              <w:rPr>
                <w:color w:val="FF0000"/>
                <w:sz w:val="21"/>
              </w:rPr>
              <w:t>护区，符合文件要求。</w:t>
            </w:r>
          </w:p>
        </w:tc>
      </w:tr>
      <w:tr>
        <w:tblPrEx>
          <w:tblW w:w="0" w:type="auto"/>
          <w:jc w:val="left"/>
          <w:tblInd w:w="321" w:type="dxa"/>
          <w:tblLayout w:type="fixed"/>
          <w:tblCellMar>
            <w:top w:w="0" w:type="dxa"/>
            <w:left w:w="0" w:type="dxa"/>
            <w:bottom w:w="0" w:type="dxa"/>
            <w:right w:w="0" w:type="dxa"/>
          </w:tblCellMar>
          <w:tblLook w:val="01E0"/>
        </w:tblPrEx>
        <w:trPr>
          <w:trHeight w:val="27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before="1" w:line="252" w:lineRule="exact"/>
              <w:ind w:left="129"/>
              <w:rPr>
                <w:sz w:val="21"/>
              </w:rPr>
            </w:pPr>
            <w:r>
              <w:rPr>
                <w:color w:val="FF0000"/>
                <w:sz w:val="21"/>
              </w:rPr>
              <w:t>风景名胜区、世界文化和自然遗产地以及其他生态</w:t>
            </w:r>
          </w:p>
        </w:tc>
        <w:tc>
          <w:tcPr>
            <w:tcW w:w="3044"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7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before="2" w:line="251" w:lineRule="exact"/>
              <w:ind w:left="129"/>
              <w:rPr>
                <w:sz w:val="21"/>
              </w:rPr>
            </w:pPr>
            <w:r>
              <w:rPr>
                <w:color w:val="FF0000"/>
                <w:sz w:val="21"/>
              </w:rPr>
              <w:t>保护红线等环境敏感区中法律法规禁止占用的区</w:t>
            </w:r>
          </w:p>
        </w:tc>
        <w:tc>
          <w:tcPr>
            <w:tcW w:w="3044"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7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before="1" w:line="252" w:lineRule="exact"/>
              <w:ind w:left="129"/>
              <w:rPr>
                <w:sz w:val="21"/>
              </w:rPr>
            </w:pPr>
            <w:r>
              <w:rPr>
                <w:color w:val="FF0000"/>
                <w:sz w:val="21"/>
              </w:rPr>
              <w:t>域，并与饮用水水源保护区的保护要求相协调。法</w:t>
            </w:r>
          </w:p>
        </w:tc>
        <w:tc>
          <w:tcPr>
            <w:tcW w:w="3044"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46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single" w:sz="4" w:space="0" w:color="000000"/>
              <w:right w:val="single" w:sz="4" w:space="0" w:color="000000"/>
            </w:tcBorders>
          </w:tcPr>
          <w:p>
            <w:pPr>
              <w:pStyle w:val="TableParagraph"/>
              <w:spacing w:before="2"/>
              <w:ind w:left="129"/>
              <w:rPr>
                <w:sz w:val="21"/>
              </w:rPr>
            </w:pPr>
            <w:r>
              <w:rPr>
                <w:color w:val="FF0000"/>
                <w:sz w:val="21"/>
              </w:rPr>
              <w:t>律法规、政策另有规定的从其规定。</w:t>
            </w:r>
          </w:p>
        </w:tc>
        <w:tc>
          <w:tcPr>
            <w:tcW w:w="3044" w:type="dxa"/>
            <w:vMerge/>
            <w:tcBorders>
              <w:top w:val="nil"/>
              <w:left w:val="single" w:sz="4" w:space="0" w:color="000000"/>
              <w:bottom w:val="single" w:sz="4"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87"/>
          <w:jc w:val="left"/>
        </w:trPr>
        <w:tc>
          <w:tcPr>
            <w:tcW w:w="1044" w:type="dxa"/>
            <w:vMerge/>
            <w:tcBorders>
              <w:top w:val="nil"/>
              <w:right w:val="single" w:sz="4" w:space="0" w:color="000000"/>
            </w:tcBorders>
          </w:tcPr>
          <w:p>
            <w:pPr>
              <w:rPr>
                <w:sz w:val="2"/>
                <w:szCs w:val="2"/>
              </w:rPr>
            </w:pPr>
          </w:p>
        </w:tc>
        <w:tc>
          <w:tcPr>
            <w:tcW w:w="4951" w:type="dxa"/>
            <w:tcBorders>
              <w:top w:val="single" w:sz="4" w:space="0" w:color="000000"/>
              <w:left w:val="single" w:sz="4" w:space="0" w:color="000000"/>
              <w:bottom w:val="nil"/>
              <w:right w:val="single" w:sz="4" w:space="0" w:color="000000"/>
            </w:tcBorders>
          </w:tcPr>
          <w:p>
            <w:pPr>
              <w:pStyle w:val="TableParagraph"/>
              <w:spacing w:before="21" w:line="246" w:lineRule="exact"/>
              <w:ind w:left="129"/>
              <w:rPr>
                <w:sz w:val="21"/>
              </w:rPr>
            </w:pPr>
            <w:r>
              <w:rPr>
                <w:color w:val="FF0000"/>
                <w:sz w:val="21"/>
              </w:rPr>
              <w:t>项目施工组织方案具有环境合理性，对料场、弃土</w:t>
            </w:r>
          </w:p>
        </w:tc>
        <w:tc>
          <w:tcPr>
            <w:tcW w:w="3044" w:type="dxa"/>
            <w:vMerge w:val="restart"/>
            <w:tcBorders>
              <w:top w:val="single" w:sz="4" w:space="0" w:color="000000"/>
              <w:left w:val="single" w:sz="4" w:space="0" w:color="000000"/>
              <w:bottom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5"/>
              </w:rPr>
            </w:pPr>
          </w:p>
          <w:p>
            <w:pPr>
              <w:pStyle w:val="TableParagraph"/>
              <w:spacing w:line="261" w:lineRule="auto"/>
              <w:ind w:left="113"/>
              <w:rPr>
                <w:sz w:val="21"/>
              </w:rPr>
            </w:pPr>
            <w:r>
              <w:rPr>
                <w:color w:val="FF0000"/>
                <w:sz w:val="21"/>
              </w:rPr>
              <w:t>本项目施工前对排泥场区可利用表土进行表土剥离，表土剥</w:t>
            </w:r>
            <w:r>
              <w:rPr>
                <w:color w:val="FF0000"/>
                <w:spacing w:val="-12"/>
                <w:sz w:val="21"/>
              </w:rPr>
              <w:t xml:space="preserve">离厚度为 </w:t>
            </w:r>
            <w:r>
              <w:rPr>
                <w:color w:val="FF0000"/>
                <w:sz w:val="21"/>
              </w:rPr>
              <w:t>20cm，对料场及排泥场区外坡进行防护，采取撒播草籽进行防护。本项目施工期</w:t>
            </w:r>
            <w:r>
              <w:rPr>
                <w:color w:val="FF0000"/>
                <w:spacing w:val="-2"/>
                <w:sz w:val="21"/>
              </w:rPr>
              <w:t>各类废</w:t>
            </w:r>
            <w:r>
              <w:rPr>
                <w:color w:val="FF0000"/>
                <w:sz w:val="21"/>
              </w:rPr>
              <w:t>（污</w:t>
            </w:r>
            <w:r>
              <w:rPr>
                <w:color w:val="FF0000"/>
                <w:spacing w:val="-5"/>
                <w:sz w:val="21"/>
              </w:rPr>
              <w:t>）水、扬尘、废气、</w:t>
            </w:r>
            <w:r>
              <w:rPr>
                <w:color w:val="FF0000"/>
                <w:sz w:val="21"/>
              </w:rPr>
              <w:t>噪声、固体废物等均配备相应防治或处置措施。符合文件要求。</w:t>
            </w:r>
          </w:p>
        </w:tc>
      </w:tr>
      <w:tr>
        <w:tblPrEx>
          <w:tblW w:w="0" w:type="auto"/>
          <w:jc w:val="left"/>
          <w:tblInd w:w="321" w:type="dxa"/>
          <w:tblLayout w:type="fixed"/>
          <w:tblCellMar>
            <w:top w:w="0" w:type="dxa"/>
            <w:left w:w="0" w:type="dxa"/>
            <w:bottom w:w="0" w:type="dxa"/>
            <w:right w:w="0" w:type="dxa"/>
          </w:tblCellMar>
          <w:tblLook w:val="01E0"/>
        </w:tblPrEx>
        <w:trPr>
          <w:trHeight w:val="262"/>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3" w:lineRule="exact"/>
              <w:ind w:left="129"/>
              <w:rPr>
                <w:sz w:val="21"/>
              </w:rPr>
            </w:pPr>
            <w:r>
              <w:rPr>
                <w:color w:val="FF0000"/>
                <w:sz w:val="21"/>
              </w:rPr>
              <w:t>（渣）场等施工场地提出了水土流失防治和生态修</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复等措施。根据环境保护相关标准和要求，对施工</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期各类废（污）水、扬尘、废气、噪声、固体废物</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等提出了防治或处置措施。其中，涉水施工涉及饮</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用水水源保护区或取水口并可能对水质造成不利影</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响的，提出了避让、施工方案优化、污染物控制等</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措施；涉水施工对鱼类等水生生物及其重要生境造</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成不利影响的，提出了避让、施工方案优化、控制</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施工噪声等措施；针对清淤、疏浚等产生的淤泥，</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2"/>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3" w:lineRule="exact"/>
              <w:ind w:left="129"/>
              <w:rPr>
                <w:sz w:val="21"/>
              </w:rPr>
            </w:pPr>
            <w:r>
              <w:rPr>
                <w:color w:val="FF0000"/>
                <w:sz w:val="21"/>
              </w:rPr>
              <w:t>提出了符合相关规定的处置或综合利用方案。在采</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取上述措施后，施工期的不利环境影响能够得到缓</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263"/>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nil"/>
              <w:right w:val="single" w:sz="4" w:space="0" w:color="000000"/>
            </w:tcBorders>
          </w:tcPr>
          <w:p>
            <w:pPr>
              <w:pStyle w:val="TableParagraph"/>
              <w:spacing w:line="244" w:lineRule="exact"/>
              <w:ind w:left="129"/>
              <w:rPr>
                <w:sz w:val="21"/>
              </w:rPr>
            </w:pPr>
            <w:r>
              <w:rPr>
                <w:color w:val="FF0000"/>
                <w:sz w:val="21"/>
              </w:rPr>
              <w:t>解和控制，不会对周围环境和敏感保护目标造成重</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314"/>
          <w:jc w:val="left"/>
        </w:trPr>
        <w:tc>
          <w:tcPr>
            <w:tcW w:w="1044" w:type="dxa"/>
            <w:vMerge/>
            <w:tcBorders>
              <w:top w:val="nil"/>
              <w:right w:val="single" w:sz="4" w:space="0" w:color="000000"/>
            </w:tcBorders>
          </w:tcPr>
          <w:p>
            <w:pPr>
              <w:rPr>
                <w:sz w:val="2"/>
                <w:szCs w:val="2"/>
              </w:rPr>
            </w:pPr>
          </w:p>
        </w:tc>
        <w:tc>
          <w:tcPr>
            <w:tcW w:w="4951" w:type="dxa"/>
            <w:tcBorders>
              <w:top w:val="nil"/>
              <w:left w:val="single" w:sz="4" w:space="0" w:color="000000"/>
              <w:bottom w:val="single" w:sz="12" w:space="0" w:color="000000"/>
              <w:right w:val="single" w:sz="4" w:space="0" w:color="000000"/>
            </w:tcBorders>
          </w:tcPr>
          <w:p>
            <w:pPr>
              <w:pStyle w:val="TableParagraph"/>
              <w:spacing w:line="266" w:lineRule="exact"/>
              <w:ind w:left="129"/>
              <w:rPr>
                <w:sz w:val="21"/>
              </w:rPr>
            </w:pPr>
            <w:r>
              <w:rPr>
                <w:color w:val="FF0000"/>
                <w:sz w:val="21"/>
              </w:rPr>
              <w:t>大不利影响。</w:t>
            </w:r>
          </w:p>
        </w:tc>
        <w:tc>
          <w:tcPr>
            <w:tcW w:w="3044" w:type="dxa"/>
            <w:vMerge/>
            <w:tcBorders>
              <w:top w:val="nil"/>
              <w:left w:val="single" w:sz="4" w:space="0" w:color="000000"/>
              <w:bottom w:val="single" w:sz="12" w:space="0" w:color="000000"/>
            </w:tcBorders>
          </w:tcPr>
          <w:p>
            <w:pPr>
              <w:rPr>
                <w:sz w:val="2"/>
                <w:szCs w:val="2"/>
              </w:rPr>
            </w:pPr>
          </w:p>
        </w:tc>
      </w:tr>
      <w:tr>
        <w:tblPrEx>
          <w:tblW w:w="0" w:type="auto"/>
          <w:jc w:val="left"/>
          <w:tblInd w:w="321" w:type="dxa"/>
          <w:tblLayout w:type="fixed"/>
          <w:tblCellMar>
            <w:top w:w="0" w:type="dxa"/>
            <w:left w:w="0" w:type="dxa"/>
            <w:bottom w:w="0" w:type="dxa"/>
            <w:right w:w="0" w:type="dxa"/>
          </w:tblCellMar>
          <w:tblLook w:val="01E0"/>
        </w:tblPrEx>
        <w:trPr>
          <w:trHeight w:val="483"/>
          <w:jc w:val="left"/>
        </w:trPr>
        <w:tc>
          <w:tcPr>
            <w:tcW w:w="1044" w:type="dxa"/>
            <w:vMerge/>
            <w:tcBorders>
              <w:top w:val="nil"/>
              <w:right w:val="single" w:sz="4" w:space="0" w:color="000000"/>
            </w:tcBorders>
          </w:tcPr>
          <w:p>
            <w:pPr>
              <w:rPr>
                <w:sz w:val="2"/>
                <w:szCs w:val="2"/>
              </w:rPr>
            </w:pPr>
          </w:p>
        </w:tc>
        <w:tc>
          <w:tcPr>
            <w:tcW w:w="7995" w:type="dxa"/>
            <w:gridSpan w:val="2"/>
            <w:tcBorders>
              <w:top w:val="single" w:sz="12" w:space="0" w:color="000000"/>
              <w:left w:val="single" w:sz="4" w:space="0" w:color="000000"/>
            </w:tcBorders>
          </w:tcPr>
          <w:p>
            <w:pPr>
              <w:pStyle w:val="TableParagraph"/>
              <w:rPr>
                <w:rFonts w:ascii="Times New Roman"/>
                <w:sz w:val="20"/>
              </w:rPr>
            </w:pPr>
          </w:p>
        </w:tc>
      </w:tr>
    </w:tbl>
    <w:p>
      <w:pPr>
        <w:spacing w:after="0"/>
        <w:rPr>
          <w:rFonts w:ascii="Times New Roman"/>
          <w:sz w:val="20"/>
        </w:rPr>
        <w:sectPr>
          <w:headerReference w:type="default" r:id="rId44"/>
          <w:footerReference w:type="default" r:id="rId45"/>
          <w:pgSz w:w="11910" w:h="16840"/>
          <w:pgMar w:top="1340" w:right="1120" w:bottom="1160" w:left="1220" w:header="891" w:footer="969"/>
          <w:pgNumType w:start="20"/>
          <w:cols w:space="708"/>
        </w:sectPr>
      </w:pPr>
    </w:p>
    <w:p>
      <w:pPr>
        <w:pStyle w:val="BodyText"/>
        <w:spacing w:before="7"/>
        <w:rPr>
          <w:rFonts w:ascii="Times New Roman"/>
          <w:sz w:val="26"/>
        </w:rPr>
      </w:pPr>
    </w:p>
    <w:p>
      <w:pPr>
        <w:pStyle w:val="Heading1"/>
      </w:pPr>
      <w:bookmarkStart w:id="2" w:name="_TOC_250003"/>
      <w:bookmarkEnd w:id="2"/>
      <w:r>
        <w:t>二、建设内容</w:t>
      </w:r>
    </w:p>
    <w:p>
      <w:pPr>
        <w:pStyle w:val="BodyText"/>
        <w:rPr>
          <w:sz w:val="22"/>
        </w:rPr>
      </w:pPr>
    </w:p>
    <w:tbl>
      <w:tblPr>
        <w:tblStyle w:val="TableNormal17"/>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735"/>
          <w:jc w:val="left"/>
        </w:trPr>
        <w:tc>
          <w:tcPr>
            <w:tcW w:w="666" w:type="dxa"/>
            <w:tcBorders>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4"/>
              </w:rPr>
            </w:pPr>
          </w:p>
          <w:p>
            <w:pPr>
              <w:pStyle w:val="TableParagraph"/>
              <w:spacing w:line="242" w:lineRule="auto"/>
              <w:ind w:left="122" w:right="108"/>
              <w:rPr>
                <w:sz w:val="21"/>
              </w:rPr>
            </w:pPr>
            <w:r>
              <w:rPr>
                <w:sz w:val="21"/>
              </w:rPr>
              <w:t>地理位置</w:t>
            </w:r>
          </w:p>
        </w:tc>
        <w:tc>
          <w:tcPr>
            <w:tcW w:w="8424" w:type="dxa"/>
            <w:tcBorders>
              <w:left w:val="single" w:sz="4" w:space="0" w:color="000000"/>
              <w:bottom w:val="single" w:sz="4" w:space="0" w:color="000000"/>
            </w:tcBorders>
          </w:tcPr>
          <w:p>
            <w:pPr>
              <w:pStyle w:val="TableParagraph"/>
              <w:spacing w:before="2" w:line="364" w:lineRule="auto"/>
              <w:ind w:left="112" w:right="-44" w:firstLine="480"/>
              <w:rPr>
                <w:sz w:val="24"/>
              </w:rPr>
            </w:pPr>
            <w:r>
              <w:rPr>
                <w:spacing w:val="8"/>
                <w:sz w:val="24"/>
              </w:rPr>
              <w:t>串通河位于里下河地区，其中阜宁段为西起串场河，东至射阳县，全长</w:t>
            </w:r>
            <w:r>
              <w:rPr>
                <w:rFonts w:ascii="Times New Roman" w:eastAsia="Times New Roman"/>
                <w:spacing w:val="8"/>
                <w:sz w:val="24"/>
              </w:rPr>
              <w:t>13.22km</w:t>
            </w:r>
            <w:r>
              <w:rPr>
                <w:spacing w:val="-10"/>
                <w:sz w:val="24"/>
              </w:rPr>
              <w:t>。</w:t>
            </w:r>
            <w:r>
              <w:rPr>
                <w:color w:val="FF0000"/>
                <w:spacing w:val="-4"/>
                <w:sz w:val="24"/>
              </w:rPr>
              <w:t>本次阜宁县串通河综合工程建设项目位于盐城市阜宁县沟墩镇、吴滩街道境内，串通河阜宁段与通榆河为交汇关系，本项目施工范围为与通榆河交</w:t>
            </w:r>
            <w:r>
              <w:rPr>
                <w:color w:val="FF0000"/>
                <w:spacing w:val="-11"/>
                <w:sz w:val="24"/>
              </w:rPr>
              <w:t xml:space="preserve">汇处东侧 </w:t>
            </w:r>
            <w:r>
              <w:rPr>
                <w:rFonts w:ascii="Times New Roman" w:eastAsia="Times New Roman"/>
                <w:color w:val="FF0000"/>
                <w:sz w:val="24"/>
              </w:rPr>
              <w:t>110m</w:t>
            </w:r>
            <w:r>
              <w:rPr>
                <w:rFonts w:ascii="Times New Roman" w:eastAsia="Times New Roman"/>
                <w:color w:val="FF0000"/>
                <w:spacing w:val="4"/>
                <w:sz w:val="24"/>
              </w:rPr>
              <w:t xml:space="preserve"> </w:t>
            </w:r>
            <w:r>
              <w:rPr>
                <w:color w:val="FF0000"/>
                <w:sz w:val="24"/>
              </w:rPr>
              <w:t>范围外，施工过程中使用临时围挡隔断与通榆河的水力联系， 因此，本项目不涉及通榆河段施工作业。</w:t>
            </w:r>
            <w:r>
              <w:rPr>
                <w:sz w:val="24"/>
              </w:rPr>
              <w:t>本工程主要工程内容包括：实施串通</w:t>
            </w:r>
            <w:r>
              <w:rPr>
                <w:spacing w:val="-11"/>
                <w:sz w:val="24"/>
              </w:rPr>
              <w:t xml:space="preserve">河阜宁境内 </w:t>
            </w:r>
            <w:r>
              <w:rPr>
                <w:rFonts w:ascii="Times New Roman" w:eastAsia="Times New Roman"/>
                <w:sz w:val="24"/>
              </w:rPr>
              <w:t>11.51km</w:t>
            </w:r>
            <w:r>
              <w:rPr>
                <w:rFonts w:ascii="Times New Roman" w:eastAsia="Times New Roman"/>
                <w:spacing w:val="-2"/>
                <w:sz w:val="24"/>
              </w:rPr>
              <w:t xml:space="preserve"> </w:t>
            </w:r>
            <w:r>
              <w:rPr>
                <w:spacing w:val="-11"/>
                <w:sz w:val="24"/>
              </w:rPr>
              <w:t xml:space="preserve">河道疏浚，建设护岸总长 </w:t>
            </w:r>
            <w:r>
              <w:rPr>
                <w:rFonts w:ascii="Times New Roman" w:eastAsia="Times New Roman"/>
                <w:spacing w:val="-7"/>
                <w:sz w:val="24"/>
              </w:rPr>
              <w:t>3740m</w:t>
            </w:r>
            <w:r>
              <w:rPr>
                <w:spacing w:val="-9"/>
                <w:sz w:val="24"/>
              </w:rPr>
              <w:t xml:space="preserve">，拆建沿线影响桥梁 </w:t>
            </w:r>
            <w:r>
              <w:rPr>
                <w:rFonts w:ascii="Times New Roman" w:eastAsia="Times New Roman"/>
                <w:sz w:val="24"/>
              </w:rPr>
              <w:t>5</w:t>
            </w:r>
            <w:r>
              <w:rPr>
                <w:rFonts w:ascii="Times New Roman" w:eastAsia="Times New Roman"/>
                <w:spacing w:val="-1"/>
                <w:sz w:val="24"/>
              </w:rPr>
              <w:t xml:space="preserve"> </w:t>
            </w:r>
            <w:r>
              <w:rPr>
                <w:sz w:val="24"/>
              </w:rPr>
              <w:t>座、</w:t>
            </w:r>
            <w:r>
              <w:rPr>
                <w:spacing w:val="-9"/>
                <w:sz w:val="24"/>
              </w:rPr>
              <w:t xml:space="preserve">拆除废弃桥梁 </w:t>
            </w:r>
            <w:r>
              <w:rPr>
                <w:rFonts w:ascii="Times New Roman" w:eastAsia="Times New Roman"/>
                <w:sz w:val="24"/>
              </w:rPr>
              <w:t xml:space="preserve">1 </w:t>
            </w:r>
            <w:r>
              <w:rPr>
                <w:sz w:val="24"/>
              </w:rPr>
              <w:t>座，拆（新）</w:t>
            </w:r>
            <w:r>
              <w:rPr>
                <w:spacing w:val="-8"/>
                <w:sz w:val="24"/>
              </w:rPr>
              <w:t xml:space="preserve">建沿线影响闸站 </w:t>
            </w:r>
            <w:r>
              <w:rPr>
                <w:rFonts w:ascii="Times New Roman" w:eastAsia="Times New Roman"/>
                <w:sz w:val="24"/>
              </w:rPr>
              <w:t xml:space="preserve">9 </w:t>
            </w:r>
            <w:r>
              <w:rPr>
                <w:sz w:val="24"/>
              </w:rPr>
              <w:t>座。</w:t>
            </w:r>
          </w:p>
          <w:p>
            <w:pPr>
              <w:pStyle w:val="TableParagraph"/>
              <w:spacing w:line="305" w:lineRule="exact"/>
              <w:ind w:left="585"/>
              <w:rPr>
                <w:sz w:val="24"/>
              </w:rPr>
            </w:pPr>
            <w:r>
              <w:rPr>
                <w:sz w:val="24"/>
              </w:rPr>
              <w:t>具体位置见附图一。</w:t>
            </w:r>
          </w:p>
        </w:tc>
      </w:tr>
      <w:tr>
        <w:tblPrEx>
          <w:tblW w:w="0" w:type="auto"/>
          <w:jc w:val="left"/>
          <w:tblInd w:w="198" w:type="dxa"/>
          <w:tblLayout w:type="fixed"/>
          <w:tblCellMar>
            <w:top w:w="0" w:type="dxa"/>
            <w:left w:w="0" w:type="dxa"/>
            <w:bottom w:w="0" w:type="dxa"/>
            <w:right w:w="0" w:type="dxa"/>
          </w:tblCellMar>
          <w:tblLook w:val="01E0"/>
        </w:tblPrEx>
        <w:trPr>
          <w:trHeight w:val="8868"/>
          <w:jc w:val="left"/>
        </w:trPr>
        <w:tc>
          <w:tcPr>
            <w:tcW w:w="666" w:type="dxa"/>
            <w:tcBorders>
              <w:top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3"/>
              </w:rPr>
            </w:pPr>
          </w:p>
          <w:p>
            <w:pPr>
              <w:pStyle w:val="TableParagraph"/>
              <w:spacing w:before="1" w:line="242" w:lineRule="auto"/>
              <w:ind w:left="122" w:right="108"/>
              <w:jc w:val="both"/>
              <w:rPr>
                <w:sz w:val="21"/>
              </w:rPr>
            </w:pPr>
            <w:r>
              <w:rPr>
                <w:sz w:val="21"/>
              </w:rPr>
              <w:t>项目组成及规模</w:t>
            </w:r>
          </w:p>
        </w:tc>
        <w:tc>
          <w:tcPr>
            <w:tcW w:w="8424" w:type="dxa"/>
            <w:tcBorders>
              <w:top w:val="single" w:sz="4" w:space="0" w:color="000000"/>
              <w:left w:val="single" w:sz="4" w:space="0" w:color="000000"/>
            </w:tcBorders>
          </w:tcPr>
          <w:p>
            <w:pPr>
              <w:pStyle w:val="TableParagraph"/>
              <w:spacing w:before="3"/>
              <w:ind w:left="587"/>
              <w:rPr>
                <w:b/>
                <w:sz w:val="24"/>
              </w:rPr>
            </w:pPr>
            <w:r>
              <w:rPr>
                <w:b/>
                <w:sz w:val="24"/>
              </w:rPr>
              <w:t>一、项目由来</w:t>
            </w:r>
          </w:p>
          <w:p>
            <w:pPr>
              <w:pStyle w:val="TableParagraph"/>
              <w:spacing w:before="158" w:line="364" w:lineRule="auto"/>
              <w:ind w:left="112" w:right="83" w:firstLine="475"/>
              <w:jc w:val="both"/>
              <w:rPr>
                <w:sz w:val="24"/>
              </w:rPr>
            </w:pPr>
            <w:r>
              <w:rPr>
                <w:sz w:val="24"/>
              </w:rPr>
              <w:t>根据《里下河区水利治理规划》，串通河是里下河地区防洪排涝骨干河道之一，</w:t>
            </w:r>
            <w:r>
              <w:rPr>
                <w:rFonts w:ascii="Times New Roman" w:eastAsia="Times New Roman"/>
                <w:sz w:val="24"/>
              </w:rPr>
              <w:t xml:space="preserve">2010 </w:t>
            </w:r>
            <w:r>
              <w:rPr>
                <w:spacing w:val="-2"/>
                <w:sz w:val="24"/>
              </w:rPr>
              <w:t>年中小河流治理中已实施了射阳县境内串通河下段</w:t>
            </w:r>
            <w:r>
              <w:rPr>
                <w:sz w:val="24"/>
              </w:rPr>
              <w:t>（</w:t>
            </w:r>
            <w:r>
              <w:rPr>
                <w:spacing w:val="-3"/>
                <w:sz w:val="24"/>
              </w:rPr>
              <w:t>洋曙河至射阳河段</w:t>
            </w:r>
            <w:r>
              <w:rPr>
                <w:sz w:val="24"/>
              </w:rPr>
              <w:t>）</w:t>
            </w:r>
            <w:r>
              <w:rPr>
                <w:rFonts w:ascii="Times New Roman" w:eastAsia="Times New Roman"/>
                <w:sz w:val="24"/>
              </w:rPr>
              <w:t xml:space="preserve">10.9km </w:t>
            </w:r>
            <w:r>
              <w:rPr>
                <w:spacing w:val="-3"/>
                <w:sz w:val="24"/>
              </w:rPr>
              <w:t>河道整治，设计标准为底高程</w:t>
            </w:r>
            <w:r>
              <w:rPr>
                <w:rFonts w:ascii="Times New Roman" w:eastAsia="Times New Roman"/>
                <w:sz w:val="24"/>
              </w:rPr>
              <w:t>-2</w:t>
            </w:r>
            <w:r>
              <w:rPr>
                <w:sz w:val="24"/>
              </w:rPr>
              <w:t>～</w:t>
            </w:r>
            <w:r>
              <w:rPr>
                <w:rFonts w:ascii="Times New Roman" w:eastAsia="Times New Roman"/>
                <w:sz w:val="24"/>
              </w:rPr>
              <w:t>-2.5m</w:t>
            </w:r>
            <w:r>
              <w:rPr>
                <w:spacing w:val="-20"/>
                <w:sz w:val="24"/>
              </w:rPr>
              <w:t xml:space="preserve">、底宽 </w:t>
            </w:r>
            <w:r>
              <w:rPr>
                <w:rFonts w:ascii="Times New Roman" w:eastAsia="Times New Roman"/>
                <w:sz w:val="24"/>
              </w:rPr>
              <w:t>20</w:t>
            </w:r>
            <w:r>
              <w:rPr>
                <w:sz w:val="24"/>
              </w:rPr>
              <w:t>～</w:t>
            </w:r>
            <w:r>
              <w:rPr>
                <w:rFonts w:ascii="Times New Roman" w:eastAsia="Times New Roman"/>
                <w:sz w:val="24"/>
              </w:rPr>
              <w:t>25m</w:t>
            </w:r>
            <w:r>
              <w:rPr>
                <w:spacing w:val="-2"/>
                <w:sz w:val="24"/>
              </w:rPr>
              <w:t>。目前， 串通河</w:t>
            </w:r>
            <w:r>
              <w:rPr>
                <w:rFonts w:ascii="Times New Roman" w:eastAsia="Times New Roman"/>
                <w:spacing w:val="-3"/>
                <w:sz w:val="24"/>
              </w:rPr>
              <w:t>~</w:t>
            </w:r>
            <w:r>
              <w:rPr>
                <w:spacing w:val="-18"/>
                <w:sz w:val="24"/>
              </w:rPr>
              <w:t xml:space="preserve">洋曙河 </w:t>
            </w:r>
            <w:r>
              <w:rPr>
                <w:rFonts w:ascii="Times New Roman" w:eastAsia="Times New Roman"/>
                <w:sz w:val="24"/>
              </w:rPr>
              <w:t xml:space="preserve">33km </w:t>
            </w:r>
            <w:r>
              <w:rPr>
                <w:spacing w:val="-17"/>
                <w:sz w:val="24"/>
              </w:rPr>
              <w:t xml:space="preserve">河道近 </w:t>
            </w:r>
            <w:r>
              <w:rPr>
                <w:rFonts w:ascii="Times New Roman" w:eastAsia="Times New Roman"/>
                <w:sz w:val="24"/>
              </w:rPr>
              <w:t xml:space="preserve">55 </w:t>
            </w:r>
            <w:r>
              <w:rPr>
                <w:spacing w:val="-11"/>
                <w:sz w:val="24"/>
              </w:rPr>
              <w:t xml:space="preserve">年来未进行系统治理，其中通洋港上段河道淤积较重、通洋港下段约 </w:t>
            </w:r>
            <w:r>
              <w:rPr>
                <w:rFonts w:ascii="Times New Roman" w:eastAsia="Times New Roman"/>
                <w:sz w:val="24"/>
              </w:rPr>
              <w:t xml:space="preserve">4.4km </w:t>
            </w:r>
            <w:r>
              <w:rPr>
                <w:spacing w:val="-8"/>
                <w:sz w:val="24"/>
              </w:rPr>
              <w:t xml:space="preserve">河道严重束窄卡口、河口宽度 </w:t>
            </w:r>
            <w:r>
              <w:rPr>
                <w:rFonts w:ascii="Times New Roman" w:eastAsia="Times New Roman"/>
                <w:sz w:val="24"/>
              </w:rPr>
              <w:t xml:space="preserve">10m </w:t>
            </w:r>
            <w:r>
              <w:rPr>
                <w:spacing w:val="-3"/>
                <w:sz w:val="24"/>
              </w:rPr>
              <w:t>左右，故而亟需实施串通河疏浚治理，打通串通河一线，提高串通河区域灌排标准。</w:t>
            </w:r>
          </w:p>
          <w:p>
            <w:pPr>
              <w:pStyle w:val="TableParagraph"/>
              <w:spacing w:line="364" w:lineRule="auto"/>
              <w:ind w:left="112" w:right="-44" w:firstLine="475"/>
              <w:rPr>
                <w:sz w:val="24"/>
              </w:rPr>
            </w:pPr>
            <w:r>
              <w:rPr>
                <w:spacing w:val="-4"/>
                <w:sz w:val="24"/>
              </w:rPr>
              <w:t xml:space="preserve">根据《中华人民共和国环境保护法》、《中华人民共和国环境影响评价法》和国务院第 </w:t>
            </w:r>
            <w:r>
              <w:rPr>
                <w:rFonts w:ascii="Times New Roman" w:eastAsia="Times New Roman" w:hAnsi="Times New Roman"/>
                <w:sz w:val="24"/>
              </w:rPr>
              <w:t>682</w:t>
            </w:r>
            <w:r>
              <w:rPr>
                <w:rFonts w:ascii="Times New Roman" w:eastAsia="Times New Roman" w:hAnsi="Times New Roman"/>
                <w:spacing w:val="55"/>
                <w:sz w:val="24"/>
              </w:rPr>
              <w:t xml:space="preserve"> </w:t>
            </w:r>
            <w:r>
              <w:rPr>
                <w:spacing w:val="-15"/>
                <w:sz w:val="24"/>
              </w:rPr>
              <w:t>号令《国务院关于修改〈建设项目环境保护管理条例〉的决定》等有关条款规定，本项目需进行环境影响评价。依据《建设项目环境影响评价分类管理名录》（</w:t>
            </w:r>
            <w:r>
              <w:rPr>
                <w:rFonts w:ascii="Times New Roman" w:eastAsia="Times New Roman" w:hAnsi="Times New Roman"/>
                <w:spacing w:val="-15"/>
                <w:sz w:val="24"/>
              </w:rPr>
              <w:t>2021</w:t>
            </w:r>
            <w:r>
              <w:rPr>
                <w:rFonts w:ascii="Times New Roman" w:eastAsia="Times New Roman" w:hAnsi="Times New Roman"/>
                <w:spacing w:val="10"/>
                <w:sz w:val="24"/>
              </w:rPr>
              <w:t xml:space="preserve"> </w:t>
            </w:r>
            <w:r>
              <w:rPr>
                <w:sz w:val="24"/>
              </w:rPr>
              <w:t>年版），本项目属于其中“五十一、水利，</w:t>
            </w:r>
            <w:r>
              <w:rPr>
                <w:rFonts w:ascii="Times New Roman" w:eastAsia="Times New Roman" w:hAnsi="Times New Roman"/>
                <w:sz w:val="24"/>
              </w:rPr>
              <w:t>128</w:t>
            </w:r>
            <w:r>
              <w:rPr>
                <w:rFonts w:ascii="Times New Roman" w:eastAsia="Times New Roman" w:hAnsi="Times New Roman"/>
                <w:spacing w:val="8"/>
                <w:sz w:val="24"/>
              </w:rPr>
              <w:t xml:space="preserve"> </w:t>
            </w:r>
            <w:r>
              <w:rPr>
                <w:sz w:val="24"/>
              </w:rPr>
              <w:t>河湖整治”，其中“涉及环境敏感区的”需编制报告书，“其他”编制报告表。根据名录第三条，本项目周边环境敏感区仅涉及通榆河饮用水水源保护区，距离本</w:t>
            </w:r>
            <w:r>
              <w:rPr>
                <w:spacing w:val="-17"/>
                <w:sz w:val="24"/>
              </w:rPr>
              <w:t xml:space="preserve">项目约 </w:t>
            </w:r>
            <w:r>
              <w:rPr>
                <w:rFonts w:ascii="Times New Roman" w:eastAsia="Times New Roman" w:hAnsi="Times New Roman"/>
                <w:sz w:val="24"/>
              </w:rPr>
              <w:t>110m</w:t>
            </w:r>
            <w:r>
              <w:rPr>
                <w:sz w:val="24"/>
              </w:rPr>
              <w:t>，本项目施工时，在与通榆河交汇处采用临时围挡隔绝水力联系， 本项目施工不会对通榆河产生影响，因此本项目不涉及环境敏感区，应编制报告表。阜宁县水务局委托江苏绿艾普安全环保科技有限公司进行该项目的环境影响评价工作。我单位接受委托后，组织有关技术人员进行现场勘察和周围环境质量的监测分析，根据本建设项目的特点、建设项目所在地的自然环境、社</w:t>
            </w:r>
          </w:p>
          <w:p>
            <w:pPr>
              <w:pStyle w:val="TableParagraph"/>
              <w:spacing w:line="302" w:lineRule="exact"/>
              <w:ind w:left="112"/>
              <w:rPr>
                <w:sz w:val="24"/>
              </w:rPr>
            </w:pPr>
            <w:r>
              <w:rPr>
                <w:sz w:val="24"/>
              </w:rPr>
              <w:t>会经济状况等有关资料，在此基础上完成了本项目环境影响报告表的编制，提</w:t>
            </w:r>
          </w:p>
        </w:tc>
      </w:tr>
    </w:tbl>
    <w:p>
      <w:pPr>
        <w:spacing w:after="0" w:line="302" w:lineRule="exact"/>
        <w:rPr>
          <w:sz w:val="24"/>
        </w:rPr>
        <w:sectPr>
          <w:headerReference w:type="default" r:id="rId46"/>
          <w:footerReference w:type="default" r:id="rId47"/>
          <w:pgSz w:w="11910" w:h="16840"/>
          <w:pgMar w:top="1340" w:right="1120" w:bottom="1160" w:left="1220" w:header="891" w:footer="969"/>
          <w:pgNumType w:start="21"/>
          <w:cols w:space="708"/>
        </w:sectPr>
      </w:pPr>
    </w:p>
    <w:p>
      <w:pPr>
        <w:pStyle w:val="BodyText"/>
        <w:spacing w:before="1"/>
        <w:rPr>
          <w:rFonts w:ascii="Times New Roman"/>
          <w:sz w:val="7"/>
        </w:rPr>
      </w:pPr>
    </w:p>
    <w:tbl>
      <w:tblPr>
        <w:tblStyle w:val="TableNormal18"/>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109"/>
        <w:gridCol w:w="944"/>
        <w:gridCol w:w="1884"/>
        <w:gridCol w:w="5487"/>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69"/>
          <w:jc w:val="left"/>
        </w:trPr>
        <w:tc>
          <w:tcPr>
            <w:tcW w:w="66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8315" w:type="dxa"/>
            <w:gridSpan w:val="3"/>
            <w:tcBorders>
              <w:left w:val="nil"/>
              <w:bottom w:val="nil"/>
            </w:tcBorders>
          </w:tcPr>
          <w:p>
            <w:pPr>
              <w:pStyle w:val="TableParagraph"/>
              <w:spacing w:line="301" w:lineRule="exact"/>
              <w:ind w:left="8"/>
              <w:rPr>
                <w:sz w:val="24"/>
              </w:rPr>
            </w:pPr>
            <w:r>
              <w:rPr>
                <w:sz w:val="24"/>
              </w:rPr>
              <w:t>交建设单位，供环保部门审查批准。</w:t>
            </w:r>
          </w:p>
        </w:tc>
      </w:tr>
      <w:tr>
        <w:tblPrEx>
          <w:tblW w:w="0" w:type="auto"/>
          <w:jc w:val="left"/>
          <w:tblInd w:w="198" w:type="dxa"/>
          <w:tblLayout w:type="fixed"/>
          <w:tblCellMar>
            <w:top w:w="0" w:type="dxa"/>
            <w:left w:w="0" w:type="dxa"/>
            <w:bottom w:w="0" w:type="dxa"/>
            <w:right w:w="0" w:type="dxa"/>
          </w:tblCellMar>
          <w:tblLook w:val="01E0"/>
        </w:tblPrEx>
        <w:trPr>
          <w:trHeight w:val="44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3"/>
            <w:tcBorders>
              <w:top w:val="nil"/>
              <w:left w:val="nil"/>
              <w:bottom w:val="nil"/>
            </w:tcBorders>
          </w:tcPr>
          <w:p>
            <w:pPr>
              <w:pStyle w:val="TableParagraph"/>
              <w:spacing w:before="69"/>
              <w:ind w:left="488"/>
              <w:rPr>
                <w:b/>
                <w:sz w:val="24"/>
              </w:rPr>
            </w:pPr>
            <w:r>
              <w:rPr>
                <w:b/>
                <w:sz w:val="24"/>
              </w:rPr>
              <w:t>二、项目组成</w:t>
            </w:r>
          </w:p>
        </w:tc>
      </w:tr>
      <w:tr>
        <w:tblPrEx>
          <w:tblW w:w="0" w:type="auto"/>
          <w:jc w:val="left"/>
          <w:tblInd w:w="198" w:type="dxa"/>
          <w:tblLayout w:type="fixed"/>
          <w:tblCellMar>
            <w:top w:w="0" w:type="dxa"/>
            <w:left w:w="0" w:type="dxa"/>
            <w:bottom w:w="0" w:type="dxa"/>
            <w:right w:w="0" w:type="dxa"/>
          </w:tblCellMar>
          <w:tblLook w:val="01E0"/>
        </w:tblPrEx>
        <w:trPr>
          <w:trHeight w:val="45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3"/>
            <w:tcBorders>
              <w:top w:val="nil"/>
              <w:left w:val="nil"/>
              <w:bottom w:val="nil"/>
            </w:tcBorders>
          </w:tcPr>
          <w:p>
            <w:pPr>
              <w:pStyle w:val="TableParagraph"/>
              <w:spacing w:before="73"/>
              <w:ind w:left="488"/>
              <w:rPr>
                <w:sz w:val="24"/>
              </w:rPr>
            </w:pPr>
            <w:r>
              <w:rPr>
                <w:sz w:val="24"/>
              </w:rPr>
              <w:t xml:space="preserve">本工程主要工程内容包括：实施串通河阜宁境内 </w:t>
            </w:r>
            <w:r>
              <w:rPr>
                <w:rFonts w:ascii="Times New Roman" w:eastAsia="Times New Roman"/>
                <w:sz w:val="24"/>
              </w:rPr>
              <w:t xml:space="preserve">11.51km </w:t>
            </w:r>
            <w:r>
              <w:rPr>
                <w:sz w:val="24"/>
              </w:rPr>
              <w:t>河道疏浚，建设</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3"/>
            <w:tcBorders>
              <w:top w:val="nil"/>
              <w:left w:val="nil"/>
              <w:bottom w:val="nil"/>
            </w:tcBorders>
          </w:tcPr>
          <w:p>
            <w:pPr>
              <w:pStyle w:val="TableParagraph"/>
              <w:spacing w:before="66"/>
              <w:ind w:left="8"/>
              <w:rPr>
                <w:sz w:val="24"/>
              </w:rPr>
            </w:pPr>
            <w:r>
              <w:rPr>
                <w:spacing w:val="-12"/>
                <w:sz w:val="24"/>
              </w:rPr>
              <w:t xml:space="preserve">护岸总长 </w:t>
            </w:r>
            <w:r>
              <w:rPr>
                <w:rFonts w:ascii="Times New Roman" w:eastAsia="Times New Roman"/>
                <w:sz w:val="24"/>
              </w:rPr>
              <w:t>3740m</w:t>
            </w:r>
            <w:r>
              <w:rPr>
                <w:spacing w:val="-6"/>
                <w:sz w:val="24"/>
              </w:rPr>
              <w:t xml:space="preserve">，拆建沿线影响桥梁 </w:t>
            </w:r>
            <w:r>
              <w:rPr>
                <w:rFonts w:ascii="Times New Roman" w:eastAsia="Times New Roman"/>
                <w:sz w:val="24"/>
              </w:rPr>
              <w:t xml:space="preserve">5 </w:t>
            </w:r>
            <w:r>
              <w:rPr>
                <w:spacing w:val="-6"/>
                <w:sz w:val="24"/>
              </w:rPr>
              <w:t xml:space="preserve">座、拆除废弃桥梁 </w:t>
            </w:r>
            <w:r>
              <w:rPr>
                <w:rFonts w:ascii="Times New Roman" w:eastAsia="Times New Roman"/>
                <w:sz w:val="24"/>
              </w:rPr>
              <w:t xml:space="preserve">1 </w:t>
            </w:r>
            <w:r>
              <w:rPr>
                <w:sz w:val="24"/>
              </w:rPr>
              <w:t>座，拆（新）建沿</w:t>
            </w:r>
          </w:p>
        </w:tc>
      </w:tr>
      <w:tr>
        <w:tblPrEx>
          <w:tblW w:w="0" w:type="auto"/>
          <w:jc w:val="left"/>
          <w:tblInd w:w="198" w:type="dxa"/>
          <w:tblLayout w:type="fixed"/>
          <w:tblCellMar>
            <w:top w:w="0" w:type="dxa"/>
            <w:left w:w="0" w:type="dxa"/>
            <w:bottom w:w="0" w:type="dxa"/>
            <w:right w:w="0" w:type="dxa"/>
          </w:tblCellMar>
          <w:tblLook w:val="01E0"/>
        </w:tblPrEx>
        <w:trPr>
          <w:trHeight w:val="44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3"/>
            <w:tcBorders>
              <w:top w:val="nil"/>
              <w:left w:val="nil"/>
              <w:bottom w:val="nil"/>
            </w:tcBorders>
          </w:tcPr>
          <w:p>
            <w:pPr>
              <w:pStyle w:val="TableParagraph"/>
              <w:spacing w:before="65"/>
              <w:ind w:left="8"/>
              <w:rPr>
                <w:sz w:val="24"/>
              </w:rPr>
            </w:pPr>
            <w:r>
              <w:rPr>
                <w:sz w:val="24"/>
              </w:rPr>
              <w:t xml:space="preserve">线影响闸站 </w:t>
            </w:r>
            <w:r>
              <w:rPr>
                <w:rFonts w:ascii="Times New Roman" w:eastAsia="Times New Roman"/>
                <w:sz w:val="24"/>
              </w:rPr>
              <w:t xml:space="preserve">9 </w:t>
            </w:r>
            <w:r>
              <w:rPr>
                <w:sz w:val="24"/>
              </w:rPr>
              <w:t>座。本项目建设内容及工程组成见下表。</w:t>
            </w:r>
          </w:p>
        </w:tc>
      </w:tr>
      <w:tr>
        <w:tblPrEx>
          <w:tblW w:w="0" w:type="auto"/>
          <w:jc w:val="left"/>
          <w:tblInd w:w="198" w:type="dxa"/>
          <w:tblLayout w:type="fixed"/>
          <w:tblCellMar>
            <w:top w:w="0" w:type="dxa"/>
            <w:left w:w="0" w:type="dxa"/>
            <w:bottom w:w="0" w:type="dxa"/>
            <w:right w:w="0" w:type="dxa"/>
          </w:tblCellMar>
          <w:tblLook w:val="01E0"/>
        </w:tblPrEx>
        <w:trPr>
          <w:trHeight w:val="529"/>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3"/>
            <w:tcBorders>
              <w:top w:val="nil"/>
              <w:left w:val="nil"/>
              <w:bottom w:val="single" w:sz="12" w:space="0" w:color="000000"/>
            </w:tcBorders>
          </w:tcPr>
          <w:p>
            <w:pPr>
              <w:pStyle w:val="TableParagraph"/>
              <w:spacing w:before="65"/>
              <w:ind w:left="480" w:right="81"/>
              <w:jc w:val="center"/>
              <w:rPr>
                <w:b/>
                <w:sz w:val="24"/>
              </w:rPr>
            </w:pPr>
            <w:r>
              <w:rPr>
                <w:b/>
                <w:sz w:val="24"/>
              </w:rPr>
              <w:t xml:space="preserve">表 </w:t>
            </w:r>
            <w:r>
              <w:rPr>
                <w:rFonts w:ascii="Times New Roman" w:eastAsia="Times New Roman"/>
                <w:b/>
                <w:sz w:val="24"/>
              </w:rPr>
              <w:t xml:space="preserve">2-1 </w:t>
            </w:r>
            <w:r>
              <w:rPr>
                <w:b/>
                <w:sz w:val="24"/>
              </w:rPr>
              <w:t>工程建设内容及组成表</w:t>
            </w:r>
          </w:p>
        </w:tc>
      </w:tr>
      <w:tr>
        <w:tblPrEx>
          <w:tblW w:w="0" w:type="auto"/>
          <w:jc w:val="left"/>
          <w:tblInd w:w="198" w:type="dxa"/>
          <w:tblLayout w:type="fixed"/>
          <w:tblCellMar>
            <w:top w:w="0" w:type="dxa"/>
            <w:left w:w="0" w:type="dxa"/>
            <w:bottom w:w="0" w:type="dxa"/>
            <w:right w:w="0" w:type="dxa"/>
          </w:tblCellMar>
          <w:tblLook w:val="01E0"/>
        </w:tblPrEx>
        <w:trPr>
          <w:trHeight w:val="26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single" w:sz="12" w:space="0" w:color="000000"/>
              <w:left w:val="nil"/>
              <w:bottom w:val="single" w:sz="4" w:space="0" w:color="000000"/>
              <w:right w:val="single" w:sz="4" w:space="0" w:color="000000"/>
            </w:tcBorders>
          </w:tcPr>
          <w:p>
            <w:pPr>
              <w:pStyle w:val="TableParagraph"/>
              <w:spacing w:before="1" w:line="247" w:lineRule="exact"/>
              <w:ind w:left="37" w:right="17"/>
              <w:jc w:val="center"/>
              <w:rPr>
                <w:b/>
                <w:sz w:val="21"/>
              </w:rPr>
            </w:pPr>
            <w:r>
              <w:rPr>
                <w:b/>
                <w:sz w:val="21"/>
              </w:rPr>
              <w:t>工程名称</w:t>
            </w:r>
          </w:p>
        </w:tc>
        <w:tc>
          <w:tcPr>
            <w:tcW w:w="1884" w:type="dxa"/>
            <w:tcBorders>
              <w:top w:val="single" w:sz="12" w:space="0" w:color="000000"/>
              <w:left w:val="single" w:sz="4" w:space="0" w:color="000000"/>
              <w:bottom w:val="single" w:sz="4" w:space="0" w:color="000000"/>
              <w:right w:val="single" w:sz="4" w:space="0" w:color="000000"/>
            </w:tcBorders>
          </w:tcPr>
          <w:p>
            <w:pPr>
              <w:pStyle w:val="TableParagraph"/>
              <w:spacing w:before="1" w:line="247" w:lineRule="exact"/>
              <w:ind w:left="295" w:right="276"/>
              <w:jc w:val="center"/>
              <w:rPr>
                <w:b/>
                <w:sz w:val="21"/>
              </w:rPr>
            </w:pPr>
            <w:r>
              <w:rPr>
                <w:b/>
                <w:sz w:val="21"/>
              </w:rPr>
              <w:t>建设名称</w:t>
            </w:r>
          </w:p>
        </w:tc>
        <w:tc>
          <w:tcPr>
            <w:tcW w:w="5487" w:type="dxa"/>
            <w:tcBorders>
              <w:top w:val="single" w:sz="12" w:space="0" w:color="000000"/>
              <w:left w:val="single" w:sz="4" w:space="0" w:color="000000"/>
              <w:bottom w:val="single" w:sz="4" w:space="0" w:color="000000"/>
            </w:tcBorders>
          </w:tcPr>
          <w:p>
            <w:pPr>
              <w:pStyle w:val="TableParagraph"/>
              <w:spacing w:before="1" w:line="247" w:lineRule="exact"/>
              <w:ind w:left="9" w:right="88"/>
              <w:jc w:val="center"/>
              <w:rPr>
                <w:b/>
                <w:sz w:val="21"/>
              </w:rPr>
            </w:pPr>
            <w:r>
              <w:rPr>
                <w:b/>
                <w:sz w:val="21"/>
              </w:rPr>
              <w:t>建设内容及规模</w:t>
            </w:r>
          </w:p>
        </w:tc>
      </w:tr>
      <w:tr>
        <w:tblPrEx>
          <w:tblW w:w="0" w:type="auto"/>
          <w:jc w:val="left"/>
          <w:tblInd w:w="198" w:type="dxa"/>
          <w:tblLayout w:type="fixed"/>
          <w:tblCellMar>
            <w:top w:w="0" w:type="dxa"/>
            <w:left w:w="0" w:type="dxa"/>
            <w:bottom w:w="0" w:type="dxa"/>
            <w:right w:w="0" w:type="dxa"/>
          </w:tblCellMar>
          <w:tblLook w:val="01E0"/>
        </w:tblPrEx>
        <w:trPr>
          <w:trHeight w:val="807"/>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single" w:sz="4" w:space="0" w:color="000000"/>
              <w:left w:val="nil"/>
              <w:bottom w:val="nil"/>
              <w:right w:val="single" w:sz="4" w:space="0" w:color="000000"/>
            </w:tcBorders>
          </w:tcPr>
          <w:p>
            <w:pPr>
              <w:pStyle w:val="TableParagraph"/>
              <w:rPr>
                <w:rFonts w:ascii="Times New Roman"/>
                <w:sz w:val="20"/>
              </w:rPr>
            </w:pPr>
          </w:p>
        </w:tc>
        <w:tc>
          <w:tcPr>
            <w:tcW w:w="1884"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3"/>
              </w:rPr>
            </w:pPr>
          </w:p>
          <w:p>
            <w:pPr>
              <w:pStyle w:val="TableParagraph"/>
              <w:ind w:left="292" w:right="278"/>
              <w:jc w:val="center"/>
              <w:rPr>
                <w:sz w:val="21"/>
              </w:rPr>
            </w:pPr>
            <w:r>
              <w:rPr>
                <w:sz w:val="21"/>
              </w:rPr>
              <w:t>河道工程</w:t>
            </w:r>
          </w:p>
        </w:tc>
        <w:tc>
          <w:tcPr>
            <w:tcW w:w="5487" w:type="dxa"/>
            <w:tcBorders>
              <w:top w:val="single" w:sz="4" w:space="0" w:color="000000"/>
              <w:left w:val="single" w:sz="4" w:space="0" w:color="000000"/>
              <w:bottom w:val="single" w:sz="4" w:space="0" w:color="000000"/>
            </w:tcBorders>
          </w:tcPr>
          <w:p>
            <w:pPr>
              <w:pStyle w:val="TableParagraph"/>
              <w:spacing w:line="242" w:lineRule="auto"/>
              <w:ind w:left="9" w:right="91"/>
              <w:jc w:val="center"/>
              <w:rPr>
                <w:sz w:val="21"/>
              </w:rPr>
            </w:pPr>
            <w:r>
              <w:rPr>
                <w:spacing w:val="-10"/>
                <w:sz w:val="21"/>
              </w:rPr>
              <w:t xml:space="preserve">对阜宁串通河 </w:t>
            </w:r>
            <w:r>
              <w:rPr>
                <w:rFonts w:ascii="Times New Roman" w:eastAsia="Times New Roman"/>
                <w:sz w:val="21"/>
              </w:rPr>
              <w:t xml:space="preserve">11.51km </w:t>
            </w:r>
            <w:r>
              <w:rPr>
                <w:spacing w:val="-10"/>
                <w:sz w:val="21"/>
              </w:rPr>
              <w:t>河道进行疏，河道疏浚基本沿原河道</w:t>
            </w:r>
            <w:r>
              <w:rPr>
                <w:spacing w:val="-13"/>
                <w:w w:val="95"/>
                <w:sz w:val="21"/>
              </w:rPr>
              <w:t>中心线布置，基本不拓浚现状河口，河道疏浚标准为通榆河</w:t>
            </w:r>
          </w:p>
          <w:p>
            <w:pPr>
              <w:pStyle w:val="TableParagraph"/>
              <w:spacing w:line="248" w:lineRule="exact"/>
              <w:ind w:left="9" w:right="90"/>
              <w:jc w:val="center"/>
              <w:rPr>
                <w:sz w:val="21"/>
              </w:rPr>
            </w:pPr>
            <w:r>
              <w:rPr>
                <w:sz w:val="21"/>
              </w:rPr>
              <w:t xml:space="preserve">以东底宽 </w:t>
            </w:r>
            <w:r>
              <w:rPr>
                <w:rFonts w:ascii="Times New Roman" w:eastAsia="Times New Roman"/>
                <w:sz w:val="21"/>
              </w:rPr>
              <w:t>10m</w:t>
            </w:r>
            <w:r>
              <w:rPr>
                <w:sz w:val="21"/>
              </w:rPr>
              <w:t xml:space="preserve">，底高程均为 </w:t>
            </w:r>
            <w:r>
              <w:rPr>
                <w:rFonts w:ascii="Times New Roman" w:eastAsia="Times New Roman"/>
                <w:sz w:val="21"/>
              </w:rPr>
              <w:t>2.0m</w:t>
            </w:r>
            <w:r>
              <w:rPr>
                <w:sz w:val="21"/>
              </w:rPr>
              <w:t xml:space="preserve">，边坡均为 </w:t>
            </w:r>
            <w:r>
              <w:rPr>
                <w:rFonts w:ascii="Times New Roman" w:eastAsia="Times New Roman"/>
                <w:sz w:val="21"/>
              </w:rPr>
              <w:t>1:2.5</w:t>
            </w:r>
            <w:r>
              <w:rPr>
                <w:sz w:val="21"/>
              </w:rPr>
              <w:t>。</w:t>
            </w:r>
          </w:p>
        </w:tc>
      </w:tr>
      <w:tr>
        <w:tblPrEx>
          <w:tblW w:w="0" w:type="auto"/>
          <w:jc w:val="left"/>
          <w:tblInd w:w="198" w:type="dxa"/>
          <w:tblLayout w:type="fixed"/>
          <w:tblCellMar>
            <w:top w:w="0" w:type="dxa"/>
            <w:left w:w="0" w:type="dxa"/>
            <w:bottom w:w="0" w:type="dxa"/>
            <w:right w:w="0" w:type="dxa"/>
          </w:tblCellMar>
          <w:tblLook w:val="01E0"/>
        </w:tblPrEx>
        <w:trPr>
          <w:trHeight w:val="80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spacing w:before="131"/>
              <w:ind w:left="32" w:right="17"/>
              <w:jc w:val="center"/>
              <w:rPr>
                <w:sz w:val="21"/>
              </w:rPr>
            </w:pPr>
            <w:r>
              <w:rPr>
                <w:sz w:val="21"/>
              </w:rPr>
              <w:t>主体工程</w:t>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3"/>
              </w:rPr>
            </w:pPr>
          </w:p>
          <w:p>
            <w:pPr>
              <w:pStyle w:val="TableParagraph"/>
              <w:ind w:left="292" w:right="278"/>
              <w:jc w:val="center"/>
              <w:rPr>
                <w:sz w:val="21"/>
              </w:rPr>
            </w:pPr>
            <w:r>
              <w:rPr>
                <w:sz w:val="21"/>
              </w:rPr>
              <w:t>护岸工程</w:t>
            </w:r>
          </w:p>
        </w:tc>
        <w:tc>
          <w:tcPr>
            <w:tcW w:w="5487" w:type="dxa"/>
            <w:tcBorders>
              <w:top w:val="single" w:sz="4" w:space="0" w:color="000000"/>
              <w:left w:val="single" w:sz="4" w:space="0" w:color="000000"/>
              <w:bottom w:val="single" w:sz="4" w:space="0" w:color="000000"/>
            </w:tcBorders>
          </w:tcPr>
          <w:p>
            <w:pPr>
              <w:pStyle w:val="TableParagraph"/>
              <w:spacing w:line="263" w:lineRule="exact"/>
              <w:ind w:right="87"/>
              <w:jc w:val="right"/>
              <w:rPr>
                <w:rFonts w:ascii="Times New Roman" w:eastAsia="Times New Roman"/>
                <w:sz w:val="21"/>
              </w:rPr>
            </w:pPr>
            <w:r>
              <w:rPr>
                <w:spacing w:val="-5"/>
                <w:sz w:val="21"/>
              </w:rPr>
              <w:t xml:space="preserve">串通河沿线共需建设护岸 </w:t>
            </w:r>
            <w:r>
              <w:rPr>
                <w:rFonts w:ascii="Times New Roman" w:eastAsia="Times New Roman"/>
                <w:spacing w:val="-6"/>
                <w:sz w:val="21"/>
              </w:rPr>
              <w:t>3.74km</w:t>
            </w:r>
            <w:r>
              <w:rPr>
                <w:spacing w:val="-9"/>
                <w:sz w:val="21"/>
              </w:rPr>
              <w:t xml:space="preserve">，格宾墙式护岸 </w:t>
            </w:r>
            <w:r>
              <w:rPr>
                <w:rFonts w:ascii="Times New Roman" w:eastAsia="Times New Roman"/>
                <w:sz w:val="21"/>
              </w:rPr>
              <w:t>2.669</w:t>
            </w:r>
          </w:p>
          <w:p>
            <w:pPr>
              <w:pStyle w:val="TableParagraph"/>
              <w:spacing w:before="4"/>
              <w:ind w:right="89"/>
              <w:jc w:val="right"/>
              <w:rPr>
                <w:sz w:val="21"/>
              </w:rPr>
            </w:pPr>
            <w:r>
              <w:rPr>
                <w:spacing w:val="-9"/>
                <w:sz w:val="21"/>
              </w:rPr>
              <w:t xml:space="preserve">千米。高分子仿木桩护岸 </w:t>
            </w:r>
            <w:r>
              <w:rPr>
                <w:rFonts w:ascii="Times New Roman" w:eastAsia="Times New Roman"/>
                <w:sz w:val="21"/>
              </w:rPr>
              <w:t>0.365</w:t>
            </w:r>
            <w:r>
              <w:rPr>
                <w:rFonts w:ascii="Times New Roman" w:eastAsia="Times New Roman"/>
                <w:spacing w:val="-9"/>
                <w:sz w:val="21"/>
              </w:rPr>
              <w:t xml:space="preserve"> </w:t>
            </w:r>
            <w:r>
              <w:rPr>
                <w:spacing w:val="-4"/>
                <w:sz w:val="21"/>
              </w:rPr>
              <w:t>千米。钢筋混凝土仿木桩护</w:t>
            </w:r>
          </w:p>
          <w:p>
            <w:pPr>
              <w:pStyle w:val="TableParagraph"/>
              <w:spacing w:before="2" w:line="248" w:lineRule="exact"/>
              <w:ind w:left="9"/>
              <w:rPr>
                <w:sz w:val="21"/>
              </w:rPr>
            </w:pPr>
            <w:r>
              <w:rPr>
                <w:sz w:val="21"/>
              </w:rPr>
              <w:t xml:space="preserve">岸 </w:t>
            </w:r>
            <w:r>
              <w:rPr>
                <w:rFonts w:ascii="Times New Roman" w:eastAsia="Times New Roman"/>
                <w:sz w:val="21"/>
              </w:rPr>
              <w:t xml:space="preserve">0.706 </w:t>
            </w:r>
            <w:r>
              <w:rPr>
                <w:sz w:val="21"/>
              </w:rPr>
              <w:t>千米。</w:t>
            </w:r>
          </w:p>
        </w:tc>
      </w:tr>
      <w:tr>
        <w:tblPrEx>
          <w:tblW w:w="0" w:type="auto"/>
          <w:jc w:val="left"/>
          <w:tblInd w:w="198" w:type="dxa"/>
          <w:tblLayout w:type="fixed"/>
          <w:tblCellMar>
            <w:top w:w="0" w:type="dxa"/>
            <w:left w:w="0" w:type="dxa"/>
            <w:bottom w:w="0" w:type="dxa"/>
            <w:right w:w="0" w:type="dxa"/>
          </w:tblCellMar>
          <w:tblLook w:val="01E0"/>
        </w:tblPrEx>
        <w:trPr>
          <w:trHeight w:val="53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single" w:sz="4" w:space="0" w:color="000000"/>
              <w:right w:val="single" w:sz="4" w:space="0" w:color="000000"/>
            </w:tcBorders>
          </w:tcPr>
          <w:p>
            <w:pPr>
              <w:pStyle w:val="TableParagraph"/>
              <w:rPr>
                <w:rFonts w:ascii="Times New Roman"/>
                <w:sz w:val="20"/>
              </w:rPr>
            </w:pPr>
          </w:p>
        </w:tc>
        <w:tc>
          <w:tcPr>
            <w:tcW w:w="1884" w:type="dxa"/>
            <w:tcBorders>
              <w:top w:val="single" w:sz="4" w:space="0" w:color="000000"/>
              <w:left w:val="single" w:sz="4" w:space="0" w:color="000000"/>
              <w:bottom w:val="single" w:sz="4" w:space="0" w:color="000000"/>
              <w:right w:val="single" w:sz="4" w:space="0" w:color="000000"/>
            </w:tcBorders>
          </w:tcPr>
          <w:p>
            <w:pPr>
              <w:pStyle w:val="TableParagraph"/>
              <w:spacing w:before="129"/>
              <w:ind w:left="295" w:right="276"/>
              <w:jc w:val="center"/>
              <w:rPr>
                <w:sz w:val="21"/>
              </w:rPr>
            </w:pPr>
            <w:r>
              <w:rPr>
                <w:sz w:val="21"/>
              </w:rPr>
              <w:t>建筑物工程</w:t>
            </w:r>
          </w:p>
        </w:tc>
        <w:tc>
          <w:tcPr>
            <w:tcW w:w="5487" w:type="dxa"/>
            <w:tcBorders>
              <w:top w:val="single" w:sz="4" w:space="0" w:color="000000"/>
              <w:left w:val="single" w:sz="4" w:space="0" w:color="000000"/>
              <w:bottom w:val="single" w:sz="4" w:space="0" w:color="000000"/>
            </w:tcBorders>
          </w:tcPr>
          <w:p>
            <w:pPr>
              <w:pStyle w:val="TableParagraph"/>
              <w:spacing w:line="264" w:lineRule="exact"/>
              <w:ind w:left="9" w:right="88"/>
              <w:jc w:val="center"/>
              <w:rPr>
                <w:sz w:val="21"/>
              </w:rPr>
            </w:pPr>
            <w:r>
              <w:rPr>
                <w:spacing w:val="-4"/>
                <w:sz w:val="21"/>
              </w:rPr>
              <w:t>本工程共拆</w:t>
            </w:r>
            <w:r>
              <w:rPr>
                <w:sz w:val="21"/>
              </w:rPr>
              <w:t>（新</w:t>
            </w:r>
            <w:r>
              <w:rPr>
                <w:spacing w:val="-17"/>
                <w:sz w:val="21"/>
              </w:rPr>
              <w:t>）</w:t>
            </w:r>
            <w:r>
              <w:rPr>
                <w:spacing w:val="-12"/>
                <w:sz w:val="21"/>
              </w:rPr>
              <w:t xml:space="preserve">建水闸、洞站、闸站 </w:t>
            </w:r>
            <w:r>
              <w:rPr>
                <w:rFonts w:ascii="Times New Roman" w:eastAsia="Times New Roman"/>
                <w:sz w:val="21"/>
              </w:rPr>
              <w:t xml:space="preserve">9 </w:t>
            </w:r>
            <w:r>
              <w:rPr>
                <w:spacing w:val="-4"/>
                <w:sz w:val="21"/>
              </w:rPr>
              <w:t>座，拆建跨河桥梁</w:t>
            </w:r>
          </w:p>
          <w:p>
            <w:pPr>
              <w:pStyle w:val="TableParagraph"/>
              <w:spacing w:before="2" w:line="247" w:lineRule="exact"/>
              <w:ind w:left="9" w:right="90"/>
              <w:jc w:val="center"/>
              <w:rPr>
                <w:sz w:val="21"/>
              </w:rPr>
            </w:pPr>
            <w:r>
              <w:rPr>
                <w:rFonts w:ascii="Times New Roman" w:eastAsia="Times New Roman"/>
                <w:sz w:val="21"/>
              </w:rPr>
              <w:t xml:space="preserve">5 </w:t>
            </w:r>
            <w:r>
              <w:rPr>
                <w:sz w:val="21"/>
              </w:rPr>
              <w:t xml:space="preserve">座、拆除 </w:t>
            </w:r>
            <w:r>
              <w:rPr>
                <w:rFonts w:ascii="Times New Roman" w:eastAsia="Times New Roman"/>
                <w:sz w:val="21"/>
              </w:rPr>
              <w:t xml:space="preserve">1 </w:t>
            </w:r>
            <w:r>
              <w:rPr>
                <w:sz w:val="21"/>
              </w:rPr>
              <w:t>座。</w:t>
            </w:r>
          </w:p>
        </w:tc>
      </w:tr>
      <w:tr>
        <w:tblPrEx>
          <w:tblW w:w="0" w:type="auto"/>
          <w:jc w:val="left"/>
          <w:tblInd w:w="198" w:type="dxa"/>
          <w:tblLayout w:type="fixed"/>
          <w:tblCellMar>
            <w:top w:w="0" w:type="dxa"/>
            <w:left w:w="0" w:type="dxa"/>
            <w:bottom w:w="0" w:type="dxa"/>
            <w:right w:w="0" w:type="dxa"/>
          </w:tblCellMar>
          <w:tblLook w:val="01E0"/>
        </w:tblPrEx>
        <w:trPr>
          <w:trHeight w:val="94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single" w:sz="4" w:space="0" w:color="000000"/>
              <w:left w:val="nil"/>
              <w:bottom w:val="nil"/>
              <w:right w:val="single" w:sz="4" w:space="0" w:color="000000"/>
            </w:tcBorders>
          </w:tcPr>
          <w:p>
            <w:pPr>
              <w:pStyle w:val="TableParagraph"/>
              <w:rPr>
                <w:rFonts w:ascii="Times New Roman"/>
                <w:sz w:val="20"/>
              </w:rPr>
            </w:pPr>
          </w:p>
        </w:tc>
        <w:tc>
          <w:tcPr>
            <w:tcW w:w="1884"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7"/>
              </w:rPr>
            </w:pPr>
          </w:p>
          <w:p>
            <w:pPr>
              <w:pStyle w:val="TableParagraph"/>
              <w:ind w:left="295" w:right="278"/>
              <w:jc w:val="center"/>
              <w:rPr>
                <w:sz w:val="21"/>
              </w:rPr>
            </w:pPr>
            <w:r>
              <w:rPr>
                <w:sz w:val="21"/>
              </w:rPr>
              <w:t>施工临时场地</w:t>
            </w:r>
          </w:p>
        </w:tc>
        <w:tc>
          <w:tcPr>
            <w:tcW w:w="5487" w:type="dxa"/>
            <w:vMerge w:val="restart"/>
            <w:tcBorders>
              <w:top w:val="single" w:sz="4" w:space="0" w:color="000000"/>
              <w:left w:val="single" w:sz="4" w:space="0" w:color="000000"/>
              <w:bottom w:val="single" w:sz="4" w:space="0" w:color="000000"/>
            </w:tcBorders>
          </w:tcPr>
          <w:p>
            <w:pPr>
              <w:pStyle w:val="TableParagraph"/>
              <w:spacing w:line="242" w:lineRule="auto"/>
              <w:ind w:left="9" w:right="-29" w:firstLine="420"/>
              <w:jc w:val="both"/>
              <w:rPr>
                <w:sz w:val="21"/>
              </w:rPr>
            </w:pPr>
            <w:r>
              <w:rPr>
                <w:spacing w:val="-10"/>
                <w:sz w:val="21"/>
              </w:rPr>
              <w:t>本项目木材、钢筋、混凝土等均为外购成品，施工机械</w:t>
            </w:r>
            <w:r>
              <w:rPr>
                <w:spacing w:val="-15"/>
                <w:sz w:val="21"/>
              </w:rPr>
              <w:t>修理利用周边城镇修配厂进行，河道施工生产临时设施占地</w:t>
            </w:r>
            <w:r>
              <w:rPr>
                <w:spacing w:val="-19"/>
                <w:sz w:val="21"/>
              </w:rPr>
              <w:t>主要包括建材料场、仓库、设备停放场等，项目不设油料库。</w:t>
            </w:r>
          </w:p>
          <w:p>
            <w:pPr>
              <w:pStyle w:val="TableParagraph"/>
              <w:spacing w:line="270" w:lineRule="atLeast"/>
              <w:ind w:left="9" w:right="89"/>
              <w:jc w:val="both"/>
              <w:rPr>
                <w:sz w:val="21"/>
              </w:rPr>
            </w:pPr>
            <w:r>
              <w:rPr>
                <w:spacing w:val="-5"/>
                <w:sz w:val="21"/>
              </w:rPr>
              <w:t xml:space="preserve">本项目临时施工区共设置 </w:t>
            </w:r>
            <w:r>
              <w:rPr>
                <w:rFonts w:ascii="Times New Roman" w:eastAsia="Times New Roman"/>
                <w:sz w:val="21"/>
              </w:rPr>
              <w:t xml:space="preserve">13 </w:t>
            </w:r>
            <w:r>
              <w:rPr>
                <w:spacing w:val="-6"/>
                <w:sz w:val="21"/>
              </w:rPr>
              <w:t xml:space="preserve">个，每处面积约 </w:t>
            </w:r>
            <w:r>
              <w:rPr>
                <w:rFonts w:ascii="Times New Roman" w:eastAsia="Times New Roman"/>
                <w:sz w:val="21"/>
              </w:rPr>
              <w:t>450m</w:t>
            </w:r>
            <w:r>
              <w:rPr>
                <w:rFonts w:ascii="Times New Roman" w:eastAsia="Times New Roman"/>
                <w:position w:val="7"/>
                <w:sz w:val="13"/>
              </w:rPr>
              <w:t>2</w:t>
            </w:r>
            <w:r>
              <w:rPr>
                <w:spacing w:val="1"/>
                <w:sz w:val="21"/>
              </w:rPr>
              <w:t>，则临</w:t>
            </w:r>
            <w:r>
              <w:rPr>
                <w:spacing w:val="-7"/>
                <w:sz w:val="21"/>
              </w:rPr>
              <w:t xml:space="preserve">时施工用地约 </w:t>
            </w:r>
            <w:r>
              <w:rPr>
                <w:rFonts w:ascii="Times New Roman" w:eastAsia="Times New Roman"/>
                <w:sz w:val="21"/>
              </w:rPr>
              <w:t>5850m</w:t>
            </w:r>
            <w:r>
              <w:rPr>
                <w:rFonts w:ascii="Times New Roman" w:eastAsia="Times New Roman"/>
                <w:position w:val="7"/>
                <w:sz w:val="13"/>
              </w:rPr>
              <w:t>2</w:t>
            </w:r>
            <w:r>
              <w:rPr>
                <w:sz w:val="21"/>
              </w:rPr>
              <w:t>。</w:t>
            </w:r>
          </w:p>
        </w:tc>
      </w:tr>
      <w:tr>
        <w:tblPrEx>
          <w:tblW w:w="0" w:type="auto"/>
          <w:jc w:val="left"/>
          <w:tblInd w:w="198" w:type="dxa"/>
          <w:tblLayout w:type="fixed"/>
          <w:tblCellMar>
            <w:top w:w="0" w:type="dxa"/>
            <w:left w:w="0" w:type="dxa"/>
            <w:bottom w:w="0" w:type="dxa"/>
            <w:right w:w="0" w:type="dxa"/>
          </w:tblCellMar>
          <w:tblLook w:val="01E0"/>
        </w:tblPrEx>
        <w:trPr>
          <w:trHeight w:val="389"/>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spacing w:before="132" w:line="237" w:lineRule="exact"/>
              <w:ind w:left="32" w:right="17"/>
              <w:jc w:val="center"/>
              <w:rPr>
                <w:sz w:val="21"/>
              </w:rPr>
            </w:pPr>
            <w:r>
              <w:rPr>
                <w:sz w:val="21"/>
              </w:rPr>
              <w:t>临时工程</w:t>
            </w:r>
          </w:p>
        </w:tc>
        <w:tc>
          <w:tcPr>
            <w:tcW w:w="188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5487"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59"/>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18"/>
              </w:rPr>
            </w:pPr>
          </w:p>
        </w:tc>
        <w:tc>
          <w:tcPr>
            <w:tcW w:w="1884"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295" w:right="278"/>
              <w:jc w:val="center"/>
              <w:rPr>
                <w:sz w:val="21"/>
              </w:rPr>
            </w:pPr>
            <w:r>
              <w:rPr>
                <w:sz w:val="21"/>
              </w:rPr>
              <w:t>施工临时道路</w:t>
            </w:r>
          </w:p>
        </w:tc>
        <w:tc>
          <w:tcPr>
            <w:tcW w:w="5487" w:type="dxa"/>
            <w:tcBorders>
              <w:top w:val="single" w:sz="4" w:space="0" w:color="000000"/>
              <w:left w:val="single" w:sz="4" w:space="0" w:color="000000"/>
              <w:bottom w:val="single" w:sz="4" w:space="0" w:color="000000"/>
            </w:tcBorders>
          </w:tcPr>
          <w:p>
            <w:pPr>
              <w:pStyle w:val="TableParagraph"/>
              <w:spacing w:line="239" w:lineRule="exact"/>
              <w:ind w:left="398"/>
              <w:rPr>
                <w:sz w:val="21"/>
              </w:rPr>
            </w:pPr>
            <w:r>
              <w:rPr>
                <w:sz w:val="21"/>
              </w:rPr>
              <w:t xml:space="preserve">本工程共设置临时道路 </w:t>
            </w:r>
            <w:r>
              <w:rPr>
                <w:rFonts w:ascii="Times New Roman" w:eastAsia="Times New Roman"/>
                <w:sz w:val="21"/>
              </w:rPr>
              <w:t>5km</w:t>
            </w:r>
            <w:r>
              <w:rPr>
                <w:sz w:val="21"/>
              </w:rPr>
              <w:t xml:space="preserve">，总面积为 </w:t>
            </w:r>
            <w:r>
              <w:rPr>
                <w:rFonts w:ascii="Times New Roman" w:eastAsia="Times New Roman"/>
                <w:sz w:val="21"/>
              </w:rPr>
              <w:t>17500m</w:t>
            </w:r>
            <w:r>
              <w:rPr>
                <w:rFonts w:ascii="Times New Roman" w:eastAsia="Times New Roman"/>
                <w:position w:val="7"/>
                <w:sz w:val="13"/>
              </w:rPr>
              <w:t>2</w:t>
            </w:r>
            <w:r>
              <w:rPr>
                <w:sz w:val="21"/>
              </w:rPr>
              <w:t>。</w:t>
            </w:r>
          </w:p>
        </w:tc>
      </w:tr>
      <w:tr>
        <w:tblPrEx>
          <w:tblW w:w="0" w:type="auto"/>
          <w:jc w:val="left"/>
          <w:tblInd w:w="198" w:type="dxa"/>
          <w:tblLayout w:type="fixed"/>
          <w:tblCellMar>
            <w:top w:w="0" w:type="dxa"/>
            <w:left w:w="0" w:type="dxa"/>
            <w:bottom w:w="0" w:type="dxa"/>
            <w:right w:w="0" w:type="dxa"/>
          </w:tblCellMar>
          <w:tblLook w:val="01E0"/>
        </w:tblPrEx>
        <w:trPr>
          <w:trHeight w:val="80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single" w:sz="4" w:space="0" w:color="000000"/>
              <w:right w:val="single" w:sz="4" w:space="0" w:color="000000"/>
            </w:tcBorders>
          </w:tcPr>
          <w:p>
            <w:pPr>
              <w:pStyle w:val="TableParagraph"/>
              <w:rPr>
                <w:rFonts w:ascii="Times New Roman"/>
                <w:sz w:val="20"/>
              </w:rPr>
            </w:pPr>
          </w:p>
        </w:tc>
        <w:tc>
          <w:tcPr>
            <w:tcW w:w="1884"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295" w:right="276"/>
              <w:jc w:val="center"/>
              <w:rPr>
                <w:sz w:val="21"/>
              </w:rPr>
            </w:pPr>
            <w:r>
              <w:rPr>
                <w:sz w:val="21"/>
              </w:rPr>
              <w:t>临时排泥池</w:t>
            </w:r>
          </w:p>
        </w:tc>
        <w:tc>
          <w:tcPr>
            <w:tcW w:w="5487" w:type="dxa"/>
            <w:tcBorders>
              <w:top w:val="single" w:sz="4" w:space="0" w:color="000000"/>
              <w:left w:val="single" w:sz="4" w:space="0" w:color="000000"/>
              <w:bottom w:val="single" w:sz="4" w:space="0" w:color="000000"/>
            </w:tcBorders>
          </w:tcPr>
          <w:p>
            <w:pPr>
              <w:pStyle w:val="TableParagraph"/>
              <w:spacing w:line="264" w:lineRule="exact"/>
              <w:ind w:left="9" w:firstLine="31"/>
              <w:rPr>
                <w:sz w:val="21"/>
              </w:rPr>
            </w:pPr>
            <w:r>
              <w:rPr>
                <w:sz w:val="21"/>
              </w:rPr>
              <w:t xml:space="preserve">本项目设置临时排泥池 </w:t>
            </w:r>
            <w:r>
              <w:rPr>
                <w:rFonts w:ascii="Times New Roman" w:eastAsia="Times New Roman"/>
                <w:sz w:val="21"/>
              </w:rPr>
              <w:t xml:space="preserve">3 </w:t>
            </w:r>
            <w:r>
              <w:rPr>
                <w:sz w:val="21"/>
              </w:rPr>
              <w:t xml:space="preserve">个，堆土高度 </w:t>
            </w:r>
            <w:r>
              <w:rPr>
                <w:rFonts w:ascii="Times New Roman" w:eastAsia="Times New Roman"/>
                <w:sz w:val="21"/>
              </w:rPr>
              <w:t>2.5m</w:t>
            </w:r>
            <w:r>
              <w:rPr>
                <w:sz w:val="21"/>
              </w:rPr>
              <w:t>，排泥场围堰</w:t>
            </w:r>
          </w:p>
          <w:p>
            <w:pPr>
              <w:pStyle w:val="TableParagraph"/>
              <w:spacing w:before="3" w:line="270" w:lineRule="atLeast"/>
              <w:ind w:left="1485" w:right="91" w:hanging="1476"/>
              <w:rPr>
                <w:sz w:val="21"/>
              </w:rPr>
            </w:pPr>
            <w:r>
              <w:rPr>
                <w:spacing w:val="-9"/>
                <w:sz w:val="21"/>
              </w:rPr>
              <w:t xml:space="preserve">设计标准为：高度 </w:t>
            </w:r>
            <w:r>
              <w:rPr>
                <w:rFonts w:ascii="Times New Roman" w:eastAsia="Times New Roman"/>
                <w:spacing w:val="-3"/>
                <w:sz w:val="21"/>
              </w:rPr>
              <w:t>3.0m</w:t>
            </w:r>
            <w:r>
              <w:rPr>
                <w:spacing w:val="-15"/>
                <w:sz w:val="21"/>
              </w:rPr>
              <w:t xml:space="preserve">，顶宽 </w:t>
            </w:r>
            <w:r>
              <w:rPr>
                <w:rFonts w:ascii="Times New Roman" w:eastAsia="Times New Roman"/>
                <w:spacing w:val="-3"/>
                <w:sz w:val="21"/>
              </w:rPr>
              <w:t>2.0m</w:t>
            </w:r>
            <w:r>
              <w:rPr>
                <w:spacing w:val="-13"/>
                <w:sz w:val="21"/>
              </w:rPr>
              <w:t xml:space="preserve">，外边坡 </w:t>
            </w:r>
            <w:r>
              <w:rPr>
                <w:rFonts w:ascii="Times New Roman" w:eastAsia="Times New Roman"/>
                <w:spacing w:val="-3"/>
                <w:sz w:val="21"/>
              </w:rPr>
              <w:t>1:2.5</w:t>
            </w:r>
            <w:r>
              <w:rPr>
                <w:spacing w:val="-2"/>
                <w:sz w:val="21"/>
              </w:rPr>
              <w:t>，内边坡</w:t>
            </w:r>
            <w:r>
              <w:rPr>
                <w:rFonts w:ascii="Times New Roman" w:eastAsia="Times New Roman"/>
                <w:spacing w:val="-2"/>
                <w:sz w:val="21"/>
              </w:rPr>
              <w:t>1:2</w:t>
            </w:r>
            <w:r>
              <w:rPr>
                <w:spacing w:val="-11"/>
                <w:sz w:val="21"/>
              </w:rPr>
              <w:t xml:space="preserve">。总面积约 </w:t>
            </w:r>
            <w:r>
              <w:rPr>
                <w:rFonts w:ascii="Times New Roman" w:eastAsia="Times New Roman"/>
                <w:sz w:val="21"/>
              </w:rPr>
              <w:t xml:space="preserve">219.17 </w:t>
            </w:r>
            <w:r>
              <w:rPr>
                <w:sz w:val="21"/>
              </w:rPr>
              <w:t>亩。</w:t>
            </w:r>
          </w:p>
        </w:tc>
      </w:tr>
      <w:tr>
        <w:tblPrEx>
          <w:tblW w:w="0" w:type="auto"/>
          <w:jc w:val="left"/>
          <w:tblInd w:w="198" w:type="dxa"/>
          <w:tblLayout w:type="fixed"/>
          <w:tblCellMar>
            <w:top w:w="0" w:type="dxa"/>
            <w:left w:w="0" w:type="dxa"/>
            <w:bottom w:w="0" w:type="dxa"/>
            <w:right w:w="0" w:type="dxa"/>
          </w:tblCellMar>
          <w:tblLook w:val="01E0"/>
        </w:tblPrEx>
        <w:trPr>
          <w:trHeight w:val="25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vMerge w:val="restart"/>
            <w:tcBorders>
              <w:top w:val="single" w:sz="4" w:space="0" w:color="000000"/>
              <w:left w:val="nil"/>
              <w:bottom w:val="single" w:sz="4" w:space="0" w:color="000000"/>
              <w:right w:val="single" w:sz="4" w:space="0" w:color="000000"/>
            </w:tcBorders>
          </w:tcPr>
          <w:p>
            <w:pPr>
              <w:pStyle w:val="TableParagraph"/>
              <w:spacing w:before="130"/>
              <w:ind w:left="58"/>
              <w:rPr>
                <w:sz w:val="21"/>
              </w:rPr>
            </w:pPr>
            <w:r>
              <w:rPr>
                <w:sz w:val="21"/>
              </w:rPr>
              <w:t>辅助工程</w:t>
            </w:r>
          </w:p>
        </w:tc>
        <w:tc>
          <w:tcPr>
            <w:tcW w:w="18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105"/>
              <w:rPr>
                <w:sz w:val="21"/>
              </w:rPr>
            </w:pPr>
            <w:r>
              <w:rPr>
                <w:sz w:val="21"/>
              </w:rPr>
              <w:t>施工人员生活场地</w:t>
            </w:r>
          </w:p>
        </w:tc>
        <w:tc>
          <w:tcPr>
            <w:tcW w:w="5487" w:type="dxa"/>
            <w:tcBorders>
              <w:top w:val="single" w:sz="4" w:space="0" w:color="000000"/>
              <w:left w:val="single" w:sz="4" w:space="0" w:color="000000"/>
              <w:bottom w:val="nil"/>
            </w:tcBorders>
          </w:tcPr>
          <w:p>
            <w:pPr>
              <w:pStyle w:val="TableParagraph"/>
              <w:spacing w:line="236" w:lineRule="exact"/>
              <w:ind w:left="69"/>
              <w:rPr>
                <w:sz w:val="21"/>
              </w:rPr>
            </w:pPr>
            <w:r>
              <w:rPr>
                <w:sz w:val="21"/>
              </w:rPr>
              <w:t>本项目不单独设置生活场地，施工人员住宿均依托周边农</w:t>
            </w:r>
          </w:p>
        </w:tc>
      </w:tr>
      <w:tr>
        <w:tblPrEx>
          <w:tblW w:w="0" w:type="auto"/>
          <w:jc w:val="left"/>
          <w:tblInd w:w="198" w:type="dxa"/>
          <w:tblLayout w:type="fixed"/>
          <w:tblCellMar>
            <w:top w:w="0" w:type="dxa"/>
            <w:left w:w="0" w:type="dxa"/>
            <w:bottom w:w="0" w:type="dxa"/>
            <w:right w:w="0" w:type="dxa"/>
          </w:tblCellMar>
          <w:tblLook w:val="01E0"/>
        </w:tblPrEx>
        <w:trPr>
          <w:trHeight w:val="25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vMerge/>
            <w:tcBorders>
              <w:top w:val="nil"/>
              <w:left w:val="nil"/>
              <w:bottom w:val="single" w:sz="4" w:space="0" w:color="000000"/>
              <w:right w:val="single" w:sz="4" w:space="0" w:color="000000"/>
            </w:tcBorders>
          </w:tcPr>
          <w:p>
            <w:pPr>
              <w:rPr>
                <w:sz w:val="2"/>
                <w:szCs w:val="2"/>
              </w:rPr>
            </w:pPr>
          </w:p>
        </w:tc>
        <w:tc>
          <w:tcPr>
            <w:tcW w:w="1884" w:type="dxa"/>
            <w:vMerge/>
            <w:tcBorders>
              <w:top w:val="nil"/>
              <w:left w:val="single" w:sz="4" w:space="0" w:color="000000"/>
              <w:bottom w:val="single" w:sz="4" w:space="0" w:color="000000"/>
              <w:right w:val="single" w:sz="4" w:space="0" w:color="000000"/>
            </w:tcBorders>
          </w:tcPr>
          <w:p>
            <w:pPr>
              <w:rPr>
                <w:sz w:val="2"/>
                <w:szCs w:val="2"/>
              </w:rPr>
            </w:pPr>
          </w:p>
        </w:tc>
        <w:tc>
          <w:tcPr>
            <w:tcW w:w="5487" w:type="dxa"/>
            <w:tcBorders>
              <w:top w:val="nil"/>
              <w:left w:val="single" w:sz="4" w:space="0" w:color="000000"/>
              <w:bottom w:val="single" w:sz="4" w:space="0" w:color="000000"/>
            </w:tcBorders>
          </w:tcPr>
          <w:p>
            <w:pPr>
              <w:pStyle w:val="TableParagraph"/>
              <w:spacing w:line="238" w:lineRule="exact"/>
              <w:ind w:left="9" w:right="88"/>
              <w:jc w:val="center"/>
              <w:rPr>
                <w:sz w:val="21"/>
              </w:rPr>
            </w:pPr>
            <w:r>
              <w:rPr>
                <w:sz w:val="21"/>
              </w:rPr>
              <w:t>户。</w:t>
            </w:r>
          </w:p>
        </w:tc>
      </w:tr>
      <w:tr>
        <w:tblPrEx>
          <w:tblW w:w="0" w:type="auto"/>
          <w:jc w:val="left"/>
          <w:tblInd w:w="198" w:type="dxa"/>
          <w:tblLayout w:type="fixed"/>
          <w:tblCellMar>
            <w:top w:w="0" w:type="dxa"/>
            <w:left w:w="0" w:type="dxa"/>
            <w:bottom w:w="0" w:type="dxa"/>
            <w:right w:w="0" w:type="dxa"/>
          </w:tblCellMar>
          <w:tblLook w:val="01E0"/>
        </w:tblPrEx>
        <w:trPr>
          <w:trHeight w:val="25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single" w:sz="4" w:space="0" w:color="000000"/>
              <w:left w:val="nil"/>
              <w:bottom w:val="nil"/>
              <w:right w:val="single" w:sz="4" w:space="0" w:color="000000"/>
            </w:tcBorders>
          </w:tcPr>
          <w:p>
            <w:pPr>
              <w:pStyle w:val="TableParagraph"/>
              <w:rPr>
                <w:rFonts w:ascii="Times New Roman"/>
                <w:sz w:val="18"/>
              </w:rPr>
            </w:pPr>
          </w:p>
        </w:tc>
        <w:tc>
          <w:tcPr>
            <w:tcW w:w="18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295" w:right="278"/>
              <w:jc w:val="center"/>
              <w:rPr>
                <w:sz w:val="21"/>
              </w:rPr>
            </w:pPr>
            <w:r>
              <w:rPr>
                <w:sz w:val="21"/>
              </w:rPr>
              <w:t>给水</w:t>
            </w:r>
          </w:p>
        </w:tc>
        <w:tc>
          <w:tcPr>
            <w:tcW w:w="5487" w:type="dxa"/>
            <w:tcBorders>
              <w:top w:val="single" w:sz="4" w:space="0" w:color="000000"/>
              <w:left w:val="single" w:sz="4" w:space="0" w:color="000000"/>
              <w:bottom w:val="nil"/>
            </w:tcBorders>
          </w:tcPr>
          <w:p>
            <w:pPr>
              <w:pStyle w:val="TableParagraph"/>
              <w:spacing w:line="236" w:lineRule="exact"/>
              <w:ind w:left="9"/>
              <w:rPr>
                <w:sz w:val="21"/>
              </w:rPr>
            </w:pPr>
            <w:r>
              <w:rPr>
                <w:sz w:val="21"/>
              </w:rPr>
              <w:t>施工用水直接从附近的串通河抽取，施工人员用水来自市政</w:t>
            </w:r>
          </w:p>
        </w:tc>
      </w:tr>
      <w:tr>
        <w:tblPrEx>
          <w:tblW w:w="0" w:type="auto"/>
          <w:jc w:val="left"/>
          <w:tblInd w:w="198" w:type="dxa"/>
          <w:tblLayout w:type="fixed"/>
          <w:tblCellMar>
            <w:top w:w="0" w:type="dxa"/>
            <w:left w:w="0" w:type="dxa"/>
            <w:bottom w:w="0" w:type="dxa"/>
            <w:right w:w="0" w:type="dxa"/>
          </w:tblCellMar>
          <w:tblLook w:val="01E0"/>
        </w:tblPrEx>
        <w:trPr>
          <w:trHeight w:val="25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vMerge w:val="restart"/>
            <w:tcBorders>
              <w:top w:val="nil"/>
              <w:left w:val="nil"/>
              <w:bottom w:val="single" w:sz="4" w:space="0" w:color="000000"/>
              <w:right w:val="single" w:sz="4" w:space="0" w:color="000000"/>
            </w:tcBorders>
          </w:tcPr>
          <w:p>
            <w:pPr>
              <w:pStyle w:val="TableParagraph"/>
              <w:spacing w:before="132"/>
              <w:ind w:left="58"/>
              <w:rPr>
                <w:sz w:val="21"/>
              </w:rPr>
            </w:pPr>
            <w:r>
              <w:rPr>
                <w:sz w:val="21"/>
              </w:rPr>
              <w:t>公用工程</w:t>
            </w:r>
          </w:p>
        </w:tc>
        <w:tc>
          <w:tcPr>
            <w:tcW w:w="1884" w:type="dxa"/>
            <w:vMerge/>
            <w:tcBorders>
              <w:top w:val="nil"/>
              <w:left w:val="single" w:sz="4" w:space="0" w:color="000000"/>
              <w:bottom w:val="single" w:sz="4" w:space="0" w:color="000000"/>
              <w:right w:val="single" w:sz="4" w:space="0" w:color="000000"/>
            </w:tcBorders>
          </w:tcPr>
          <w:p>
            <w:pPr>
              <w:rPr>
                <w:sz w:val="2"/>
                <w:szCs w:val="2"/>
              </w:rPr>
            </w:pPr>
          </w:p>
        </w:tc>
        <w:tc>
          <w:tcPr>
            <w:tcW w:w="5487" w:type="dxa"/>
            <w:tcBorders>
              <w:top w:val="nil"/>
              <w:left w:val="single" w:sz="4" w:space="0" w:color="000000"/>
              <w:bottom w:val="single" w:sz="4" w:space="0" w:color="000000"/>
            </w:tcBorders>
          </w:tcPr>
          <w:p>
            <w:pPr>
              <w:pStyle w:val="TableParagraph"/>
              <w:spacing w:line="239" w:lineRule="exact"/>
              <w:ind w:left="9" w:right="88"/>
              <w:jc w:val="center"/>
              <w:rPr>
                <w:sz w:val="21"/>
              </w:rPr>
            </w:pPr>
            <w:r>
              <w:rPr>
                <w:sz w:val="21"/>
              </w:rPr>
              <w:t>供水。</w:t>
            </w:r>
          </w:p>
        </w:tc>
      </w:tr>
      <w:tr>
        <w:tblPrEx>
          <w:tblW w:w="0" w:type="auto"/>
          <w:jc w:val="left"/>
          <w:tblInd w:w="198" w:type="dxa"/>
          <w:tblLayout w:type="fixed"/>
          <w:tblCellMar>
            <w:top w:w="0" w:type="dxa"/>
            <w:left w:w="0" w:type="dxa"/>
            <w:bottom w:w="0" w:type="dxa"/>
            <w:right w:w="0" w:type="dxa"/>
          </w:tblCellMar>
          <w:tblLook w:val="01E0"/>
        </w:tblPrEx>
        <w:trPr>
          <w:trHeight w:val="53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vMerge/>
            <w:tcBorders>
              <w:top w:val="nil"/>
              <w:left w:val="nil"/>
              <w:bottom w:val="single" w:sz="4" w:space="0" w:color="000000"/>
              <w:right w:val="single" w:sz="4" w:space="0" w:color="000000"/>
            </w:tcBorders>
          </w:tcPr>
          <w:p>
            <w:pPr>
              <w:rPr>
                <w:sz w:val="2"/>
                <w:szCs w:val="2"/>
              </w:rPr>
            </w:pPr>
          </w:p>
        </w:tc>
        <w:tc>
          <w:tcPr>
            <w:tcW w:w="1884" w:type="dxa"/>
            <w:tcBorders>
              <w:top w:val="single" w:sz="4" w:space="0" w:color="000000"/>
              <w:left w:val="single" w:sz="4" w:space="0" w:color="000000"/>
              <w:bottom w:val="single" w:sz="4" w:space="0" w:color="000000"/>
              <w:right w:val="single" w:sz="4" w:space="0" w:color="000000"/>
            </w:tcBorders>
          </w:tcPr>
          <w:p>
            <w:pPr>
              <w:pStyle w:val="TableParagraph"/>
              <w:spacing w:before="129"/>
              <w:ind w:left="295" w:right="278"/>
              <w:jc w:val="center"/>
              <w:rPr>
                <w:sz w:val="21"/>
              </w:rPr>
            </w:pPr>
            <w:r>
              <w:rPr>
                <w:sz w:val="21"/>
              </w:rPr>
              <w:t>供电</w:t>
            </w:r>
          </w:p>
        </w:tc>
        <w:tc>
          <w:tcPr>
            <w:tcW w:w="5487" w:type="dxa"/>
            <w:tcBorders>
              <w:top w:val="single" w:sz="4" w:space="0" w:color="000000"/>
              <w:left w:val="single" w:sz="4" w:space="0" w:color="000000"/>
              <w:bottom w:val="single" w:sz="4" w:space="0" w:color="000000"/>
            </w:tcBorders>
          </w:tcPr>
          <w:p>
            <w:pPr>
              <w:pStyle w:val="TableParagraph"/>
              <w:spacing w:line="264" w:lineRule="exact"/>
              <w:ind w:right="79"/>
              <w:jc w:val="center"/>
              <w:rPr>
                <w:sz w:val="21"/>
              </w:rPr>
            </w:pPr>
            <w:r>
              <w:rPr>
                <w:spacing w:val="-4"/>
                <w:sz w:val="21"/>
              </w:rPr>
              <w:t xml:space="preserve">本项目施工用电由地方市政电网线路就近接入 </w:t>
            </w:r>
            <w:r>
              <w:rPr>
                <w:rFonts w:ascii="Times New Roman" w:eastAsia="Times New Roman"/>
                <w:sz w:val="21"/>
              </w:rPr>
              <w:t xml:space="preserve">380V </w:t>
            </w:r>
            <w:r>
              <w:rPr>
                <w:sz w:val="21"/>
              </w:rPr>
              <w:t>低压线</w:t>
            </w:r>
          </w:p>
          <w:p>
            <w:pPr>
              <w:pStyle w:val="TableParagraph"/>
              <w:spacing w:before="2" w:line="249" w:lineRule="exact"/>
              <w:ind w:left="9" w:right="88"/>
              <w:jc w:val="center"/>
              <w:rPr>
                <w:sz w:val="21"/>
              </w:rPr>
            </w:pPr>
            <w:r>
              <w:rPr>
                <w:sz w:val="21"/>
              </w:rPr>
              <w:t>路。</w:t>
            </w:r>
          </w:p>
        </w:tc>
      </w:tr>
      <w:tr>
        <w:tblPrEx>
          <w:tblW w:w="0" w:type="auto"/>
          <w:jc w:val="left"/>
          <w:tblInd w:w="198" w:type="dxa"/>
          <w:tblLayout w:type="fixed"/>
          <w:tblCellMar>
            <w:top w:w="0" w:type="dxa"/>
            <w:left w:w="0" w:type="dxa"/>
            <w:bottom w:w="0" w:type="dxa"/>
            <w:right w:w="0" w:type="dxa"/>
          </w:tblCellMar>
          <w:tblLook w:val="01E0"/>
        </w:tblPrEx>
        <w:trPr>
          <w:trHeight w:val="135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single" w:sz="4" w:space="0" w:color="000000"/>
              <w:left w:val="nil"/>
              <w:bottom w:val="nil"/>
              <w:right w:val="single" w:sz="4" w:space="0" w:color="000000"/>
            </w:tcBorders>
          </w:tcPr>
          <w:p>
            <w:pPr>
              <w:pStyle w:val="TableParagraph"/>
              <w:rPr>
                <w:rFonts w:ascii="Times New Roman"/>
                <w:sz w:val="20"/>
              </w:rPr>
            </w:pPr>
          </w:p>
        </w:tc>
        <w:tc>
          <w:tcPr>
            <w:tcW w:w="18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ind w:left="292" w:right="278"/>
              <w:jc w:val="center"/>
              <w:rPr>
                <w:sz w:val="21"/>
              </w:rPr>
            </w:pPr>
            <w:r>
              <w:rPr>
                <w:sz w:val="21"/>
              </w:rPr>
              <w:t>废气处理</w:t>
            </w:r>
          </w:p>
        </w:tc>
        <w:tc>
          <w:tcPr>
            <w:tcW w:w="5487" w:type="dxa"/>
            <w:tcBorders>
              <w:top w:val="single" w:sz="4" w:space="0" w:color="000000"/>
              <w:left w:val="single" w:sz="4" w:space="0" w:color="000000"/>
              <w:bottom w:val="single" w:sz="4" w:space="0" w:color="000000"/>
            </w:tcBorders>
          </w:tcPr>
          <w:p>
            <w:pPr>
              <w:pStyle w:val="TableParagraph"/>
              <w:spacing w:line="264" w:lineRule="exact"/>
              <w:ind w:left="9"/>
              <w:rPr>
                <w:sz w:val="21"/>
              </w:rPr>
            </w:pPr>
            <w:r>
              <w:rPr>
                <w:sz w:val="21"/>
              </w:rPr>
              <w:t>施工期：</w:t>
            </w:r>
          </w:p>
          <w:p>
            <w:pPr>
              <w:pStyle w:val="TableParagraph"/>
              <w:numPr>
                <w:ilvl w:val="0"/>
                <w:numId w:val="18"/>
              </w:numPr>
              <w:tabs>
                <w:tab w:val="left" w:pos="169"/>
              </w:tabs>
              <w:spacing w:before="4" w:after="0" w:line="242" w:lineRule="auto"/>
              <w:ind w:left="9" w:right="89" w:firstLine="0"/>
              <w:jc w:val="left"/>
              <w:rPr>
                <w:sz w:val="21"/>
              </w:rPr>
            </w:pPr>
            <w:r>
              <w:rPr>
                <w:spacing w:val="-3"/>
                <w:w w:val="95"/>
                <w:sz w:val="21"/>
              </w:rPr>
              <w:t xml:space="preserve">施工场地设置围挡、施工粉尘采取洒水抑尘、裸露地面和 </w:t>
            </w:r>
            <w:r>
              <w:rPr>
                <w:spacing w:val="-3"/>
                <w:sz w:val="21"/>
              </w:rPr>
              <w:t>物料堆场覆盖等措施；</w:t>
            </w:r>
          </w:p>
          <w:p>
            <w:pPr>
              <w:pStyle w:val="TableParagraph"/>
              <w:numPr>
                <w:ilvl w:val="0"/>
                <w:numId w:val="18"/>
              </w:numPr>
              <w:tabs>
                <w:tab w:val="left" w:pos="169"/>
              </w:tabs>
              <w:spacing w:before="2" w:after="0" w:line="240" w:lineRule="auto"/>
              <w:ind w:left="168" w:right="0" w:hanging="160"/>
              <w:jc w:val="left"/>
              <w:rPr>
                <w:sz w:val="21"/>
              </w:rPr>
            </w:pPr>
            <w:r>
              <w:rPr>
                <w:spacing w:val="-3"/>
                <w:sz w:val="21"/>
              </w:rPr>
              <w:t>河道清淤及淤泥堆场四周采取围挡、覆盖、喷洒植物提取</w:t>
            </w:r>
          </w:p>
          <w:p>
            <w:pPr>
              <w:pStyle w:val="TableParagraph"/>
              <w:spacing w:before="2" w:line="247" w:lineRule="exact"/>
              <w:ind w:left="9"/>
              <w:rPr>
                <w:sz w:val="21"/>
              </w:rPr>
            </w:pPr>
            <w:r>
              <w:rPr>
                <w:sz w:val="21"/>
              </w:rPr>
              <w:t>液除臭等措施；</w:t>
            </w:r>
          </w:p>
        </w:tc>
      </w:tr>
      <w:tr>
        <w:tblPrEx>
          <w:tblW w:w="0" w:type="auto"/>
          <w:jc w:val="left"/>
          <w:tblInd w:w="198" w:type="dxa"/>
          <w:tblLayout w:type="fixed"/>
          <w:tblCellMar>
            <w:top w:w="0" w:type="dxa"/>
            <w:left w:w="0" w:type="dxa"/>
            <w:bottom w:w="0" w:type="dxa"/>
            <w:right w:w="0" w:type="dxa"/>
          </w:tblCellMar>
          <w:tblLook w:val="01E0"/>
        </w:tblPrEx>
        <w:trPr>
          <w:trHeight w:val="25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18"/>
              </w:rPr>
            </w:pPr>
          </w:p>
        </w:tc>
        <w:tc>
          <w:tcPr>
            <w:tcW w:w="1884"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5487" w:type="dxa"/>
            <w:tcBorders>
              <w:top w:val="single" w:sz="4" w:space="0" w:color="000000"/>
              <w:left w:val="single" w:sz="4" w:space="0" w:color="000000"/>
              <w:bottom w:val="nil"/>
            </w:tcBorders>
          </w:tcPr>
          <w:p>
            <w:pPr>
              <w:pStyle w:val="TableParagraph"/>
              <w:spacing w:line="237" w:lineRule="exact"/>
              <w:ind w:left="9"/>
              <w:rPr>
                <w:sz w:val="21"/>
              </w:rPr>
            </w:pPr>
            <w:r>
              <w:rPr>
                <w:sz w:val="21"/>
              </w:rPr>
              <w:t>施工期：</w:t>
            </w:r>
          </w:p>
        </w:tc>
      </w:tr>
      <w:tr>
        <w:tblPrEx>
          <w:tblW w:w="0" w:type="auto"/>
          <w:jc w:val="left"/>
          <w:tblInd w:w="198" w:type="dxa"/>
          <w:tblLayout w:type="fixed"/>
          <w:tblCellMar>
            <w:top w:w="0" w:type="dxa"/>
            <w:left w:w="0" w:type="dxa"/>
            <w:bottom w:w="0" w:type="dxa"/>
            <w:right w:w="0" w:type="dxa"/>
          </w:tblCellMar>
          <w:tblLook w:val="01E0"/>
        </w:tblPrEx>
        <w:trPr>
          <w:trHeight w:val="25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18"/>
              </w:rPr>
            </w:pP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5487" w:type="dxa"/>
            <w:tcBorders>
              <w:top w:val="nil"/>
              <w:left w:val="single" w:sz="4" w:space="0" w:color="000000"/>
              <w:bottom w:val="nil"/>
            </w:tcBorders>
          </w:tcPr>
          <w:p>
            <w:pPr>
              <w:pStyle w:val="TableParagraph"/>
              <w:spacing w:line="232" w:lineRule="exact"/>
              <w:ind w:left="9"/>
              <w:rPr>
                <w:sz w:val="21"/>
              </w:rPr>
            </w:pPr>
            <w:r>
              <w:rPr>
                <w:sz w:val="21"/>
              </w:rPr>
              <w:t>生产废水主要为施工机械和车辆清洗废水、雨水、淤泥干化</w:t>
            </w:r>
          </w:p>
        </w:tc>
      </w:tr>
      <w:tr>
        <w:tblPrEx>
          <w:tblW w:w="0" w:type="auto"/>
          <w:jc w:val="left"/>
          <w:tblInd w:w="198" w:type="dxa"/>
          <w:tblLayout w:type="fixed"/>
          <w:tblCellMar>
            <w:top w:w="0" w:type="dxa"/>
            <w:left w:w="0" w:type="dxa"/>
            <w:bottom w:w="0" w:type="dxa"/>
            <w:right w:w="0" w:type="dxa"/>
          </w:tblCellMar>
          <w:tblLook w:val="01E0"/>
        </w:tblPrEx>
        <w:trPr>
          <w:trHeight w:val="25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spacing w:line="232" w:lineRule="exact"/>
              <w:ind w:left="32" w:right="17"/>
              <w:jc w:val="center"/>
              <w:rPr>
                <w:sz w:val="21"/>
              </w:rPr>
            </w:pPr>
            <w:r>
              <w:rPr>
                <w:sz w:val="21"/>
              </w:rPr>
              <w:t>环保工程</w:t>
            </w:r>
          </w:p>
        </w:tc>
        <w:tc>
          <w:tcPr>
            <w:tcW w:w="1884" w:type="dxa"/>
            <w:tcBorders>
              <w:top w:val="nil"/>
              <w:left w:val="single" w:sz="4" w:space="0" w:color="000000"/>
              <w:bottom w:val="nil"/>
              <w:right w:val="single" w:sz="4" w:space="0" w:color="000000"/>
            </w:tcBorders>
          </w:tcPr>
          <w:p>
            <w:pPr>
              <w:pStyle w:val="TableParagraph"/>
              <w:spacing w:line="232" w:lineRule="exact"/>
              <w:ind w:left="292" w:right="278"/>
              <w:jc w:val="center"/>
              <w:rPr>
                <w:sz w:val="21"/>
              </w:rPr>
            </w:pPr>
            <w:r>
              <w:rPr>
                <w:sz w:val="21"/>
              </w:rPr>
              <w:t>废水处理</w:t>
            </w:r>
          </w:p>
        </w:tc>
        <w:tc>
          <w:tcPr>
            <w:tcW w:w="5487" w:type="dxa"/>
            <w:tcBorders>
              <w:top w:val="nil"/>
              <w:left w:val="single" w:sz="4" w:space="0" w:color="000000"/>
              <w:bottom w:val="nil"/>
            </w:tcBorders>
          </w:tcPr>
          <w:p>
            <w:pPr>
              <w:pStyle w:val="TableParagraph"/>
              <w:spacing w:line="232" w:lineRule="exact"/>
              <w:ind w:left="9"/>
              <w:rPr>
                <w:sz w:val="21"/>
              </w:rPr>
            </w:pPr>
            <w:r>
              <w:rPr>
                <w:sz w:val="21"/>
              </w:rPr>
              <w:t>废水，经隔油池、沉淀池处理后回用于道路和施工场地洒水</w:t>
            </w:r>
          </w:p>
        </w:tc>
      </w:tr>
      <w:tr>
        <w:tblPrEx>
          <w:tblW w:w="0" w:type="auto"/>
          <w:jc w:val="left"/>
          <w:tblInd w:w="198" w:type="dxa"/>
          <w:tblLayout w:type="fixed"/>
          <w:tblCellMar>
            <w:top w:w="0" w:type="dxa"/>
            <w:left w:w="0" w:type="dxa"/>
            <w:bottom w:w="0" w:type="dxa"/>
            <w:right w:w="0" w:type="dxa"/>
          </w:tblCellMar>
          <w:tblLook w:val="01E0"/>
        </w:tblPrEx>
        <w:trPr>
          <w:trHeight w:val="25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18"/>
              </w:rPr>
            </w:pPr>
          </w:p>
        </w:tc>
        <w:tc>
          <w:tcPr>
            <w:tcW w:w="1884" w:type="dxa"/>
            <w:tcBorders>
              <w:top w:val="nil"/>
              <w:left w:val="single" w:sz="4" w:space="0" w:color="000000"/>
              <w:bottom w:val="nil"/>
              <w:right w:val="single" w:sz="4" w:space="0" w:color="000000"/>
            </w:tcBorders>
          </w:tcPr>
          <w:p>
            <w:pPr>
              <w:pStyle w:val="TableParagraph"/>
              <w:rPr>
                <w:rFonts w:ascii="Times New Roman"/>
                <w:sz w:val="18"/>
              </w:rPr>
            </w:pPr>
          </w:p>
        </w:tc>
        <w:tc>
          <w:tcPr>
            <w:tcW w:w="5487" w:type="dxa"/>
            <w:tcBorders>
              <w:top w:val="nil"/>
              <w:left w:val="single" w:sz="4" w:space="0" w:color="000000"/>
              <w:bottom w:val="nil"/>
            </w:tcBorders>
          </w:tcPr>
          <w:p>
            <w:pPr>
              <w:pStyle w:val="TableParagraph"/>
              <w:spacing w:line="232" w:lineRule="exact"/>
              <w:ind w:left="9"/>
              <w:rPr>
                <w:sz w:val="21"/>
              </w:rPr>
            </w:pPr>
            <w:r>
              <w:rPr>
                <w:sz w:val="21"/>
              </w:rPr>
              <w:t>抑尘。生活污水依托周边农户化粪池，处理达标后排入市政</w:t>
            </w:r>
          </w:p>
        </w:tc>
      </w:tr>
      <w:tr>
        <w:tblPrEx>
          <w:tblW w:w="0" w:type="auto"/>
          <w:jc w:val="left"/>
          <w:tblInd w:w="198" w:type="dxa"/>
          <w:tblLayout w:type="fixed"/>
          <w:tblCellMar>
            <w:top w:w="0" w:type="dxa"/>
            <w:left w:w="0" w:type="dxa"/>
            <w:bottom w:w="0" w:type="dxa"/>
            <w:right w:w="0" w:type="dxa"/>
          </w:tblCellMar>
          <w:tblLook w:val="01E0"/>
        </w:tblPrEx>
        <w:trPr>
          <w:trHeight w:val="257"/>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18"/>
              </w:rPr>
            </w:pPr>
          </w:p>
        </w:tc>
        <w:tc>
          <w:tcPr>
            <w:tcW w:w="1884"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5487" w:type="dxa"/>
            <w:tcBorders>
              <w:top w:val="nil"/>
              <w:left w:val="single" w:sz="4" w:space="0" w:color="000000"/>
              <w:bottom w:val="single" w:sz="4" w:space="0" w:color="000000"/>
            </w:tcBorders>
          </w:tcPr>
          <w:p>
            <w:pPr>
              <w:pStyle w:val="TableParagraph"/>
              <w:spacing w:line="238" w:lineRule="exact"/>
              <w:ind w:left="9"/>
              <w:rPr>
                <w:sz w:val="21"/>
              </w:rPr>
            </w:pPr>
            <w:r>
              <w:rPr>
                <w:sz w:val="21"/>
              </w:rPr>
              <w:t>管网。</w:t>
            </w:r>
          </w:p>
        </w:tc>
      </w:tr>
      <w:tr>
        <w:tblPrEx>
          <w:tblW w:w="0" w:type="auto"/>
          <w:jc w:val="left"/>
          <w:tblInd w:w="198" w:type="dxa"/>
          <w:tblLayout w:type="fixed"/>
          <w:tblCellMar>
            <w:top w:w="0" w:type="dxa"/>
            <w:left w:w="0" w:type="dxa"/>
            <w:bottom w:w="0" w:type="dxa"/>
            <w:right w:w="0" w:type="dxa"/>
          </w:tblCellMar>
          <w:tblLook w:val="01E0"/>
        </w:tblPrEx>
        <w:trPr>
          <w:trHeight w:val="25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18"/>
              </w:rPr>
            </w:pPr>
          </w:p>
        </w:tc>
        <w:tc>
          <w:tcPr>
            <w:tcW w:w="1884"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5487" w:type="dxa"/>
            <w:tcBorders>
              <w:top w:val="single" w:sz="4" w:space="0" w:color="000000"/>
              <w:left w:val="single" w:sz="4" w:space="0" w:color="000000"/>
              <w:bottom w:val="nil"/>
            </w:tcBorders>
          </w:tcPr>
          <w:p>
            <w:pPr>
              <w:pStyle w:val="TableParagraph"/>
              <w:spacing w:line="235" w:lineRule="exact"/>
              <w:ind w:left="9"/>
              <w:rPr>
                <w:sz w:val="21"/>
              </w:rPr>
            </w:pPr>
            <w:r>
              <w:rPr>
                <w:sz w:val="21"/>
              </w:rPr>
              <w:t>施工期：项目施工采用低噪声设备，靠近居民区一侧设置隔</w:t>
            </w:r>
          </w:p>
        </w:tc>
      </w:tr>
      <w:tr>
        <w:tblPrEx>
          <w:tblW w:w="0" w:type="auto"/>
          <w:jc w:val="left"/>
          <w:tblInd w:w="198" w:type="dxa"/>
          <w:tblLayout w:type="fixed"/>
          <w:tblCellMar>
            <w:top w:w="0" w:type="dxa"/>
            <w:left w:w="0" w:type="dxa"/>
            <w:bottom w:w="0" w:type="dxa"/>
            <w:right w:w="0" w:type="dxa"/>
          </w:tblCellMar>
          <w:tblLook w:val="01E0"/>
        </w:tblPrEx>
        <w:trPr>
          <w:trHeight w:val="79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bottom w:val="nil"/>
              <w:right w:val="single" w:sz="4" w:space="0" w:color="000000"/>
            </w:tcBorders>
          </w:tcPr>
          <w:p>
            <w:pPr>
              <w:pStyle w:val="TableParagraph"/>
              <w:rPr>
                <w:rFonts w:ascii="Times New Roman"/>
                <w:sz w:val="20"/>
              </w:rPr>
            </w:pPr>
          </w:p>
        </w:tc>
        <w:tc>
          <w:tcPr>
            <w:tcW w:w="1884" w:type="dxa"/>
            <w:tcBorders>
              <w:top w:val="nil"/>
              <w:left w:val="single" w:sz="4" w:space="0" w:color="000000"/>
              <w:bottom w:val="nil"/>
              <w:right w:val="single" w:sz="4" w:space="0" w:color="000000"/>
            </w:tcBorders>
          </w:tcPr>
          <w:p>
            <w:pPr>
              <w:pStyle w:val="TableParagraph"/>
              <w:spacing w:before="11"/>
              <w:rPr>
                <w:rFonts w:ascii="Times New Roman"/>
                <w:sz w:val="22"/>
              </w:rPr>
            </w:pPr>
          </w:p>
          <w:p>
            <w:pPr>
              <w:pStyle w:val="TableParagraph"/>
              <w:ind w:left="292" w:right="278"/>
              <w:jc w:val="center"/>
              <w:rPr>
                <w:sz w:val="21"/>
              </w:rPr>
            </w:pPr>
            <w:r>
              <w:rPr>
                <w:sz w:val="21"/>
              </w:rPr>
              <w:t>噪声治理</w:t>
            </w:r>
          </w:p>
        </w:tc>
        <w:tc>
          <w:tcPr>
            <w:tcW w:w="5487" w:type="dxa"/>
            <w:tcBorders>
              <w:top w:val="nil"/>
              <w:left w:val="single" w:sz="4" w:space="0" w:color="000000"/>
              <w:bottom w:val="nil"/>
            </w:tcBorders>
          </w:tcPr>
          <w:p>
            <w:pPr>
              <w:pStyle w:val="TableParagraph"/>
              <w:spacing w:line="260" w:lineRule="exact"/>
              <w:ind w:left="9"/>
              <w:rPr>
                <w:sz w:val="21"/>
              </w:rPr>
            </w:pPr>
            <w:r>
              <w:rPr>
                <w:sz w:val="21"/>
              </w:rPr>
              <w:t>声屏障结构，合理安排施工时间，夜间严禁施工。</w:t>
            </w:r>
          </w:p>
          <w:p>
            <w:pPr>
              <w:pStyle w:val="TableParagraph"/>
              <w:spacing w:before="3" w:line="270" w:lineRule="atLeast"/>
              <w:ind w:left="9" w:right="91"/>
              <w:rPr>
                <w:sz w:val="21"/>
              </w:rPr>
            </w:pPr>
            <w:r>
              <w:rPr>
                <w:sz w:val="21"/>
              </w:rPr>
              <w:t>运营期：新改建闸站</w:t>
            </w:r>
            <w:r>
              <w:rPr>
                <w:rFonts w:ascii="Times New Roman" w:eastAsia="Times New Roman"/>
                <w:sz w:val="21"/>
              </w:rPr>
              <w:t>/</w:t>
            </w:r>
            <w:r>
              <w:rPr>
                <w:sz w:val="21"/>
              </w:rPr>
              <w:t>排涝站仅必要时启闭闸门，产生噪声</w:t>
            </w:r>
            <w:r>
              <w:rPr>
                <w:w w:val="95"/>
                <w:sz w:val="21"/>
              </w:rPr>
              <w:t>为偶发噪声，闸站启闭机均采用低噪声设备，并采取隔声减</w:t>
            </w:r>
          </w:p>
        </w:tc>
      </w:tr>
      <w:tr>
        <w:tblPrEx>
          <w:tblW w:w="0" w:type="auto"/>
          <w:jc w:val="left"/>
          <w:tblInd w:w="198" w:type="dxa"/>
          <w:tblLayout w:type="fixed"/>
          <w:tblCellMar>
            <w:top w:w="0" w:type="dxa"/>
            <w:left w:w="0" w:type="dxa"/>
            <w:bottom w:w="0" w:type="dxa"/>
            <w:right w:w="0" w:type="dxa"/>
          </w:tblCellMar>
          <w:tblLook w:val="01E0"/>
        </w:tblPrEx>
        <w:trPr>
          <w:trHeight w:val="257"/>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tcBorders>
              <w:top w:val="nil"/>
              <w:left w:val="nil"/>
              <w:right w:val="single" w:sz="4" w:space="0" w:color="000000"/>
            </w:tcBorders>
          </w:tcPr>
          <w:p>
            <w:pPr>
              <w:pStyle w:val="TableParagraph"/>
              <w:rPr>
                <w:rFonts w:ascii="Times New Roman"/>
                <w:sz w:val="18"/>
              </w:rPr>
            </w:pPr>
          </w:p>
        </w:tc>
        <w:tc>
          <w:tcPr>
            <w:tcW w:w="1884" w:type="dxa"/>
            <w:tcBorders>
              <w:top w:val="nil"/>
              <w:left w:val="single" w:sz="4" w:space="0" w:color="000000"/>
              <w:right w:val="single" w:sz="4" w:space="0" w:color="000000"/>
            </w:tcBorders>
          </w:tcPr>
          <w:p>
            <w:pPr>
              <w:pStyle w:val="TableParagraph"/>
              <w:rPr>
                <w:rFonts w:ascii="Times New Roman"/>
                <w:sz w:val="18"/>
              </w:rPr>
            </w:pPr>
          </w:p>
        </w:tc>
        <w:tc>
          <w:tcPr>
            <w:tcW w:w="5487" w:type="dxa"/>
            <w:tcBorders>
              <w:top w:val="nil"/>
              <w:left w:val="single" w:sz="4" w:space="0" w:color="000000"/>
            </w:tcBorders>
          </w:tcPr>
          <w:p>
            <w:pPr>
              <w:pStyle w:val="TableParagraph"/>
              <w:spacing w:line="237" w:lineRule="exact"/>
              <w:ind w:left="9"/>
              <w:rPr>
                <w:sz w:val="21"/>
              </w:rPr>
            </w:pPr>
            <w:r>
              <w:rPr>
                <w:sz w:val="21"/>
              </w:rPr>
              <w:t>震措施。</w:t>
            </w:r>
          </w:p>
        </w:tc>
      </w:tr>
    </w:tbl>
    <w:p>
      <w:pPr>
        <w:spacing w:after="0" w:line="237" w:lineRule="exact"/>
        <w:rPr>
          <w:sz w:val="21"/>
        </w:rPr>
        <w:sectPr>
          <w:headerReference w:type="default" r:id="rId48"/>
          <w:footerReference w:type="default" r:id="rId49"/>
          <w:pgSz w:w="11910" w:h="16840"/>
          <w:pgMar w:top="1340" w:right="1120" w:bottom="1160" w:left="1220" w:header="891" w:footer="969"/>
          <w:pgNumType w:start="22"/>
          <w:cols w:space="708"/>
        </w:sectPr>
      </w:pPr>
    </w:p>
    <w:p>
      <w:pPr>
        <w:pStyle w:val="BodyText"/>
        <w:spacing w:before="1"/>
        <w:rPr>
          <w:rFonts w:ascii="Times New Roman"/>
          <w:sz w:val="7"/>
        </w:rPr>
      </w:pPr>
    </w:p>
    <w:tbl>
      <w:tblPr>
        <w:tblStyle w:val="TableNormal19"/>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109"/>
        <w:gridCol w:w="818"/>
        <w:gridCol w:w="126"/>
        <w:gridCol w:w="1338"/>
        <w:gridCol w:w="546"/>
        <w:gridCol w:w="2128"/>
        <w:gridCol w:w="1415"/>
        <w:gridCol w:w="194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54"/>
          <w:jc w:val="left"/>
        </w:trPr>
        <w:tc>
          <w:tcPr>
            <w:tcW w:w="666"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944" w:type="dxa"/>
            <w:gridSpan w:val="2"/>
            <w:vMerge w:val="restart"/>
            <w:tcBorders>
              <w:top w:val="single" w:sz="18" w:space="0" w:color="000000"/>
              <w:left w:val="nil"/>
              <w:bottom w:val="single" w:sz="12" w:space="0" w:color="000000"/>
              <w:right w:val="single" w:sz="4" w:space="0" w:color="000000"/>
            </w:tcBorders>
          </w:tcPr>
          <w:p>
            <w:pPr>
              <w:pStyle w:val="TableParagraph"/>
              <w:rPr>
                <w:rFonts w:ascii="Times New Roman"/>
                <w:sz w:val="22"/>
              </w:rPr>
            </w:pPr>
          </w:p>
        </w:tc>
        <w:tc>
          <w:tcPr>
            <w:tcW w:w="1884" w:type="dxa"/>
            <w:gridSpan w:val="2"/>
            <w:tcBorders>
              <w:top w:val="single" w:sz="18" w:space="0" w:color="000000"/>
              <w:left w:val="single" w:sz="4" w:space="0" w:color="000000"/>
              <w:bottom w:val="nil"/>
              <w:right w:val="single" w:sz="4" w:space="0" w:color="000000"/>
            </w:tcBorders>
          </w:tcPr>
          <w:p>
            <w:pPr>
              <w:pStyle w:val="TableParagraph"/>
              <w:rPr>
                <w:rFonts w:ascii="Times New Roman"/>
                <w:sz w:val="18"/>
              </w:rPr>
            </w:pPr>
          </w:p>
        </w:tc>
        <w:tc>
          <w:tcPr>
            <w:tcW w:w="5487" w:type="dxa"/>
            <w:gridSpan w:val="3"/>
            <w:tcBorders>
              <w:top w:val="single" w:sz="18" w:space="0" w:color="000000"/>
              <w:left w:val="single" w:sz="4" w:space="0" w:color="000000"/>
              <w:bottom w:val="nil"/>
            </w:tcBorders>
          </w:tcPr>
          <w:p>
            <w:pPr>
              <w:pStyle w:val="TableParagraph"/>
              <w:spacing w:line="234" w:lineRule="exact"/>
              <w:ind w:left="9"/>
              <w:rPr>
                <w:sz w:val="21"/>
              </w:rPr>
            </w:pPr>
            <w:r>
              <w:rPr>
                <w:sz w:val="21"/>
              </w:rPr>
              <w:t>施工期：</w:t>
            </w:r>
          </w:p>
        </w:tc>
      </w:tr>
      <w:tr>
        <w:tblPrEx>
          <w:tblW w:w="0" w:type="auto"/>
          <w:jc w:val="left"/>
          <w:tblInd w:w="198" w:type="dxa"/>
          <w:tblLayout w:type="fixed"/>
          <w:tblCellMar>
            <w:top w:w="0" w:type="dxa"/>
            <w:left w:w="0" w:type="dxa"/>
            <w:bottom w:w="0" w:type="dxa"/>
            <w:right w:w="0" w:type="dxa"/>
          </w:tblCellMar>
          <w:tblLook w:val="01E0"/>
        </w:tblPrEx>
        <w:trPr>
          <w:trHeight w:val="24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gridSpan w:val="2"/>
            <w:vMerge/>
            <w:tcBorders>
              <w:top w:val="nil"/>
              <w:left w:val="nil"/>
              <w:bottom w:val="single" w:sz="12" w:space="0" w:color="000000"/>
              <w:right w:val="single" w:sz="4" w:space="0" w:color="000000"/>
            </w:tcBorders>
          </w:tcPr>
          <w:p>
            <w:pPr>
              <w:rPr>
                <w:sz w:val="2"/>
                <w:szCs w:val="2"/>
              </w:rPr>
            </w:pPr>
          </w:p>
        </w:tc>
        <w:tc>
          <w:tcPr>
            <w:tcW w:w="1884" w:type="dxa"/>
            <w:gridSpan w:val="2"/>
            <w:tcBorders>
              <w:top w:val="nil"/>
              <w:left w:val="single" w:sz="4" w:space="0" w:color="000000"/>
              <w:bottom w:val="nil"/>
              <w:right w:val="single" w:sz="4" w:space="0" w:color="000000"/>
            </w:tcBorders>
          </w:tcPr>
          <w:p>
            <w:pPr>
              <w:pStyle w:val="TableParagraph"/>
              <w:rPr>
                <w:rFonts w:ascii="Times New Roman"/>
                <w:sz w:val="16"/>
              </w:rPr>
            </w:pPr>
          </w:p>
        </w:tc>
        <w:tc>
          <w:tcPr>
            <w:tcW w:w="5487" w:type="dxa"/>
            <w:gridSpan w:val="3"/>
            <w:tcBorders>
              <w:top w:val="nil"/>
              <w:left w:val="single" w:sz="4" w:space="0" w:color="000000"/>
              <w:bottom w:val="nil"/>
            </w:tcBorders>
          </w:tcPr>
          <w:p>
            <w:pPr>
              <w:pStyle w:val="TableParagraph"/>
              <w:spacing w:line="222" w:lineRule="exact"/>
              <w:ind w:left="9"/>
              <w:rPr>
                <w:sz w:val="21"/>
              </w:rPr>
            </w:pPr>
            <w:r>
              <w:rPr>
                <w:sz w:val="21"/>
              </w:rPr>
              <w:t>①生活垃圾环卫统一清运；</w:t>
            </w:r>
          </w:p>
        </w:tc>
      </w:tr>
      <w:tr>
        <w:tblPrEx>
          <w:tblW w:w="0" w:type="auto"/>
          <w:jc w:val="left"/>
          <w:tblInd w:w="198" w:type="dxa"/>
          <w:tblLayout w:type="fixed"/>
          <w:tblCellMar>
            <w:top w:w="0" w:type="dxa"/>
            <w:left w:w="0" w:type="dxa"/>
            <w:bottom w:w="0" w:type="dxa"/>
            <w:right w:w="0" w:type="dxa"/>
          </w:tblCellMar>
          <w:tblLook w:val="01E0"/>
        </w:tblPrEx>
        <w:trPr>
          <w:trHeight w:val="51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gridSpan w:val="2"/>
            <w:vMerge/>
            <w:tcBorders>
              <w:top w:val="nil"/>
              <w:left w:val="nil"/>
              <w:bottom w:val="single" w:sz="12" w:space="0" w:color="000000"/>
              <w:right w:val="single" w:sz="4" w:space="0" w:color="000000"/>
            </w:tcBorders>
          </w:tcPr>
          <w:p>
            <w:pPr>
              <w:rPr>
                <w:sz w:val="2"/>
                <w:szCs w:val="2"/>
              </w:rPr>
            </w:pPr>
          </w:p>
        </w:tc>
        <w:tc>
          <w:tcPr>
            <w:tcW w:w="1884" w:type="dxa"/>
            <w:gridSpan w:val="2"/>
            <w:tcBorders>
              <w:top w:val="nil"/>
              <w:left w:val="single" w:sz="4" w:space="0" w:color="000000"/>
              <w:bottom w:val="nil"/>
              <w:right w:val="single" w:sz="4" w:space="0" w:color="000000"/>
            </w:tcBorders>
          </w:tcPr>
          <w:p>
            <w:pPr>
              <w:pStyle w:val="TableParagraph"/>
              <w:spacing w:before="121"/>
              <w:ind w:left="525"/>
              <w:rPr>
                <w:sz w:val="21"/>
              </w:rPr>
            </w:pPr>
            <w:r>
              <w:rPr>
                <w:sz w:val="21"/>
              </w:rPr>
              <w:t>固废治理</w:t>
            </w:r>
          </w:p>
        </w:tc>
        <w:tc>
          <w:tcPr>
            <w:tcW w:w="5487" w:type="dxa"/>
            <w:gridSpan w:val="3"/>
            <w:tcBorders>
              <w:top w:val="nil"/>
              <w:left w:val="single" w:sz="4" w:space="0" w:color="000000"/>
              <w:bottom w:val="nil"/>
            </w:tcBorders>
          </w:tcPr>
          <w:p>
            <w:pPr>
              <w:pStyle w:val="TableParagraph"/>
              <w:spacing w:line="256" w:lineRule="exact"/>
              <w:ind w:left="9"/>
              <w:rPr>
                <w:sz w:val="21"/>
              </w:rPr>
            </w:pPr>
            <w:r>
              <w:rPr>
                <w:sz w:val="21"/>
              </w:rPr>
              <w:t>②建筑垃圾运至政府指定建筑垃圾堆场或回收利用；</w:t>
            </w:r>
          </w:p>
          <w:p>
            <w:pPr>
              <w:pStyle w:val="TableParagraph"/>
              <w:spacing w:before="4" w:line="235" w:lineRule="exact"/>
              <w:ind w:left="9"/>
              <w:rPr>
                <w:sz w:val="21"/>
              </w:rPr>
            </w:pPr>
            <w:r>
              <w:rPr>
                <w:sz w:val="21"/>
              </w:rPr>
              <w:t>③河道淤泥在排泥场晒干后，用于园林、花卉、绿化的耕种</w:t>
            </w:r>
          </w:p>
        </w:tc>
      </w:tr>
      <w:tr>
        <w:tblPrEx>
          <w:tblW w:w="0" w:type="auto"/>
          <w:jc w:val="left"/>
          <w:tblInd w:w="198" w:type="dxa"/>
          <w:tblLayout w:type="fixed"/>
          <w:tblCellMar>
            <w:top w:w="0" w:type="dxa"/>
            <w:left w:w="0" w:type="dxa"/>
            <w:bottom w:w="0" w:type="dxa"/>
            <w:right w:w="0" w:type="dxa"/>
          </w:tblCellMar>
          <w:tblLook w:val="01E0"/>
        </w:tblPrEx>
        <w:trPr>
          <w:trHeight w:val="24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gridSpan w:val="2"/>
            <w:vMerge/>
            <w:tcBorders>
              <w:top w:val="nil"/>
              <w:left w:val="nil"/>
              <w:bottom w:val="single" w:sz="12" w:space="0" w:color="000000"/>
              <w:right w:val="single" w:sz="4" w:space="0" w:color="000000"/>
            </w:tcBorders>
          </w:tcPr>
          <w:p>
            <w:pPr>
              <w:rPr>
                <w:sz w:val="2"/>
                <w:szCs w:val="2"/>
              </w:rPr>
            </w:pPr>
          </w:p>
        </w:tc>
        <w:tc>
          <w:tcPr>
            <w:tcW w:w="1884" w:type="dxa"/>
            <w:gridSpan w:val="2"/>
            <w:tcBorders>
              <w:top w:val="nil"/>
              <w:left w:val="single" w:sz="4" w:space="0" w:color="000000"/>
              <w:bottom w:val="nil"/>
              <w:right w:val="single" w:sz="4" w:space="0" w:color="000000"/>
            </w:tcBorders>
          </w:tcPr>
          <w:p>
            <w:pPr>
              <w:pStyle w:val="TableParagraph"/>
              <w:rPr>
                <w:rFonts w:ascii="Times New Roman"/>
                <w:sz w:val="16"/>
              </w:rPr>
            </w:pPr>
          </w:p>
        </w:tc>
        <w:tc>
          <w:tcPr>
            <w:tcW w:w="5487" w:type="dxa"/>
            <w:gridSpan w:val="3"/>
            <w:tcBorders>
              <w:top w:val="nil"/>
              <w:left w:val="single" w:sz="4" w:space="0" w:color="000000"/>
              <w:bottom w:val="nil"/>
            </w:tcBorders>
          </w:tcPr>
          <w:p>
            <w:pPr>
              <w:pStyle w:val="TableParagraph"/>
              <w:spacing w:line="221" w:lineRule="exact"/>
              <w:ind w:left="9"/>
              <w:rPr>
                <w:sz w:val="21"/>
              </w:rPr>
            </w:pPr>
            <w:r>
              <w:rPr>
                <w:sz w:val="21"/>
              </w:rPr>
              <w:t>以及废弃沟塘的回填；</w:t>
            </w:r>
          </w:p>
        </w:tc>
      </w:tr>
      <w:tr>
        <w:tblPrEx>
          <w:tblW w:w="0" w:type="auto"/>
          <w:jc w:val="left"/>
          <w:tblInd w:w="198" w:type="dxa"/>
          <w:tblLayout w:type="fixed"/>
          <w:tblCellMar>
            <w:top w:w="0" w:type="dxa"/>
            <w:left w:w="0" w:type="dxa"/>
            <w:bottom w:w="0" w:type="dxa"/>
            <w:right w:w="0" w:type="dxa"/>
          </w:tblCellMar>
          <w:tblLook w:val="01E0"/>
        </w:tblPrEx>
        <w:trPr>
          <w:trHeight w:val="24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gridSpan w:val="2"/>
            <w:vMerge/>
            <w:tcBorders>
              <w:top w:val="nil"/>
              <w:left w:val="nil"/>
              <w:bottom w:val="single" w:sz="12" w:space="0" w:color="000000"/>
              <w:right w:val="single" w:sz="4" w:space="0" w:color="000000"/>
            </w:tcBorders>
          </w:tcPr>
          <w:p>
            <w:pPr>
              <w:rPr>
                <w:sz w:val="2"/>
                <w:szCs w:val="2"/>
              </w:rPr>
            </w:pPr>
          </w:p>
        </w:tc>
        <w:tc>
          <w:tcPr>
            <w:tcW w:w="1884" w:type="dxa"/>
            <w:gridSpan w:val="2"/>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5487" w:type="dxa"/>
            <w:gridSpan w:val="3"/>
            <w:tcBorders>
              <w:top w:val="nil"/>
              <w:left w:val="single" w:sz="4" w:space="0" w:color="000000"/>
              <w:bottom w:val="single" w:sz="4" w:space="0" w:color="000000"/>
            </w:tcBorders>
          </w:tcPr>
          <w:p>
            <w:pPr>
              <w:pStyle w:val="TableParagraph"/>
              <w:spacing w:line="228" w:lineRule="exact"/>
              <w:ind w:left="9"/>
              <w:rPr>
                <w:sz w:val="21"/>
              </w:rPr>
            </w:pPr>
            <w:r>
              <w:rPr>
                <w:sz w:val="21"/>
              </w:rPr>
              <w:t>④废水处理产生的浮油、泥渣委托有资质单位处理；</w:t>
            </w:r>
          </w:p>
        </w:tc>
      </w:tr>
      <w:tr>
        <w:tblPrEx>
          <w:tblW w:w="0" w:type="auto"/>
          <w:jc w:val="left"/>
          <w:tblInd w:w="198" w:type="dxa"/>
          <w:tblLayout w:type="fixed"/>
          <w:tblCellMar>
            <w:top w:w="0" w:type="dxa"/>
            <w:left w:w="0" w:type="dxa"/>
            <w:bottom w:w="0" w:type="dxa"/>
            <w:right w:w="0" w:type="dxa"/>
          </w:tblCellMar>
          <w:tblLook w:val="01E0"/>
        </w:tblPrEx>
        <w:trPr>
          <w:trHeight w:val="53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44" w:type="dxa"/>
            <w:gridSpan w:val="2"/>
            <w:vMerge/>
            <w:tcBorders>
              <w:top w:val="nil"/>
              <w:left w:val="nil"/>
              <w:bottom w:val="single" w:sz="12" w:space="0" w:color="000000"/>
              <w:right w:val="single" w:sz="4" w:space="0" w:color="000000"/>
            </w:tcBorders>
          </w:tcPr>
          <w:p>
            <w:pPr>
              <w:rPr>
                <w:sz w:val="2"/>
                <w:szCs w:val="2"/>
              </w:rPr>
            </w:pPr>
          </w:p>
        </w:tc>
        <w:tc>
          <w:tcPr>
            <w:tcW w:w="1884"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25"/>
              <w:ind w:left="525"/>
              <w:rPr>
                <w:sz w:val="21"/>
              </w:rPr>
            </w:pPr>
            <w:r>
              <w:rPr>
                <w:sz w:val="21"/>
              </w:rPr>
              <w:t>生态恢复</w:t>
            </w:r>
          </w:p>
        </w:tc>
        <w:tc>
          <w:tcPr>
            <w:tcW w:w="5487" w:type="dxa"/>
            <w:gridSpan w:val="3"/>
            <w:tcBorders>
              <w:top w:val="single" w:sz="4" w:space="0" w:color="000000"/>
              <w:left w:val="single" w:sz="4" w:space="0" w:color="000000"/>
              <w:bottom w:val="single" w:sz="12" w:space="0" w:color="000000"/>
            </w:tcBorders>
          </w:tcPr>
          <w:p>
            <w:pPr>
              <w:pStyle w:val="TableParagraph"/>
              <w:spacing w:line="260" w:lineRule="exact"/>
              <w:ind w:left="9"/>
              <w:rPr>
                <w:sz w:val="21"/>
              </w:rPr>
            </w:pPr>
            <w:r>
              <w:rPr>
                <w:sz w:val="21"/>
              </w:rPr>
              <w:t xml:space="preserve">施工时将地表 </w:t>
            </w:r>
            <w:r>
              <w:rPr>
                <w:rFonts w:ascii="Times New Roman" w:eastAsia="Times New Roman"/>
                <w:sz w:val="21"/>
              </w:rPr>
              <w:t xml:space="preserve">30cm </w:t>
            </w:r>
            <w:r>
              <w:rPr>
                <w:sz w:val="21"/>
              </w:rPr>
              <w:t>有肥力土层临时存储并加以防护，项目</w:t>
            </w:r>
          </w:p>
          <w:p>
            <w:pPr>
              <w:pStyle w:val="TableParagraph"/>
              <w:spacing w:before="2" w:line="253" w:lineRule="exact"/>
              <w:ind w:left="9"/>
              <w:rPr>
                <w:sz w:val="21"/>
              </w:rPr>
            </w:pPr>
            <w:r>
              <w:rPr>
                <w:w w:val="95"/>
                <w:sz w:val="21"/>
              </w:rPr>
              <w:t>施工完成后，及时清理施工现场，临时占地进行植被恢复。</w:t>
            </w:r>
          </w:p>
        </w:tc>
      </w:tr>
      <w:tr>
        <w:tblPrEx>
          <w:tblW w:w="0" w:type="auto"/>
          <w:jc w:val="left"/>
          <w:tblInd w:w="198" w:type="dxa"/>
          <w:tblLayout w:type="fixed"/>
          <w:tblCellMar>
            <w:top w:w="0" w:type="dxa"/>
            <w:left w:w="0" w:type="dxa"/>
            <w:bottom w:w="0" w:type="dxa"/>
            <w:right w:w="0" w:type="dxa"/>
          </w:tblCellMar>
          <w:tblLook w:val="01E0"/>
        </w:tblPrEx>
        <w:trPr>
          <w:trHeight w:val="37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single" w:sz="12" w:space="0" w:color="000000"/>
              <w:left w:val="nil"/>
              <w:bottom w:val="nil"/>
            </w:tcBorders>
          </w:tcPr>
          <w:p>
            <w:pPr>
              <w:pStyle w:val="TableParagraph"/>
              <w:spacing w:before="1"/>
              <w:ind w:left="8"/>
              <w:rPr>
                <w:b/>
                <w:sz w:val="24"/>
              </w:rPr>
            </w:pPr>
            <w:r>
              <w:rPr>
                <w:b/>
                <w:sz w:val="24"/>
              </w:rPr>
              <w:t>三、工程内容</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70"/>
              <w:ind w:left="488"/>
              <w:rPr>
                <w:sz w:val="24"/>
              </w:rPr>
            </w:pPr>
            <w:r>
              <w:rPr>
                <w:sz w:val="24"/>
              </w:rPr>
              <w:t>本次串通河治理工程主要建设内容主要包括河道疏浚工程、河道防护工程</w:t>
            </w:r>
          </w:p>
        </w:tc>
      </w:tr>
      <w:tr>
        <w:tblPrEx>
          <w:tblW w:w="0" w:type="auto"/>
          <w:jc w:val="left"/>
          <w:tblInd w:w="198" w:type="dxa"/>
          <w:tblLayout w:type="fixed"/>
          <w:tblCellMar>
            <w:top w:w="0" w:type="dxa"/>
            <w:left w:w="0" w:type="dxa"/>
            <w:bottom w:w="0" w:type="dxa"/>
            <w:right w:w="0" w:type="dxa"/>
          </w:tblCellMar>
          <w:tblLook w:val="01E0"/>
        </w:tblPrEx>
        <w:trPr>
          <w:trHeight w:val="44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9"/>
              <w:ind w:left="8"/>
              <w:rPr>
                <w:sz w:val="24"/>
              </w:rPr>
            </w:pPr>
            <w:r>
              <w:rPr>
                <w:sz w:val="24"/>
              </w:rPr>
              <w:t>以及沿线影响建筑物工程。</w:t>
            </w:r>
          </w:p>
        </w:tc>
      </w:tr>
      <w:tr>
        <w:tblPrEx>
          <w:tblW w:w="0" w:type="auto"/>
          <w:jc w:val="left"/>
          <w:tblInd w:w="198" w:type="dxa"/>
          <w:tblLayout w:type="fixed"/>
          <w:tblCellMar>
            <w:top w:w="0" w:type="dxa"/>
            <w:left w:w="0" w:type="dxa"/>
            <w:bottom w:w="0" w:type="dxa"/>
            <w:right w:w="0" w:type="dxa"/>
          </w:tblCellMar>
          <w:tblLook w:val="01E0"/>
        </w:tblPrEx>
        <w:trPr>
          <w:trHeight w:val="45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74"/>
              <w:ind w:left="488"/>
              <w:rPr>
                <w:sz w:val="24"/>
              </w:rPr>
            </w:pPr>
            <w:r>
              <w:rPr>
                <w:spacing w:val="-6"/>
                <w:sz w:val="24"/>
              </w:rPr>
              <w:t xml:space="preserve">河道工程：实施串通河 </w:t>
            </w:r>
            <w:r>
              <w:rPr>
                <w:rFonts w:ascii="Times New Roman" w:eastAsia="Times New Roman"/>
                <w:sz w:val="24"/>
              </w:rPr>
              <w:t xml:space="preserve">11.51km </w:t>
            </w:r>
            <w:r>
              <w:rPr>
                <w:spacing w:val="-8"/>
                <w:sz w:val="24"/>
              </w:rPr>
              <w:t xml:space="preserve">河道疏浚，桩号 </w:t>
            </w:r>
            <w:r>
              <w:rPr>
                <w:rFonts w:ascii="Times New Roman" w:eastAsia="Times New Roman"/>
                <w:sz w:val="24"/>
              </w:rPr>
              <w:t>1+650</w:t>
            </w:r>
            <w:r>
              <w:rPr>
                <w:sz w:val="24"/>
              </w:rPr>
              <w:t>～</w:t>
            </w:r>
            <w:r>
              <w:rPr>
                <w:rFonts w:ascii="Times New Roman" w:eastAsia="Times New Roman"/>
                <w:sz w:val="24"/>
              </w:rPr>
              <w:t xml:space="preserve">13+220 </w:t>
            </w:r>
            <w:r>
              <w:rPr>
                <w:sz w:val="24"/>
              </w:rPr>
              <w:t>段（通榆</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6"/>
              <w:ind w:left="8"/>
              <w:rPr>
                <w:sz w:val="24"/>
              </w:rPr>
            </w:pPr>
            <w:r>
              <w:rPr>
                <w:sz w:val="24"/>
              </w:rPr>
              <w:t>河～射阜线），设计河底高程</w:t>
            </w:r>
            <w:r>
              <w:rPr>
                <w:rFonts w:ascii="Times New Roman" w:eastAsia="Times New Roman"/>
                <w:sz w:val="24"/>
              </w:rPr>
              <w:t xml:space="preserve">-2.00 </w:t>
            </w:r>
            <w:r>
              <w:rPr>
                <w:sz w:val="24"/>
              </w:rPr>
              <w:t xml:space="preserve">米，底宽 </w:t>
            </w:r>
            <w:r>
              <w:rPr>
                <w:rFonts w:ascii="Times New Roman" w:eastAsia="Times New Roman"/>
                <w:sz w:val="24"/>
              </w:rPr>
              <w:t xml:space="preserve">10 </w:t>
            </w:r>
            <w:r>
              <w:rPr>
                <w:sz w:val="24"/>
              </w:rPr>
              <w:t xml:space="preserve">米，边坡 </w:t>
            </w:r>
            <w:r>
              <w:rPr>
                <w:rFonts w:ascii="Times New Roman" w:eastAsia="Times New Roman"/>
                <w:sz w:val="24"/>
              </w:rPr>
              <w:t>1:2.5</w:t>
            </w:r>
            <w:r>
              <w:rPr>
                <w:sz w:val="24"/>
              </w:rPr>
              <w:t>。</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5"/>
              <w:ind w:left="488"/>
              <w:rPr>
                <w:sz w:val="24"/>
              </w:rPr>
            </w:pPr>
            <w:r>
              <w:rPr>
                <w:sz w:val="24"/>
              </w:rPr>
              <w:t xml:space="preserve">护岸工程：实施护岸总长 </w:t>
            </w:r>
            <w:r>
              <w:rPr>
                <w:rFonts w:ascii="Times New Roman" w:eastAsia="Times New Roman"/>
                <w:sz w:val="24"/>
              </w:rPr>
              <w:t>3.74km</w:t>
            </w:r>
            <w:r>
              <w:rPr>
                <w:sz w:val="24"/>
              </w:rPr>
              <w:t>，</w:t>
            </w:r>
          </w:p>
        </w:tc>
      </w:tr>
      <w:tr>
        <w:tblPrEx>
          <w:tblW w:w="0" w:type="auto"/>
          <w:jc w:val="left"/>
          <w:tblInd w:w="198" w:type="dxa"/>
          <w:tblLayout w:type="fixed"/>
          <w:tblCellMar>
            <w:top w:w="0" w:type="dxa"/>
            <w:left w:w="0" w:type="dxa"/>
            <w:bottom w:w="0" w:type="dxa"/>
            <w:right w:w="0" w:type="dxa"/>
          </w:tblCellMar>
          <w:tblLook w:val="01E0"/>
        </w:tblPrEx>
        <w:trPr>
          <w:trHeight w:val="44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6"/>
              <w:ind w:left="488"/>
              <w:rPr>
                <w:sz w:val="24"/>
              </w:rPr>
            </w:pPr>
            <w:r>
              <w:rPr>
                <w:sz w:val="24"/>
              </w:rPr>
              <w:t>（一</w:t>
            </w:r>
            <w:r>
              <w:rPr>
                <w:spacing w:val="-17"/>
                <w:sz w:val="24"/>
              </w:rPr>
              <w:t>）</w:t>
            </w:r>
            <w:r>
              <w:rPr>
                <w:spacing w:val="-9"/>
                <w:sz w:val="24"/>
              </w:rPr>
              <w:t xml:space="preserve">格宾墙式护岸 </w:t>
            </w:r>
            <w:r>
              <w:rPr>
                <w:rFonts w:ascii="Times New Roman" w:eastAsia="Times New Roman"/>
                <w:sz w:val="24"/>
              </w:rPr>
              <w:t xml:space="preserve">2.669 </w:t>
            </w:r>
            <w:r>
              <w:rPr>
                <w:spacing w:val="-12"/>
                <w:sz w:val="24"/>
              </w:rPr>
              <w:t xml:space="preserve">千米。格宾石笼共 </w:t>
            </w:r>
            <w:r>
              <w:rPr>
                <w:rFonts w:ascii="Times New Roman" w:eastAsia="Times New Roman"/>
                <w:sz w:val="24"/>
              </w:rPr>
              <w:t xml:space="preserve">2 </w:t>
            </w:r>
            <w:r>
              <w:rPr>
                <w:spacing w:val="-14"/>
                <w:sz w:val="24"/>
              </w:rPr>
              <w:t xml:space="preserve">层，单层厚 </w:t>
            </w:r>
            <w:r>
              <w:rPr>
                <w:rFonts w:ascii="Times New Roman" w:eastAsia="Times New Roman"/>
                <w:sz w:val="24"/>
              </w:rPr>
              <w:t xml:space="preserve">0.5 </w:t>
            </w:r>
            <w:r>
              <w:rPr>
                <w:spacing w:val="-5"/>
                <w:sz w:val="24"/>
              </w:rPr>
              <w:t>米，墙顶高</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6"/>
              <w:ind w:left="8"/>
              <w:rPr>
                <w:sz w:val="24"/>
              </w:rPr>
            </w:pPr>
            <w:r>
              <w:rPr>
                <w:spacing w:val="-30"/>
                <w:sz w:val="24"/>
              </w:rPr>
              <w:t xml:space="preserve">程 </w:t>
            </w:r>
            <w:r>
              <w:rPr>
                <w:rFonts w:ascii="Times New Roman" w:eastAsia="Times New Roman"/>
                <w:sz w:val="24"/>
              </w:rPr>
              <w:t xml:space="preserve">1.50 </w:t>
            </w:r>
            <w:r>
              <w:rPr>
                <w:spacing w:val="-12"/>
                <w:sz w:val="24"/>
              </w:rPr>
              <w:t xml:space="preserve">米，石笼底设 </w:t>
            </w:r>
            <w:r>
              <w:rPr>
                <w:rFonts w:ascii="Times New Roman" w:eastAsia="Times New Roman"/>
                <w:sz w:val="24"/>
              </w:rPr>
              <w:t xml:space="preserve">20 </w:t>
            </w:r>
            <w:r>
              <w:rPr>
                <w:spacing w:val="-8"/>
                <w:sz w:val="24"/>
              </w:rPr>
              <w:t xml:space="preserve">厘米厚碎石垫层，下设桩长 </w:t>
            </w:r>
            <w:r>
              <w:rPr>
                <w:rFonts w:ascii="Times New Roman" w:eastAsia="Times New Roman"/>
                <w:sz w:val="24"/>
              </w:rPr>
              <w:t xml:space="preserve">4 </w:t>
            </w:r>
            <w:r>
              <w:rPr>
                <w:spacing w:val="-16"/>
                <w:sz w:val="24"/>
              </w:rPr>
              <w:t xml:space="preserve">米、间距 </w:t>
            </w:r>
            <w:r>
              <w:rPr>
                <w:rFonts w:ascii="Times New Roman" w:eastAsia="Times New Roman"/>
                <w:sz w:val="24"/>
              </w:rPr>
              <w:t xml:space="preserve">0.6 </w:t>
            </w:r>
            <w:r>
              <w:rPr>
                <w:spacing w:val="-5"/>
                <w:sz w:val="24"/>
              </w:rPr>
              <w:t>米、梢径不</w:t>
            </w:r>
          </w:p>
        </w:tc>
      </w:tr>
      <w:tr>
        <w:tblPrEx>
          <w:tblW w:w="0" w:type="auto"/>
          <w:jc w:val="left"/>
          <w:tblInd w:w="198" w:type="dxa"/>
          <w:tblLayout w:type="fixed"/>
          <w:tblCellMar>
            <w:top w:w="0" w:type="dxa"/>
            <w:left w:w="0" w:type="dxa"/>
            <w:bottom w:w="0" w:type="dxa"/>
            <w:right w:w="0" w:type="dxa"/>
          </w:tblCellMar>
          <w:tblLook w:val="01E0"/>
        </w:tblPrEx>
        <w:trPr>
          <w:trHeight w:val="447"/>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5"/>
              <w:ind w:left="8"/>
              <w:rPr>
                <w:sz w:val="24"/>
              </w:rPr>
            </w:pPr>
            <w:r>
              <w:rPr>
                <w:sz w:val="24"/>
              </w:rPr>
              <w:t xml:space="preserve">小于 </w:t>
            </w:r>
            <w:r>
              <w:rPr>
                <w:rFonts w:ascii="Times New Roman" w:eastAsia="Times New Roman"/>
                <w:sz w:val="24"/>
              </w:rPr>
              <w:t xml:space="preserve">14 </w:t>
            </w:r>
            <w:r>
              <w:rPr>
                <w:sz w:val="24"/>
              </w:rPr>
              <w:t xml:space="preserve">厘米杉木桩。墙前高程 </w:t>
            </w:r>
            <w:r>
              <w:rPr>
                <w:rFonts w:ascii="Times New Roman" w:eastAsia="Times New Roman"/>
                <w:sz w:val="24"/>
              </w:rPr>
              <w:t xml:space="preserve">0.50 </w:t>
            </w:r>
            <w:r>
              <w:rPr>
                <w:sz w:val="24"/>
              </w:rPr>
              <w:t xml:space="preserve">米处设 </w:t>
            </w:r>
            <w:r>
              <w:rPr>
                <w:rFonts w:ascii="Times New Roman" w:eastAsia="Times New Roman"/>
                <w:sz w:val="24"/>
              </w:rPr>
              <w:t xml:space="preserve">1.0 </w:t>
            </w:r>
            <w:r>
              <w:rPr>
                <w:sz w:val="24"/>
              </w:rPr>
              <w:t>米宽平台。</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5"/>
              <w:ind w:left="488" w:right="-44"/>
              <w:rPr>
                <w:sz w:val="24"/>
              </w:rPr>
            </w:pPr>
            <w:r>
              <w:rPr>
                <w:sz w:val="24"/>
              </w:rPr>
              <w:t>（二</w:t>
            </w:r>
            <w:r>
              <w:rPr>
                <w:spacing w:val="-5"/>
                <w:sz w:val="24"/>
              </w:rPr>
              <w:t>）</w:t>
            </w:r>
            <w:r>
              <w:rPr>
                <w:spacing w:val="-7"/>
                <w:sz w:val="24"/>
              </w:rPr>
              <w:t xml:space="preserve">高分子仿木桩护岸 </w:t>
            </w:r>
            <w:r>
              <w:rPr>
                <w:rFonts w:ascii="Times New Roman" w:eastAsia="Times New Roman"/>
                <w:sz w:val="24"/>
              </w:rPr>
              <w:t xml:space="preserve">0.365 </w:t>
            </w:r>
            <w:r>
              <w:rPr>
                <w:spacing w:val="-7"/>
                <w:sz w:val="24"/>
              </w:rPr>
              <w:t xml:space="preserve">千米。布置于与通榆河交汇东侧 </w:t>
            </w:r>
            <w:r>
              <w:rPr>
                <w:rFonts w:ascii="Times New Roman" w:eastAsia="Times New Roman"/>
                <w:sz w:val="24"/>
              </w:rPr>
              <w:t xml:space="preserve">110 </w:t>
            </w:r>
            <w:r>
              <w:rPr>
                <w:sz w:val="24"/>
              </w:rPr>
              <w:t>米处，</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6"/>
              <w:ind w:left="8"/>
              <w:rPr>
                <w:sz w:val="24"/>
              </w:rPr>
            </w:pPr>
            <w:r>
              <w:rPr>
                <w:sz w:val="24"/>
              </w:rPr>
              <w:t xml:space="preserve">桩长 </w:t>
            </w:r>
            <w:r>
              <w:rPr>
                <w:rFonts w:ascii="Times New Roman" w:eastAsia="Times New Roman"/>
                <w:sz w:val="24"/>
              </w:rPr>
              <w:t xml:space="preserve">6 </w:t>
            </w:r>
            <w:r>
              <w:rPr>
                <w:sz w:val="24"/>
              </w:rPr>
              <w:t xml:space="preserve">米、桩径 </w:t>
            </w:r>
            <w:r>
              <w:rPr>
                <w:rFonts w:ascii="Times New Roman" w:eastAsia="Times New Roman"/>
                <w:sz w:val="24"/>
              </w:rPr>
              <w:t xml:space="preserve">0.25 </w:t>
            </w:r>
            <w:r>
              <w:rPr>
                <w:sz w:val="24"/>
              </w:rPr>
              <w:t xml:space="preserve">米、桩顶高程 </w:t>
            </w:r>
            <w:r>
              <w:rPr>
                <w:rFonts w:ascii="Times New Roman" w:eastAsia="Times New Roman"/>
                <w:sz w:val="24"/>
              </w:rPr>
              <w:t xml:space="preserve">1.00 </w:t>
            </w:r>
            <w:r>
              <w:rPr>
                <w:sz w:val="24"/>
              </w:rPr>
              <w:t>米，密排。</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5"/>
              <w:ind w:left="488" w:right="-44"/>
              <w:rPr>
                <w:sz w:val="24"/>
              </w:rPr>
            </w:pPr>
            <w:r>
              <w:rPr>
                <w:sz w:val="24"/>
              </w:rPr>
              <w:t>（三</w:t>
            </w:r>
            <w:r>
              <w:rPr>
                <w:spacing w:val="-5"/>
                <w:sz w:val="24"/>
              </w:rPr>
              <w:t>）</w:t>
            </w:r>
            <w:r>
              <w:rPr>
                <w:spacing w:val="-6"/>
                <w:sz w:val="24"/>
              </w:rPr>
              <w:t xml:space="preserve">钢筋混凝土仿木桩护岸 </w:t>
            </w:r>
            <w:r>
              <w:rPr>
                <w:rFonts w:ascii="Times New Roman" w:eastAsia="Times New Roman"/>
                <w:sz w:val="24"/>
              </w:rPr>
              <w:t xml:space="preserve">0.706 </w:t>
            </w:r>
            <w:r>
              <w:rPr>
                <w:spacing w:val="-3"/>
                <w:sz w:val="24"/>
              </w:rPr>
              <w:t>千米。布置于射阜线上游左岸厂区段，</w:t>
            </w:r>
          </w:p>
        </w:tc>
      </w:tr>
      <w:tr>
        <w:tblPrEx>
          <w:tblW w:w="0" w:type="auto"/>
          <w:jc w:val="left"/>
          <w:tblInd w:w="198" w:type="dxa"/>
          <w:tblLayout w:type="fixed"/>
          <w:tblCellMar>
            <w:top w:w="0" w:type="dxa"/>
            <w:left w:w="0" w:type="dxa"/>
            <w:bottom w:w="0" w:type="dxa"/>
            <w:right w:w="0" w:type="dxa"/>
          </w:tblCellMar>
          <w:tblLook w:val="01E0"/>
        </w:tblPrEx>
        <w:trPr>
          <w:trHeight w:val="4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6"/>
              <w:ind w:left="8"/>
              <w:rPr>
                <w:sz w:val="24"/>
              </w:rPr>
            </w:pPr>
            <w:r>
              <w:rPr>
                <w:spacing w:val="-20"/>
                <w:sz w:val="24"/>
              </w:rPr>
              <w:t xml:space="preserve">采用 </w:t>
            </w:r>
            <w:r>
              <w:rPr>
                <w:rFonts w:ascii="Times New Roman" w:eastAsia="Times New Roman"/>
                <w:sz w:val="24"/>
              </w:rPr>
              <w:t xml:space="preserve">C30 </w:t>
            </w:r>
            <w:r>
              <w:rPr>
                <w:spacing w:val="-5"/>
                <w:sz w:val="24"/>
              </w:rPr>
              <w:t xml:space="preserve">预应力钢筋混凝土结构，桩长 </w:t>
            </w:r>
            <w:r>
              <w:rPr>
                <w:rFonts w:ascii="Times New Roman" w:eastAsia="Times New Roman"/>
                <w:sz w:val="24"/>
              </w:rPr>
              <w:t xml:space="preserve">6 </w:t>
            </w:r>
            <w:r>
              <w:rPr>
                <w:spacing w:val="-12"/>
                <w:sz w:val="24"/>
              </w:rPr>
              <w:t xml:space="preserve">米、桩径 </w:t>
            </w:r>
            <w:r>
              <w:rPr>
                <w:rFonts w:ascii="Times New Roman" w:eastAsia="Times New Roman"/>
                <w:sz w:val="24"/>
              </w:rPr>
              <w:t xml:space="preserve">0.2 </w:t>
            </w:r>
            <w:r>
              <w:rPr>
                <w:spacing w:val="-9"/>
                <w:sz w:val="24"/>
              </w:rPr>
              <w:t xml:space="preserve">米、桩顶高程 </w:t>
            </w:r>
            <w:r>
              <w:rPr>
                <w:rFonts w:ascii="Times New Roman" w:eastAsia="Times New Roman"/>
                <w:sz w:val="24"/>
              </w:rPr>
              <w:t xml:space="preserve">1.00 </w:t>
            </w:r>
            <w:r>
              <w:rPr>
                <w:sz w:val="24"/>
              </w:rPr>
              <w:t>米，</w:t>
            </w:r>
          </w:p>
        </w:tc>
      </w:tr>
      <w:tr>
        <w:tblPrEx>
          <w:tblW w:w="0" w:type="auto"/>
          <w:jc w:val="left"/>
          <w:tblInd w:w="198" w:type="dxa"/>
          <w:tblLayout w:type="fixed"/>
          <w:tblCellMar>
            <w:top w:w="0" w:type="dxa"/>
            <w:left w:w="0" w:type="dxa"/>
            <w:bottom w:w="0" w:type="dxa"/>
            <w:right w:w="0" w:type="dxa"/>
          </w:tblCellMar>
          <w:tblLook w:val="01E0"/>
        </w:tblPrEx>
        <w:trPr>
          <w:trHeight w:val="43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1"/>
              <w:ind w:left="8"/>
              <w:rPr>
                <w:sz w:val="24"/>
              </w:rPr>
            </w:pPr>
            <w:r>
              <w:rPr>
                <w:sz w:val="24"/>
              </w:rPr>
              <w:t>密排。</w:t>
            </w:r>
          </w:p>
        </w:tc>
      </w:tr>
      <w:tr>
        <w:tblPrEx>
          <w:tblW w:w="0" w:type="auto"/>
          <w:jc w:val="left"/>
          <w:tblInd w:w="198" w:type="dxa"/>
          <w:tblLayout w:type="fixed"/>
          <w:tblCellMar>
            <w:top w:w="0" w:type="dxa"/>
            <w:left w:w="0" w:type="dxa"/>
            <w:bottom w:w="0" w:type="dxa"/>
            <w:right w:w="0" w:type="dxa"/>
          </w:tblCellMar>
          <w:tblLook w:val="01E0"/>
        </w:tblPrEx>
        <w:trPr>
          <w:trHeight w:val="45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74"/>
              <w:ind w:left="488"/>
              <w:rPr>
                <w:rFonts w:ascii="Times New Roman" w:eastAsia="Times New Roman"/>
                <w:sz w:val="24"/>
              </w:rPr>
            </w:pPr>
            <w:r>
              <w:rPr>
                <w:sz w:val="24"/>
              </w:rPr>
              <w:t xml:space="preserve">影响建筑物工程：新（拆）建沿线建筑物 </w:t>
            </w:r>
            <w:r>
              <w:rPr>
                <w:rFonts w:ascii="Times New Roman" w:eastAsia="Times New Roman"/>
                <w:sz w:val="24"/>
              </w:rPr>
              <w:t xml:space="preserve">9 </w:t>
            </w:r>
            <w:r>
              <w:rPr>
                <w:sz w:val="24"/>
              </w:rPr>
              <w:t xml:space="preserve">座，其中原址拆建灌排闸站 </w:t>
            </w:r>
            <w:r>
              <w:rPr>
                <w:rFonts w:ascii="Times New Roman" w:eastAsia="Times New Roman"/>
                <w:sz w:val="24"/>
              </w:rPr>
              <w:t>2</w:t>
            </w:r>
          </w:p>
        </w:tc>
      </w:tr>
      <w:tr>
        <w:tblPrEx>
          <w:tblW w:w="0" w:type="auto"/>
          <w:jc w:val="left"/>
          <w:tblInd w:w="198" w:type="dxa"/>
          <w:tblLayout w:type="fixed"/>
          <w:tblCellMar>
            <w:top w:w="0" w:type="dxa"/>
            <w:left w:w="0" w:type="dxa"/>
            <w:bottom w:w="0" w:type="dxa"/>
            <w:right w:w="0" w:type="dxa"/>
          </w:tblCellMar>
          <w:tblLook w:val="01E0"/>
        </w:tblPrEx>
        <w:trPr>
          <w:trHeight w:val="44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3"/>
              <w:ind w:left="8"/>
              <w:rPr>
                <w:sz w:val="24"/>
              </w:rPr>
            </w:pPr>
            <w:r>
              <w:rPr>
                <w:spacing w:val="-9"/>
                <w:sz w:val="24"/>
              </w:rPr>
              <w:t xml:space="preserve">座、灌排洞站 </w:t>
            </w:r>
            <w:r>
              <w:rPr>
                <w:rFonts w:ascii="Times New Roman" w:eastAsia="Times New Roman"/>
                <w:sz w:val="24"/>
              </w:rPr>
              <w:t xml:space="preserve">2 </w:t>
            </w:r>
            <w:r>
              <w:rPr>
                <w:spacing w:val="-8"/>
                <w:sz w:val="24"/>
              </w:rPr>
              <w:t xml:space="preserve">座、排涝闸站 </w:t>
            </w:r>
            <w:r>
              <w:rPr>
                <w:rFonts w:ascii="Times New Roman" w:eastAsia="Times New Roman"/>
                <w:sz w:val="24"/>
              </w:rPr>
              <w:t xml:space="preserve">2 </w:t>
            </w:r>
            <w:r>
              <w:rPr>
                <w:spacing w:val="-10"/>
                <w:sz w:val="24"/>
              </w:rPr>
              <w:t xml:space="preserve">座、节制闸 </w:t>
            </w:r>
            <w:r>
              <w:rPr>
                <w:rFonts w:ascii="Times New Roman" w:eastAsia="Times New Roman"/>
                <w:sz w:val="24"/>
              </w:rPr>
              <w:t xml:space="preserve">1 </w:t>
            </w:r>
            <w:r>
              <w:rPr>
                <w:spacing w:val="-7"/>
                <w:sz w:val="24"/>
              </w:rPr>
              <w:t xml:space="preserve">座；新建灌排闸站 </w:t>
            </w:r>
            <w:r>
              <w:rPr>
                <w:rFonts w:ascii="Times New Roman" w:eastAsia="Times New Roman"/>
                <w:sz w:val="24"/>
              </w:rPr>
              <w:t xml:space="preserve">1 </w:t>
            </w:r>
            <w:r>
              <w:rPr>
                <w:sz w:val="24"/>
              </w:rPr>
              <w:t>座、排涝闸</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6"/>
              <w:ind w:left="8"/>
              <w:rPr>
                <w:sz w:val="24"/>
              </w:rPr>
            </w:pPr>
            <w:r>
              <w:rPr>
                <w:spacing w:val="-27"/>
                <w:sz w:val="24"/>
              </w:rPr>
              <w:t xml:space="preserve">站 </w:t>
            </w:r>
            <w:r>
              <w:rPr>
                <w:rFonts w:ascii="Times New Roman" w:eastAsia="Times New Roman"/>
                <w:sz w:val="24"/>
              </w:rPr>
              <w:t xml:space="preserve">1 </w:t>
            </w:r>
            <w:r>
              <w:rPr>
                <w:spacing w:val="-7"/>
                <w:sz w:val="24"/>
              </w:rPr>
              <w:t xml:space="preserve">座。拆建跨河桥梁 </w:t>
            </w:r>
            <w:r>
              <w:rPr>
                <w:rFonts w:ascii="Times New Roman" w:eastAsia="Times New Roman"/>
                <w:sz w:val="24"/>
              </w:rPr>
              <w:t xml:space="preserve">5 </w:t>
            </w:r>
            <w:r>
              <w:rPr>
                <w:spacing w:val="-8"/>
                <w:sz w:val="24"/>
              </w:rPr>
              <w:t xml:space="preserve">座，拆除桥梁 </w:t>
            </w:r>
            <w:r>
              <w:rPr>
                <w:rFonts w:ascii="Times New Roman" w:eastAsia="Times New Roman"/>
                <w:sz w:val="24"/>
              </w:rPr>
              <w:t xml:space="preserve">1 </w:t>
            </w:r>
            <w:r>
              <w:rPr>
                <w:sz w:val="24"/>
              </w:rPr>
              <w:t>座。采用简支空心板结构，下部采用</w:t>
            </w:r>
          </w:p>
        </w:tc>
      </w:tr>
      <w:tr>
        <w:tblPrEx>
          <w:tblW w:w="0" w:type="auto"/>
          <w:jc w:val="left"/>
          <w:tblInd w:w="198" w:type="dxa"/>
          <w:tblLayout w:type="fixed"/>
          <w:tblCellMar>
            <w:top w:w="0" w:type="dxa"/>
            <w:left w:w="0" w:type="dxa"/>
            <w:bottom w:w="0" w:type="dxa"/>
            <w:right w:w="0" w:type="dxa"/>
          </w:tblCellMar>
          <w:tblLook w:val="01E0"/>
        </w:tblPrEx>
        <w:trPr>
          <w:trHeight w:val="44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nil"/>
            </w:tcBorders>
          </w:tcPr>
          <w:p>
            <w:pPr>
              <w:pStyle w:val="TableParagraph"/>
              <w:spacing w:before="65"/>
              <w:ind w:left="8"/>
              <w:rPr>
                <w:sz w:val="24"/>
              </w:rPr>
            </w:pPr>
            <w:r>
              <w:rPr>
                <w:sz w:val="24"/>
              </w:rPr>
              <w:t xml:space="preserve">柱式墩台，基础为桩径 </w:t>
            </w:r>
            <w:r>
              <w:rPr>
                <w:rFonts w:ascii="Times New Roman" w:eastAsia="Times New Roman"/>
                <w:sz w:val="24"/>
              </w:rPr>
              <w:t xml:space="preserve">1.0 </w:t>
            </w:r>
            <w:r>
              <w:rPr>
                <w:sz w:val="24"/>
              </w:rPr>
              <w:t>米钻孔灌注桩。</w:t>
            </w:r>
          </w:p>
        </w:tc>
      </w:tr>
      <w:tr>
        <w:tblPrEx>
          <w:tblW w:w="0" w:type="auto"/>
          <w:jc w:val="left"/>
          <w:tblInd w:w="198" w:type="dxa"/>
          <w:tblLayout w:type="fixed"/>
          <w:tblCellMar>
            <w:top w:w="0" w:type="dxa"/>
            <w:left w:w="0" w:type="dxa"/>
            <w:bottom w:w="0" w:type="dxa"/>
            <w:right w:w="0" w:type="dxa"/>
          </w:tblCellMar>
          <w:tblLook w:val="01E0"/>
        </w:tblPrEx>
        <w:trPr>
          <w:trHeight w:val="53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7"/>
            <w:tcBorders>
              <w:top w:val="nil"/>
              <w:left w:val="nil"/>
              <w:bottom w:val="single" w:sz="12" w:space="0" w:color="000000"/>
            </w:tcBorders>
          </w:tcPr>
          <w:p>
            <w:pPr>
              <w:pStyle w:val="TableParagraph"/>
              <w:tabs>
                <w:tab w:val="left" w:pos="859"/>
              </w:tabs>
              <w:spacing w:before="66"/>
              <w:ind w:right="81"/>
              <w:jc w:val="center"/>
              <w:rPr>
                <w:b/>
                <w:sz w:val="24"/>
              </w:rPr>
            </w:pPr>
            <w:r>
              <w:rPr>
                <w:b/>
                <w:sz w:val="24"/>
              </w:rPr>
              <w:t>表</w:t>
            </w:r>
            <w:r>
              <w:rPr>
                <w:b/>
                <w:spacing w:val="-62"/>
                <w:sz w:val="24"/>
              </w:rPr>
              <w:t xml:space="preserve"> </w:t>
            </w:r>
            <w:r>
              <w:rPr>
                <w:rFonts w:ascii="Times New Roman" w:eastAsia="Times New Roman"/>
                <w:b/>
                <w:sz w:val="24"/>
              </w:rPr>
              <w:t>2-2</w:t>
              <w:tab/>
            </w:r>
            <w:r>
              <w:rPr>
                <w:b/>
                <w:sz w:val="24"/>
              </w:rPr>
              <w:t>阜宁串通河治理工程项目一览表</w:t>
            </w:r>
          </w:p>
        </w:tc>
      </w:tr>
      <w:tr>
        <w:tblPrEx>
          <w:tblW w:w="0" w:type="auto"/>
          <w:jc w:val="left"/>
          <w:tblInd w:w="198" w:type="dxa"/>
          <w:tblLayout w:type="fixed"/>
          <w:tblCellMar>
            <w:top w:w="0" w:type="dxa"/>
            <w:left w:w="0" w:type="dxa"/>
            <w:bottom w:w="0" w:type="dxa"/>
            <w:right w:w="0" w:type="dxa"/>
          </w:tblCellMar>
          <w:tblLook w:val="01E0"/>
        </w:tblPrEx>
        <w:trPr>
          <w:trHeight w:val="268"/>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12" w:space="0" w:color="000000"/>
              <w:left w:val="nil"/>
              <w:bottom w:val="single" w:sz="4" w:space="0" w:color="000000"/>
              <w:right w:val="single" w:sz="4" w:space="0" w:color="000000"/>
            </w:tcBorders>
          </w:tcPr>
          <w:p>
            <w:pPr>
              <w:pStyle w:val="TableParagraph"/>
              <w:spacing w:before="1" w:line="247" w:lineRule="exact"/>
              <w:ind w:left="78" w:right="61"/>
              <w:jc w:val="center"/>
              <w:rPr>
                <w:b/>
                <w:sz w:val="21"/>
              </w:rPr>
            </w:pPr>
            <w:r>
              <w:rPr>
                <w:b/>
                <w:sz w:val="21"/>
              </w:rPr>
              <w:t>序号</w:t>
            </w:r>
          </w:p>
        </w:tc>
        <w:tc>
          <w:tcPr>
            <w:tcW w:w="146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7" w:lineRule="exact"/>
              <w:ind w:left="315"/>
              <w:rPr>
                <w:b/>
                <w:sz w:val="21"/>
              </w:rPr>
            </w:pPr>
            <w:r>
              <w:rPr>
                <w:b/>
                <w:sz w:val="21"/>
              </w:rPr>
              <w:t>工程内容</w:t>
            </w:r>
          </w:p>
        </w:tc>
        <w:tc>
          <w:tcPr>
            <w:tcW w:w="267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7" w:lineRule="exact"/>
              <w:ind w:left="19"/>
              <w:jc w:val="center"/>
              <w:rPr>
                <w:b/>
                <w:sz w:val="21"/>
              </w:rPr>
            </w:pPr>
            <w:r>
              <w:rPr>
                <w:b/>
                <w:sz w:val="21"/>
              </w:rPr>
              <w:t>位置</w:t>
            </w:r>
          </w:p>
        </w:tc>
        <w:tc>
          <w:tcPr>
            <w:tcW w:w="1415" w:type="dxa"/>
            <w:tcBorders>
              <w:top w:val="single" w:sz="12" w:space="0" w:color="000000"/>
              <w:left w:val="single" w:sz="4" w:space="0" w:color="000000"/>
              <w:bottom w:val="single" w:sz="4" w:space="0" w:color="000000"/>
              <w:right w:val="single" w:sz="4" w:space="0" w:color="000000"/>
            </w:tcBorders>
          </w:tcPr>
          <w:p>
            <w:pPr>
              <w:pStyle w:val="TableParagraph"/>
              <w:spacing w:before="1" w:line="247" w:lineRule="exact"/>
              <w:ind w:left="23" w:right="8"/>
              <w:jc w:val="center"/>
              <w:rPr>
                <w:b/>
                <w:sz w:val="21"/>
              </w:rPr>
            </w:pPr>
            <w:r>
              <w:rPr>
                <w:b/>
                <w:sz w:val="21"/>
              </w:rPr>
              <w:t>规模</w:t>
            </w:r>
          </w:p>
        </w:tc>
        <w:tc>
          <w:tcPr>
            <w:tcW w:w="1944" w:type="dxa"/>
            <w:tcBorders>
              <w:top w:val="single" w:sz="12" w:space="0" w:color="000000"/>
              <w:left w:val="single" w:sz="4" w:space="0" w:color="000000"/>
              <w:bottom w:val="single" w:sz="4" w:space="0" w:color="000000"/>
            </w:tcBorders>
          </w:tcPr>
          <w:p>
            <w:pPr>
              <w:pStyle w:val="TableParagraph"/>
              <w:spacing w:before="1" w:line="247" w:lineRule="exact"/>
              <w:ind w:left="4" w:right="86"/>
              <w:jc w:val="center"/>
              <w:rPr>
                <w:b/>
                <w:sz w:val="21"/>
              </w:rPr>
            </w:pPr>
            <w:r>
              <w:rPr>
                <w:b/>
                <w:sz w:val="21"/>
              </w:rPr>
              <w:t>备注</w:t>
            </w: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line="242" w:lineRule="exact"/>
              <w:ind w:left="78" w:right="64"/>
              <w:jc w:val="center"/>
              <w:rPr>
                <w:sz w:val="21"/>
              </w:rPr>
            </w:pPr>
            <w:r>
              <w:rPr>
                <w:sz w:val="21"/>
              </w:rPr>
              <w:t>（一）</w:t>
            </w:r>
          </w:p>
        </w:tc>
        <w:tc>
          <w:tcPr>
            <w:tcW w:w="14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212"/>
              <w:rPr>
                <w:sz w:val="21"/>
              </w:rPr>
            </w:pPr>
            <w:r>
              <w:rPr>
                <w:sz w:val="21"/>
              </w:rPr>
              <w:t>疏浚串通河</w:t>
            </w:r>
          </w:p>
        </w:tc>
        <w:tc>
          <w:tcPr>
            <w:tcW w:w="267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7"/>
              <w:jc w:val="center"/>
              <w:rPr>
                <w:rFonts w:ascii="Times New Roman"/>
                <w:sz w:val="21"/>
              </w:rPr>
            </w:pPr>
            <w:r>
              <w:rPr>
                <w:rFonts w:ascii="Times New Roman"/>
                <w:w w:val="99"/>
                <w:sz w:val="21"/>
              </w:rPr>
              <w:t>/</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346"/>
              <w:rPr>
                <w:rFonts w:ascii="Times New Roman"/>
                <w:sz w:val="21"/>
              </w:rPr>
            </w:pPr>
            <w:r>
              <w:rPr>
                <w:rFonts w:ascii="Times New Roman"/>
                <w:sz w:val="21"/>
              </w:rPr>
              <w:t>11.51km</w:t>
            </w:r>
          </w:p>
        </w:tc>
        <w:tc>
          <w:tcPr>
            <w:tcW w:w="1944" w:type="dxa"/>
            <w:tcBorders>
              <w:top w:val="single" w:sz="4" w:space="0" w:color="000000"/>
              <w:left w:val="single" w:sz="4" w:space="0" w:color="000000"/>
              <w:bottom w:val="single" w:sz="4" w:space="0" w:color="000000"/>
            </w:tcBorders>
          </w:tcPr>
          <w:p>
            <w:pPr>
              <w:pStyle w:val="TableParagraph"/>
              <w:spacing w:line="242" w:lineRule="exact"/>
              <w:ind w:left="4" w:right="86"/>
              <w:jc w:val="center"/>
              <w:rPr>
                <w:sz w:val="21"/>
              </w:rPr>
            </w:pPr>
            <w:r>
              <w:rPr>
                <w:sz w:val="21"/>
              </w:rPr>
              <w:t>串通河</w:t>
            </w:r>
            <w:r>
              <w:rPr>
                <w:rFonts w:ascii="Times New Roman" w:eastAsia="Times New Roman"/>
                <w:sz w:val="21"/>
              </w:rPr>
              <w:t>~</w:t>
            </w:r>
            <w:r>
              <w:rPr>
                <w:sz w:val="21"/>
              </w:rPr>
              <w:t>射阜线</w:t>
            </w:r>
          </w:p>
        </w:tc>
      </w:tr>
      <w:tr>
        <w:tblPrEx>
          <w:tblW w:w="0" w:type="auto"/>
          <w:jc w:val="left"/>
          <w:tblInd w:w="198" w:type="dxa"/>
          <w:tblLayout w:type="fixed"/>
          <w:tblCellMar>
            <w:top w:w="0" w:type="dxa"/>
            <w:left w:w="0" w:type="dxa"/>
            <w:bottom w:w="0" w:type="dxa"/>
            <w:right w:w="0" w:type="dxa"/>
          </w:tblCellMar>
          <w:tblLook w:val="01E0"/>
        </w:tblPrEx>
        <w:trPr>
          <w:trHeight w:val="80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before="6"/>
              <w:rPr>
                <w:rFonts w:ascii="Times New Roman"/>
                <w:sz w:val="24"/>
              </w:rPr>
            </w:pPr>
          </w:p>
          <w:p>
            <w:pPr>
              <w:pStyle w:val="TableParagraph"/>
              <w:ind w:left="18"/>
              <w:jc w:val="center"/>
              <w:rPr>
                <w:rFonts w:ascii="Times New Roman"/>
                <w:sz w:val="21"/>
              </w:rPr>
            </w:pPr>
            <w:r>
              <w:rPr>
                <w:rFonts w:ascii="Times New Roman"/>
                <w:w w:val="99"/>
                <w:sz w:val="21"/>
              </w:rPr>
              <w:t>1</w:t>
            </w:r>
          </w:p>
        </w:tc>
        <w:tc>
          <w:tcPr>
            <w:tcW w:w="14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315"/>
              <w:rPr>
                <w:sz w:val="21"/>
              </w:rPr>
            </w:pPr>
            <w:r>
              <w:rPr>
                <w:sz w:val="21"/>
              </w:rPr>
              <w:t>水利冲挖</w:t>
            </w:r>
          </w:p>
        </w:tc>
        <w:tc>
          <w:tcPr>
            <w:tcW w:w="267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ind w:left="692"/>
              <w:rPr>
                <w:rFonts w:ascii="Times New Roman"/>
                <w:sz w:val="21"/>
              </w:rPr>
            </w:pPr>
            <w:r>
              <w:rPr>
                <w:rFonts w:ascii="Times New Roman"/>
                <w:sz w:val="21"/>
              </w:rPr>
              <w:t>1+650~13+220</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ind w:left="478"/>
              <w:rPr>
                <w:rFonts w:ascii="Times New Roman"/>
                <w:sz w:val="21"/>
              </w:rPr>
            </w:pPr>
            <w:r>
              <w:rPr>
                <w:rFonts w:ascii="Times New Roman"/>
                <w:sz w:val="21"/>
              </w:rPr>
              <w:t>11.51</w:t>
            </w:r>
          </w:p>
        </w:tc>
        <w:tc>
          <w:tcPr>
            <w:tcW w:w="1944" w:type="dxa"/>
            <w:tcBorders>
              <w:top w:val="single" w:sz="4" w:space="0" w:color="000000"/>
              <w:left w:val="single" w:sz="4" w:space="0" w:color="000000"/>
              <w:bottom w:val="single" w:sz="4" w:space="0" w:color="000000"/>
            </w:tcBorders>
          </w:tcPr>
          <w:p>
            <w:pPr>
              <w:pStyle w:val="TableParagraph"/>
              <w:spacing w:line="244" w:lineRule="auto"/>
              <w:ind w:left="30" w:right="110" w:firstLine="1"/>
              <w:jc w:val="center"/>
              <w:rPr>
                <w:sz w:val="21"/>
              </w:rPr>
            </w:pPr>
            <w:r>
              <w:rPr>
                <w:sz w:val="21"/>
              </w:rPr>
              <w:t>设计河底高程</w:t>
            </w:r>
            <w:r>
              <w:rPr>
                <w:rFonts w:ascii="Times New Roman" w:eastAsia="Times New Roman"/>
                <w:sz w:val="21"/>
              </w:rPr>
              <w:t xml:space="preserve">-2.00 </w:t>
            </w:r>
            <w:r>
              <w:rPr>
                <w:spacing w:val="-11"/>
                <w:sz w:val="21"/>
              </w:rPr>
              <w:t xml:space="preserve">米、底宽 </w:t>
            </w:r>
            <w:r>
              <w:rPr>
                <w:rFonts w:ascii="Times New Roman" w:eastAsia="Times New Roman"/>
                <w:sz w:val="21"/>
              </w:rPr>
              <w:t xml:space="preserve">10 </w:t>
            </w:r>
            <w:r>
              <w:rPr>
                <w:spacing w:val="-5"/>
                <w:sz w:val="21"/>
              </w:rPr>
              <w:t>米、边</w:t>
            </w:r>
          </w:p>
          <w:p>
            <w:pPr>
              <w:pStyle w:val="TableParagraph"/>
              <w:spacing w:line="243" w:lineRule="exact"/>
              <w:ind w:left="4" w:right="82"/>
              <w:jc w:val="center"/>
              <w:rPr>
                <w:rFonts w:ascii="Times New Roman" w:eastAsia="Times New Roman"/>
                <w:sz w:val="21"/>
              </w:rPr>
            </w:pPr>
            <w:r>
              <w:rPr>
                <w:sz w:val="21"/>
              </w:rPr>
              <w:t xml:space="preserve">坡 </w:t>
            </w:r>
            <w:r>
              <w:rPr>
                <w:rFonts w:ascii="Times New Roman" w:eastAsia="Times New Roman"/>
                <w:sz w:val="21"/>
              </w:rPr>
              <w:t>1:2.5</w:t>
            </w: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line="242" w:lineRule="exact"/>
              <w:ind w:left="78" w:right="64"/>
              <w:jc w:val="center"/>
              <w:rPr>
                <w:sz w:val="21"/>
              </w:rPr>
            </w:pPr>
            <w:r>
              <w:rPr>
                <w:sz w:val="21"/>
              </w:rPr>
              <w:t>（二）</w:t>
            </w:r>
          </w:p>
        </w:tc>
        <w:tc>
          <w:tcPr>
            <w:tcW w:w="14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315"/>
              <w:rPr>
                <w:sz w:val="21"/>
              </w:rPr>
            </w:pPr>
            <w:r>
              <w:rPr>
                <w:sz w:val="21"/>
              </w:rPr>
              <w:t>防护工程</w:t>
            </w:r>
          </w:p>
        </w:tc>
        <w:tc>
          <w:tcPr>
            <w:tcW w:w="267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7"/>
              <w:jc w:val="center"/>
              <w:rPr>
                <w:rFonts w:ascii="Times New Roman"/>
                <w:sz w:val="21"/>
              </w:rPr>
            </w:pPr>
            <w:r>
              <w:rPr>
                <w:rFonts w:ascii="Times New Roman"/>
                <w:w w:val="99"/>
                <w:sz w:val="21"/>
              </w:rPr>
              <w:t>/</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420"/>
              <w:rPr>
                <w:rFonts w:ascii="Times New Roman"/>
                <w:sz w:val="21"/>
              </w:rPr>
            </w:pPr>
            <w:r>
              <w:rPr>
                <w:rFonts w:ascii="Times New Roman"/>
                <w:sz w:val="21"/>
              </w:rPr>
              <w:t>4000m</w:t>
            </w:r>
          </w:p>
        </w:tc>
        <w:tc>
          <w:tcPr>
            <w:tcW w:w="1944" w:type="dxa"/>
            <w:tcBorders>
              <w:top w:val="single" w:sz="4" w:space="0" w:color="000000"/>
              <w:left w:val="single" w:sz="4" w:space="0" w:color="000000"/>
              <w:bottom w:val="single" w:sz="4" w:space="0" w:color="000000"/>
            </w:tcBorders>
          </w:tcPr>
          <w:p>
            <w:pPr>
              <w:pStyle w:val="TableParagraph"/>
              <w:spacing w:before="10" w:line="232" w:lineRule="exact"/>
              <w:ind w:right="79"/>
              <w:jc w:val="center"/>
              <w:rPr>
                <w:rFonts w:ascii="Times New Roman"/>
                <w:sz w:val="21"/>
              </w:rPr>
            </w:pPr>
            <w:r>
              <w:rPr>
                <w:rFonts w:ascii="Times New Roman"/>
                <w:w w:val="99"/>
                <w:sz w:val="21"/>
              </w:rPr>
              <w:t>/</w:t>
            </w:r>
          </w:p>
        </w:tc>
      </w:tr>
      <w:tr>
        <w:tblPrEx>
          <w:tblW w:w="0" w:type="auto"/>
          <w:jc w:val="left"/>
          <w:tblInd w:w="198" w:type="dxa"/>
          <w:tblLayout w:type="fixed"/>
          <w:tblCellMar>
            <w:top w:w="0" w:type="dxa"/>
            <w:left w:w="0" w:type="dxa"/>
            <w:bottom w:w="0" w:type="dxa"/>
            <w:right w:w="0" w:type="dxa"/>
          </w:tblCellMar>
          <w:tblLook w:val="01E0"/>
        </w:tblPrEx>
        <w:trPr>
          <w:trHeight w:val="535"/>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nil"/>
              <w:right w:val="single" w:sz="4" w:space="0" w:color="000000"/>
            </w:tcBorders>
          </w:tcPr>
          <w:p>
            <w:pPr>
              <w:pStyle w:val="TableParagraph"/>
              <w:spacing w:before="11"/>
              <w:rPr>
                <w:rFonts w:ascii="Times New Roman"/>
                <w:sz w:val="24"/>
              </w:rPr>
            </w:pPr>
          </w:p>
          <w:p>
            <w:pPr>
              <w:pStyle w:val="TableParagraph"/>
              <w:spacing w:line="228" w:lineRule="exact"/>
              <w:ind w:left="18"/>
              <w:jc w:val="center"/>
              <w:rPr>
                <w:rFonts w:ascii="Times New Roman"/>
                <w:sz w:val="21"/>
              </w:rPr>
            </w:pPr>
            <w:r>
              <w:rPr>
                <w:rFonts w:ascii="Times New Roman"/>
                <w:w w:val="99"/>
                <w:sz w:val="21"/>
              </w:rPr>
              <w:t>1</w:t>
            </w:r>
          </w:p>
        </w:tc>
        <w:tc>
          <w:tcPr>
            <w:tcW w:w="14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85" w:right="68"/>
              <w:jc w:val="center"/>
              <w:rPr>
                <w:sz w:val="21"/>
              </w:rPr>
            </w:pPr>
            <w:r>
              <w:rPr>
                <w:sz w:val="21"/>
              </w:rPr>
              <w:t>高分子仿木桩</w:t>
            </w:r>
          </w:p>
          <w:p>
            <w:pPr>
              <w:pStyle w:val="TableParagraph"/>
              <w:spacing w:before="2" w:line="247" w:lineRule="exact"/>
              <w:ind w:left="85" w:right="68"/>
              <w:jc w:val="center"/>
              <w:rPr>
                <w:sz w:val="21"/>
              </w:rPr>
            </w:pPr>
            <w:r>
              <w:rPr>
                <w:sz w:val="21"/>
              </w:rPr>
              <w:t>护岸</w:t>
            </w:r>
          </w:p>
        </w:tc>
        <w:tc>
          <w:tcPr>
            <w:tcW w:w="2674" w:type="dxa"/>
            <w:gridSpan w:val="2"/>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16"/>
              <w:jc w:val="center"/>
              <w:rPr>
                <w:sz w:val="21"/>
              </w:rPr>
            </w:pPr>
            <w:r>
              <w:rPr>
                <w:rFonts w:ascii="Times New Roman" w:eastAsia="Times New Roman"/>
                <w:sz w:val="21"/>
              </w:rPr>
              <w:t xml:space="preserve">1+440~2+000 </w:t>
            </w:r>
            <w:r>
              <w:rPr>
                <w:sz w:val="21"/>
              </w:rPr>
              <w:t>两岸（</w:t>
            </w:r>
            <w:r>
              <w:rPr>
                <w:rFonts w:ascii="Times New Roman" w:eastAsia="Times New Roman"/>
                <w:sz w:val="21"/>
              </w:rPr>
              <w:t xml:space="preserve">6m </w:t>
            </w:r>
            <w:r>
              <w:rPr>
                <w:sz w:val="21"/>
              </w:rPr>
              <w:t>高分</w:t>
            </w:r>
          </w:p>
          <w:p>
            <w:pPr>
              <w:pStyle w:val="TableParagraph"/>
              <w:spacing w:before="2" w:line="247" w:lineRule="exact"/>
              <w:ind w:left="19"/>
              <w:jc w:val="center"/>
              <w:rPr>
                <w:sz w:val="21"/>
              </w:rPr>
            </w:pPr>
            <w:r>
              <w:rPr>
                <w:sz w:val="21"/>
              </w:rPr>
              <w:t>子仿木桩）</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45"/>
              <w:ind w:left="23" w:right="2"/>
              <w:jc w:val="center"/>
              <w:rPr>
                <w:rFonts w:ascii="Times New Roman"/>
                <w:sz w:val="21"/>
              </w:rPr>
            </w:pPr>
            <w:r>
              <w:rPr>
                <w:rFonts w:ascii="Times New Roman"/>
                <w:sz w:val="21"/>
              </w:rPr>
              <w:t>365</w:t>
            </w:r>
          </w:p>
        </w:tc>
        <w:tc>
          <w:tcPr>
            <w:tcW w:w="1944" w:type="dxa"/>
            <w:tcBorders>
              <w:top w:val="single" w:sz="4" w:space="0" w:color="000000"/>
              <w:left w:val="single" w:sz="4" w:space="0" w:color="000000"/>
              <w:bottom w:val="single" w:sz="4" w:space="0" w:color="000000"/>
            </w:tcBorders>
          </w:tcPr>
          <w:p>
            <w:pPr>
              <w:pStyle w:val="TableParagraph"/>
              <w:spacing w:line="266" w:lineRule="exact"/>
              <w:ind w:left="4" w:right="85"/>
              <w:jc w:val="center"/>
              <w:rPr>
                <w:sz w:val="21"/>
              </w:rPr>
            </w:pPr>
            <w:r>
              <w:rPr>
                <w:sz w:val="21"/>
              </w:rPr>
              <w:t>与通榆河交汇东侧</w:t>
            </w:r>
          </w:p>
          <w:p>
            <w:pPr>
              <w:pStyle w:val="TableParagraph"/>
              <w:spacing w:before="2" w:line="247" w:lineRule="exact"/>
              <w:ind w:left="4" w:right="86"/>
              <w:jc w:val="center"/>
              <w:rPr>
                <w:sz w:val="21"/>
              </w:rPr>
            </w:pPr>
            <w:r>
              <w:rPr>
                <w:rFonts w:ascii="Times New Roman" w:eastAsia="Times New Roman"/>
                <w:sz w:val="21"/>
              </w:rPr>
              <w:t xml:space="preserve">110 </w:t>
            </w:r>
            <w:r>
              <w:rPr>
                <w:sz w:val="21"/>
              </w:rPr>
              <w:t>米处</w:t>
            </w:r>
          </w:p>
        </w:tc>
      </w:tr>
      <w:tr>
        <w:tblPrEx>
          <w:tblW w:w="0" w:type="auto"/>
          <w:jc w:val="left"/>
          <w:tblInd w:w="198" w:type="dxa"/>
          <w:tblLayout w:type="fixed"/>
          <w:tblCellMar>
            <w:top w:w="0" w:type="dxa"/>
            <w:left w:w="0" w:type="dxa"/>
            <w:bottom w:w="0" w:type="dxa"/>
            <w:right w:w="0" w:type="dxa"/>
          </w:tblCellMar>
          <w:tblLook w:val="01E0"/>
        </w:tblPrEx>
        <w:trPr>
          <w:trHeight w:val="26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nil"/>
              <w:left w:val="nil"/>
              <w:right w:val="single" w:sz="4" w:space="0" w:color="000000"/>
            </w:tcBorders>
          </w:tcPr>
          <w:p>
            <w:pPr>
              <w:pStyle w:val="TableParagraph"/>
              <w:rPr>
                <w:rFonts w:ascii="Times New Roman"/>
                <w:sz w:val="18"/>
              </w:rPr>
            </w:pPr>
          </w:p>
        </w:tc>
        <w:tc>
          <w:tcPr>
            <w:tcW w:w="1464" w:type="dxa"/>
            <w:gridSpan w:val="2"/>
            <w:tcBorders>
              <w:top w:val="single" w:sz="4" w:space="0" w:color="000000"/>
              <w:left w:val="single" w:sz="4" w:space="0" w:color="000000"/>
              <w:right w:val="single" w:sz="4" w:space="0" w:color="000000"/>
            </w:tcBorders>
          </w:tcPr>
          <w:p>
            <w:pPr>
              <w:pStyle w:val="TableParagraph"/>
              <w:spacing w:line="245" w:lineRule="exact"/>
              <w:ind w:left="106"/>
              <w:rPr>
                <w:sz w:val="21"/>
              </w:rPr>
            </w:pPr>
            <w:r>
              <w:rPr>
                <w:sz w:val="21"/>
              </w:rPr>
              <w:t>钢筋混凝土仿</w:t>
            </w:r>
          </w:p>
        </w:tc>
        <w:tc>
          <w:tcPr>
            <w:tcW w:w="2674" w:type="dxa"/>
            <w:gridSpan w:val="2"/>
            <w:tcBorders>
              <w:top w:val="single" w:sz="4" w:space="0" w:color="000000"/>
              <w:left w:val="single" w:sz="4" w:space="0" w:color="000000"/>
              <w:right w:val="single" w:sz="4" w:space="0" w:color="000000"/>
            </w:tcBorders>
          </w:tcPr>
          <w:p>
            <w:pPr>
              <w:pStyle w:val="TableParagraph"/>
              <w:spacing w:line="245" w:lineRule="exact"/>
              <w:ind w:left="34"/>
              <w:rPr>
                <w:sz w:val="21"/>
              </w:rPr>
            </w:pPr>
            <w:r>
              <w:rPr>
                <w:rFonts w:ascii="Times New Roman" w:eastAsia="Times New Roman"/>
                <w:sz w:val="21"/>
              </w:rPr>
              <w:t xml:space="preserve">12+420~13+120 </w:t>
            </w:r>
            <w:r>
              <w:rPr>
                <w:sz w:val="21"/>
              </w:rPr>
              <w:t>左岸（</w:t>
            </w:r>
            <w:r>
              <w:rPr>
                <w:rFonts w:ascii="Times New Roman" w:eastAsia="Times New Roman"/>
                <w:sz w:val="21"/>
              </w:rPr>
              <w:t xml:space="preserve">6m </w:t>
            </w:r>
            <w:r>
              <w:rPr>
                <w:sz w:val="21"/>
              </w:rPr>
              <w:t>砼</w:t>
            </w:r>
          </w:p>
        </w:tc>
        <w:tc>
          <w:tcPr>
            <w:tcW w:w="1415" w:type="dxa"/>
            <w:tcBorders>
              <w:top w:val="single" w:sz="4" w:space="0" w:color="000000"/>
              <w:left w:val="single" w:sz="4" w:space="0" w:color="000000"/>
              <w:right w:val="single" w:sz="4" w:space="0" w:color="000000"/>
            </w:tcBorders>
          </w:tcPr>
          <w:p>
            <w:pPr>
              <w:pStyle w:val="TableParagraph"/>
              <w:spacing w:before="10" w:line="234" w:lineRule="exact"/>
              <w:ind w:left="23" w:right="2"/>
              <w:jc w:val="center"/>
              <w:rPr>
                <w:rFonts w:ascii="Times New Roman"/>
                <w:sz w:val="21"/>
              </w:rPr>
            </w:pPr>
            <w:r>
              <w:rPr>
                <w:rFonts w:ascii="Times New Roman"/>
                <w:sz w:val="21"/>
              </w:rPr>
              <w:t>706</w:t>
            </w:r>
          </w:p>
        </w:tc>
        <w:tc>
          <w:tcPr>
            <w:tcW w:w="1944" w:type="dxa"/>
            <w:tcBorders>
              <w:top w:val="single" w:sz="4" w:space="0" w:color="000000"/>
              <w:left w:val="single" w:sz="4" w:space="0" w:color="000000"/>
            </w:tcBorders>
          </w:tcPr>
          <w:p>
            <w:pPr>
              <w:pStyle w:val="TableParagraph"/>
              <w:spacing w:line="245" w:lineRule="exact"/>
              <w:ind w:left="4" w:right="86"/>
              <w:jc w:val="center"/>
              <w:rPr>
                <w:sz w:val="21"/>
              </w:rPr>
            </w:pPr>
            <w:r>
              <w:rPr>
                <w:sz w:val="21"/>
              </w:rPr>
              <w:t>射阜线上游左岸厂</w:t>
            </w:r>
          </w:p>
        </w:tc>
      </w:tr>
    </w:tbl>
    <w:p>
      <w:pPr>
        <w:spacing w:after="0" w:line="245" w:lineRule="exact"/>
        <w:jc w:val="center"/>
        <w:rPr>
          <w:sz w:val="21"/>
        </w:rPr>
        <w:sectPr>
          <w:headerReference w:type="default" r:id="rId50"/>
          <w:footerReference w:type="default" r:id="rId51"/>
          <w:pgSz w:w="11910" w:h="16840"/>
          <w:pgMar w:top="1340" w:right="1120" w:bottom="1160" w:left="1220" w:header="891" w:footer="969"/>
          <w:pgNumType w:start="23"/>
          <w:cols w:space="708"/>
        </w:sectPr>
      </w:pPr>
    </w:p>
    <w:p>
      <w:pPr>
        <w:pStyle w:val="BodyText"/>
        <w:spacing w:before="1"/>
        <w:rPr>
          <w:rFonts w:ascii="Times New Roman"/>
          <w:sz w:val="7"/>
        </w:rPr>
      </w:pPr>
    </w:p>
    <w:tbl>
      <w:tblPr>
        <w:tblStyle w:val="TableNormal20"/>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109"/>
        <w:gridCol w:w="818"/>
        <w:gridCol w:w="1464"/>
        <w:gridCol w:w="2674"/>
        <w:gridCol w:w="1415"/>
        <w:gridCol w:w="194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44"/>
          <w:jc w:val="left"/>
        </w:trPr>
        <w:tc>
          <w:tcPr>
            <w:tcW w:w="66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818" w:type="dxa"/>
            <w:tcBorders>
              <w:top w:val="single" w:sz="18" w:space="0" w:color="000000"/>
              <w:left w:val="nil"/>
              <w:bottom w:val="single" w:sz="4" w:space="0" w:color="000000"/>
              <w:right w:val="single" w:sz="4" w:space="0" w:color="000000"/>
            </w:tcBorders>
          </w:tcPr>
          <w:p>
            <w:pPr>
              <w:pStyle w:val="TableParagraph"/>
              <w:rPr>
                <w:rFonts w:ascii="Times New Roman"/>
                <w:sz w:val="16"/>
              </w:rPr>
            </w:pPr>
          </w:p>
        </w:tc>
        <w:tc>
          <w:tcPr>
            <w:tcW w:w="1464" w:type="dxa"/>
            <w:tcBorders>
              <w:top w:val="single" w:sz="18" w:space="0" w:color="000000"/>
              <w:left w:val="single" w:sz="4" w:space="0" w:color="000000"/>
              <w:bottom w:val="single" w:sz="4" w:space="0" w:color="000000"/>
              <w:right w:val="single" w:sz="4" w:space="0" w:color="000000"/>
            </w:tcBorders>
          </w:tcPr>
          <w:p>
            <w:pPr>
              <w:pStyle w:val="TableParagraph"/>
              <w:spacing w:line="225" w:lineRule="exact"/>
              <w:ind w:left="82" w:right="68"/>
              <w:jc w:val="center"/>
              <w:rPr>
                <w:sz w:val="21"/>
              </w:rPr>
            </w:pPr>
            <w:r>
              <w:rPr>
                <w:sz w:val="21"/>
              </w:rPr>
              <w:t>木桩护岸</w:t>
            </w:r>
          </w:p>
        </w:tc>
        <w:tc>
          <w:tcPr>
            <w:tcW w:w="2674" w:type="dxa"/>
            <w:tcBorders>
              <w:top w:val="single" w:sz="18" w:space="0" w:color="000000"/>
              <w:left w:val="single" w:sz="4" w:space="0" w:color="000000"/>
              <w:bottom w:val="single" w:sz="4" w:space="0" w:color="000000"/>
              <w:right w:val="single" w:sz="4" w:space="0" w:color="000000"/>
            </w:tcBorders>
          </w:tcPr>
          <w:p>
            <w:pPr>
              <w:pStyle w:val="TableParagraph"/>
              <w:spacing w:line="225" w:lineRule="exact"/>
              <w:ind w:left="14"/>
              <w:jc w:val="center"/>
              <w:rPr>
                <w:sz w:val="21"/>
              </w:rPr>
            </w:pPr>
            <w:r>
              <w:rPr>
                <w:sz w:val="21"/>
              </w:rPr>
              <w:t>仿木桩）</w:t>
            </w:r>
          </w:p>
        </w:tc>
        <w:tc>
          <w:tcPr>
            <w:tcW w:w="1415" w:type="dxa"/>
            <w:tcBorders>
              <w:top w:val="single" w:sz="18"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944" w:type="dxa"/>
            <w:tcBorders>
              <w:top w:val="single" w:sz="18" w:space="0" w:color="000000"/>
              <w:left w:val="single" w:sz="4" w:space="0" w:color="000000"/>
              <w:bottom w:val="single" w:sz="4" w:space="0" w:color="000000"/>
            </w:tcBorders>
          </w:tcPr>
          <w:p>
            <w:pPr>
              <w:pStyle w:val="TableParagraph"/>
              <w:spacing w:line="225" w:lineRule="exact"/>
              <w:ind w:left="4" w:right="84"/>
              <w:jc w:val="center"/>
              <w:rPr>
                <w:sz w:val="21"/>
              </w:rPr>
            </w:pPr>
            <w:r>
              <w:rPr>
                <w:sz w:val="21"/>
              </w:rPr>
              <w:t>区段</w:t>
            </w:r>
          </w:p>
        </w:tc>
      </w:tr>
      <w:tr>
        <w:tblPrEx>
          <w:tblW w:w="0" w:type="auto"/>
          <w:jc w:val="left"/>
          <w:tblInd w:w="198" w:type="dxa"/>
          <w:tblLayout w:type="fixed"/>
          <w:tblCellMar>
            <w:top w:w="0" w:type="dxa"/>
            <w:left w:w="0" w:type="dxa"/>
            <w:bottom w:w="0" w:type="dxa"/>
            <w:right w:w="0" w:type="dxa"/>
          </w:tblCellMar>
          <w:tblLook w:val="01E0"/>
        </w:tblPrEx>
        <w:trPr>
          <w:trHeight w:val="27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nil"/>
              <w:right w:val="single" w:sz="4" w:space="0" w:color="000000"/>
            </w:tcBorders>
          </w:tcPr>
          <w:p>
            <w:pPr>
              <w:pStyle w:val="TableParagraph"/>
              <w:rPr>
                <w:rFonts w:ascii="Times New Roman"/>
                <w:sz w:val="20"/>
              </w:rPr>
            </w:pPr>
          </w:p>
        </w:tc>
        <w:tc>
          <w:tcPr>
            <w:tcW w:w="1464"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2674" w:type="dxa"/>
            <w:tcBorders>
              <w:top w:val="single" w:sz="4" w:space="0" w:color="000000"/>
              <w:left w:val="single" w:sz="4" w:space="0" w:color="000000"/>
              <w:bottom w:val="nil"/>
              <w:right w:val="single" w:sz="4" w:space="0" w:color="000000"/>
            </w:tcBorders>
          </w:tcPr>
          <w:p>
            <w:pPr>
              <w:pStyle w:val="TableParagraph"/>
              <w:spacing w:before="12" w:line="241" w:lineRule="exact"/>
              <w:ind w:left="15" w:right="-15"/>
              <w:jc w:val="center"/>
              <w:rPr>
                <w:sz w:val="21"/>
              </w:rPr>
            </w:pPr>
            <w:r>
              <w:rPr>
                <w:rFonts w:ascii="Times New Roman" w:eastAsia="Times New Roman"/>
                <w:sz w:val="21"/>
              </w:rPr>
              <w:t>2+400~3+030/7+740~8+003</w:t>
            </w:r>
            <w:r>
              <w:rPr>
                <w:sz w:val="21"/>
              </w:rPr>
              <w:t>、</w:t>
            </w:r>
          </w:p>
        </w:tc>
        <w:tc>
          <w:tcPr>
            <w:tcW w:w="1415"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944" w:type="dxa"/>
            <w:tcBorders>
              <w:top w:val="single" w:sz="4" w:space="0" w:color="000000"/>
              <w:left w:val="single" w:sz="4" w:space="0" w:color="000000"/>
              <w:bottom w:val="nil"/>
            </w:tcBorders>
          </w:tcPr>
          <w:p>
            <w:pPr>
              <w:pStyle w:val="TableParagraph"/>
              <w:spacing w:line="253" w:lineRule="exact"/>
              <w:ind w:left="4" w:right="84"/>
              <w:jc w:val="center"/>
              <w:rPr>
                <w:sz w:val="21"/>
              </w:rPr>
            </w:pPr>
            <w:r>
              <w:rPr>
                <w:sz w:val="21"/>
              </w:rPr>
              <w:t>北水塘村房屋紧</w:t>
            </w:r>
          </w:p>
        </w:tc>
      </w:tr>
      <w:tr>
        <w:tblPrEx>
          <w:tblW w:w="0" w:type="auto"/>
          <w:jc w:val="left"/>
          <w:tblInd w:w="198" w:type="dxa"/>
          <w:tblLayout w:type="fixed"/>
          <w:tblCellMar>
            <w:top w:w="0" w:type="dxa"/>
            <w:left w:w="0" w:type="dxa"/>
            <w:bottom w:w="0" w:type="dxa"/>
            <w:right w:w="0" w:type="dxa"/>
          </w:tblCellMar>
          <w:tblLook w:val="01E0"/>
        </w:tblPrEx>
        <w:trPr>
          <w:trHeight w:val="50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nil"/>
              <w:left w:val="nil"/>
              <w:bottom w:val="nil"/>
              <w:right w:val="single" w:sz="4" w:space="0" w:color="000000"/>
            </w:tcBorders>
          </w:tcPr>
          <w:p>
            <w:pPr>
              <w:pStyle w:val="TableParagraph"/>
              <w:spacing w:before="124"/>
              <w:ind w:left="18"/>
              <w:jc w:val="center"/>
              <w:rPr>
                <w:rFonts w:ascii="Times New Roman"/>
                <w:sz w:val="21"/>
              </w:rPr>
            </w:pPr>
            <w:r>
              <w:rPr>
                <w:rFonts w:ascii="Times New Roman"/>
                <w:w w:val="99"/>
                <w:sz w:val="21"/>
              </w:rPr>
              <w:t>2</w:t>
            </w:r>
          </w:p>
        </w:tc>
        <w:tc>
          <w:tcPr>
            <w:tcW w:w="1464" w:type="dxa"/>
            <w:tcBorders>
              <w:top w:val="nil"/>
              <w:left w:val="single" w:sz="4" w:space="0" w:color="000000"/>
              <w:bottom w:val="nil"/>
              <w:right w:val="single" w:sz="4" w:space="0" w:color="000000"/>
            </w:tcBorders>
          </w:tcPr>
          <w:p>
            <w:pPr>
              <w:pStyle w:val="TableParagraph"/>
              <w:spacing w:before="110"/>
              <w:ind w:left="85" w:right="68"/>
              <w:jc w:val="center"/>
              <w:rPr>
                <w:sz w:val="21"/>
              </w:rPr>
            </w:pPr>
            <w:r>
              <w:rPr>
                <w:sz w:val="21"/>
              </w:rPr>
              <w:t>格宾墙式护岸</w:t>
            </w:r>
          </w:p>
        </w:tc>
        <w:tc>
          <w:tcPr>
            <w:tcW w:w="2674" w:type="dxa"/>
            <w:tcBorders>
              <w:top w:val="nil"/>
              <w:left w:val="single" w:sz="4" w:space="0" w:color="000000"/>
              <w:bottom w:val="nil"/>
              <w:right w:val="single" w:sz="4" w:space="0" w:color="000000"/>
            </w:tcBorders>
          </w:tcPr>
          <w:p>
            <w:pPr>
              <w:pStyle w:val="TableParagraph"/>
              <w:spacing w:line="259" w:lineRule="exact"/>
              <w:ind w:left="14"/>
              <w:jc w:val="center"/>
              <w:rPr>
                <w:sz w:val="21"/>
              </w:rPr>
            </w:pPr>
            <w:r>
              <w:rPr>
                <w:rFonts w:ascii="Times New Roman" w:eastAsia="Times New Roman"/>
                <w:sz w:val="21"/>
              </w:rPr>
              <w:t xml:space="preserve">9+067~9+509 </w:t>
            </w:r>
            <w:r>
              <w:rPr>
                <w:sz w:val="21"/>
              </w:rPr>
              <w:t>左岸</w:t>
            </w:r>
          </w:p>
          <w:p>
            <w:pPr>
              <w:pStyle w:val="TableParagraph"/>
              <w:spacing w:before="1" w:line="224" w:lineRule="exact"/>
              <w:ind w:left="17"/>
              <w:jc w:val="center"/>
              <w:rPr>
                <w:rFonts w:ascii="Times New Roman"/>
                <w:sz w:val="21"/>
              </w:rPr>
            </w:pPr>
            <w:r>
              <w:rPr>
                <w:rFonts w:ascii="Times New Roman"/>
                <w:sz w:val="21"/>
              </w:rPr>
              <w:t>2+400~3+030/7+750~8+003</w:t>
            </w:r>
          </w:p>
        </w:tc>
        <w:tc>
          <w:tcPr>
            <w:tcW w:w="1415" w:type="dxa"/>
            <w:tcBorders>
              <w:top w:val="nil"/>
              <w:left w:val="single" w:sz="4" w:space="0" w:color="000000"/>
              <w:bottom w:val="nil"/>
              <w:right w:val="single" w:sz="4" w:space="0" w:color="000000"/>
            </w:tcBorders>
          </w:tcPr>
          <w:p>
            <w:pPr>
              <w:pStyle w:val="TableParagraph"/>
              <w:spacing w:before="124"/>
              <w:ind w:left="23" w:right="5"/>
              <w:jc w:val="center"/>
              <w:rPr>
                <w:rFonts w:ascii="Times New Roman"/>
                <w:sz w:val="21"/>
              </w:rPr>
            </w:pPr>
            <w:r>
              <w:rPr>
                <w:rFonts w:ascii="Times New Roman"/>
                <w:sz w:val="21"/>
              </w:rPr>
              <w:t>2669</w:t>
            </w:r>
          </w:p>
        </w:tc>
        <w:tc>
          <w:tcPr>
            <w:tcW w:w="1944" w:type="dxa"/>
            <w:tcBorders>
              <w:top w:val="nil"/>
              <w:left w:val="single" w:sz="4" w:space="0" w:color="000000"/>
              <w:bottom w:val="nil"/>
            </w:tcBorders>
          </w:tcPr>
          <w:p>
            <w:pPr>
              <w:pStyle w:val="TableParagraph"/>
              <w:spacing w:line="245" w:lineRule="exact"/>
              <w:ind w:left="4" w:right="84"/>
              <w:jc w:val="center"/>
              <w:rPr>
                <w:sz w:val="21"/>
              </w:rPr>
            </w:pPr>
            <w:r>
              <w:rPr>
                <w:sz w:val="21"/>
              </w:rPr>
              <w:t>临河口段、邓舍</w:t>
            </w:r>
          </w:p>
          <w:p>
            <w:pPr>
              <w:pStyle w:val="TableParagraph"/>
              <w:spacing w:before="2" w:line="238" w:lineRule="exact"/>
              <w:ind w:left="4" w:right="84"/>
              <w:jc w:val="center"/>
              <w:rPr>
                <w:sz w:val="21"/>
              </w:rPr>
            </w:pPr>
            <w:r>
              <w:rPr>
                <w:sz w:val="21"/>
              </w:rPr>
              <w:t>公墓、</w:t>
            </w:r>
            <w:r>
              <w:rPr>
                <w:rFonts w:ascii="Times New Roman" w:eastAsia="Times New Roman"/>
                <w:sz w:val="21"/>
              </w:rPr>
              <w:t xml:space="preserve">S329 </w:t>
            </w:r>
            <w:r>
              <w:rPr>
                <w:sz w:val="21"/>
              </w:rPr>
              <w:t>省道上</w:t>
            </w: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nil"/>
              <w:left w:val="nil"/>
              <w:bottom w:val="single" w:sz="4" w:space="0" w:color="000000"/>
              <w:right w:val="single" w:sz="4" w:space="0" w:color="000000"/>
            </w:tcBorders>
          </w:tcPr>
          <w:p>
            <w:pPr>
              <w:pStyle w:val="TableParagraph"/>
              <w:rPr>
                <w:rFonts w:ascii="Times New Roman"/>
                <w:sz w:val="18"/>
              </w:rPr>
            </w:pPr>
          </w:p>
        </w:tc>
        <w:tc>
          <w:tcPr>
            <w:tcW w:w="1464"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674" w:type="dxa"/>
            <w:tcBorders>
              <w:top w:val="nil"/>
              <w:left w:val="single" w:sz="4" w:space="0" w:color="000000"/>
              <w:bottom w:val="single" w:sz="4" w:space="0" w:color="000000"/>
              <w:right w:val="single" w:sz="4" w:space="0" w:color="000000"/>
            </w:tcBorders>
          </w:tcPr>
          <w:p>
            <w:pPr>
              <w:pStyle w:val="TableParagraph"/>
              <w:spacing w:line="242" w:lineRule="exact"/>
              <w:ind w:left="14"/>
              <w:jc w:val="center"/>
              <w:rPr>
                <w:sz w:val="21"/>
              </w:rPr>
            </w:pPr>
            <w:r>
              <w:rPr>
                <w:rFonts w:ascii="Times New Roman" w:eastAsia="Times New Roman"/>
                <w:sz w:val="21"/>
              </w:rPr>
              <w:t xml:space="preserve">9+067~9+509 </w:t>
            </w:r>
            <w:r>
              <w:rPr>
                <w:sz w:val="21"/>
              </w:rPr>
              <w:t>右岸</w:t>
            </w:r>
          </w:p>
        </w:tc>
        <w:tc>
          <w:tcPr>
            <w:tcW w:w="1415"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1944" w:type="dxa"/>
            <w:tcBorders>
              <w:top w:val="nil"/>
              <w:left w:val="single" w:sz="4" w:space="0" w:color="000000"/>
              <w:bottom w:val="single" w:sz="4" w:space="0" w:color="000000"/>
            </w:tcBorders>
          </w:tcPr>
          <w:p>
            <w:pPr>
              <w:pStyle w:val="TableParagraph"/>
              <w:spacing w:line="242" w:lineRule="exact"/>
              <w:ind w:left="4" w:right="84"/>
              <w:jc w:val="center"/>
              <w:rPr>
                <w:sz w:val="21"/>
              </w:rPr>
            </w:pPr>
            <w:r>
              <w:rPr>
                <w:sz w:val="21"/>
              </w:rPr>
              <w:t>下游</w:t>
            </w:r>
          </w:p>
        </w:tc>
      </w:tr>
      <w:tr>
        <w:tblPrEx>
          <w:tblW w:w="0" w:type="auto"/>
          <w:jc w:val="left"/>
          <w:tblInd w:w="198" w:type="dxa"/>
          <w:tblLayout w:type="fixed"/>
          <w:tblCellMar>
            <w:top w:w="0" w:type="dxa"/>
            <w:left w:w="0" w:type="dxa"/>
            <w:bottom w:w="0" w:type="dxa"/>
            <w:right w:w="0" w:type="dxa"/>
          </w:tblCellMar>
          <w:tblLook w:val="01E0"/>
        </w:tblPrEx>
        <w:trPr>
          <w:trHeight w:val="26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29"/>
              <w:ind w:left="99"/>
              <w:rPr>
                <w:sz w:val="21"/>
              </w:rPr>
            </w:pPr>
            <w:r>
              <w:rPr>
                <w:sz w:val="21"/>
              </w:rPr>
              <w:t>（三）</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ind w:left="212"/>
              <w:rPr>
                <w:sz w:val="21"/>
              </w:rPr>
            </w:pPr>
            <w:r>
              <w:rPr>
                <w:sz w:val="21"/>
              </w:rPr>
              <w:t>影响建筑物</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5"/>
              <w:ind w:left="17"/>
              <w:jc w:val="center"/>
              <w:rPr>
                <w:rFonts w:ascii="Times New Roman"/>
                <w:sz w:val="21"/>
              </w:rPr>
            </w:pPr>
            <w:r>
              <w:rPr>
                <w:rFonts w:ascii="Times New Roman"/>
                <w:w w:val="99"/>
                <w:sz w:val="21"/>
              </w:rPr>
              <w:t>/</w:t>
            </w:r>
          </w:p>
        </w:tc>
        <w:tc>
          <w:tcPr>
            <w:tcW w:w="1415" w:type="dxa"/>
            <w:tcBorders>
              <w:top w:val="single" w:sz="4" w:space="0" w:color="000000"/>
              <w:left w:val="single" w:sz="4" w:space="0" w:color="000000"/>
              <w:bottom w:val="nil"/>
              <w:right w:val="single" w:sz="4" w:space="0" w:color="000000"/>
            </w:tcBorders>
          </w:tcPr>
          <w:p>
            <w:pPr>
              <w:pStyle w:val="TableParagraph"/>
              <w:spacing w:line="241" w:lineRule="exact"/>
              <w:ind w:left="10" w:right="-15"/>
              <w:jc w:val="center"/>
              <w:rPr>
                <w:sz w:val="21"/>
              </w:rPr>
            </w:pPr>
            <w:r>
              <w:rPr>
                <w:spacing w:val="-19"/>
                <w:sz w:val="21"/>
              </w:rPr>
              <w:t xml:space="preserve">拆建 </w:t>
            </w:r>
            <w:r>
              <w:rPr>
                <w:rFonts w:ascii="Times New Roman" w:eastAsia="Times New Roman"/>
                <w:sz w:val="21"/>
              </w:rPr>
              <w:t>7</w:t>
            </w:r>
            <w:r>
              <w:rPr>
                <w:rFonts w:ascii="Times New Roman" w:eastAsia="Times New Roman"/>
                <w:spacing w:val="-1"/>
                <w:sz w:val="21"/>
              </w:rPr>
              <w:t xml:space="preserve"> </w:t>
            </w:r>
            <w:r>
              <w:rPr>
                <w:spacing w:val="-20"/>
                <w:sz w:val="21"/>
              </w:rPr>
              <w:t>座、新建</w:t>
            </w:r>
          </w:p>
        </w:tc>
        <w:tc>
          <w:tcPr>
            <w:tcW w:w="1944" w:type="dxa"/>
            <w:vMerge w:val="restart"/>
            <w:tcBorders>
              <w:top w:val="single" w:sz="4" w:space="0" w:color="000000"/>
              <w:left w:val="single" w:sz="4" w:space="0" w:color="000000"/>
              <w:bottom w:val="single" w:sz="4" w:space="0" w:color="000000"/>
            </w:tcBorders>
          </w:tcPr>
          <w:p>
            <w:pPr>
              <w:pStyle w:val="TableParagraph"/>
              <w:spacing w:before="145"/>
              <w:ind w:right="79"/>
              <w:jc w:val="center"/>
              <w:rPr>
                <w:rFonts w:ascii="Times New Roman"/>
                <w:sz w:val="21"/>
              </w:rPr>
            </w:pPr>
            <w:r>
              <w:rPr>
                <w:rFonts w:ascii="Times New Roman"/>
                <w:w w:val="99"/>
                <w:sz w:val="21"/>
              </w:rPr>
              <w:t>/</w:t>
            </w:r>
          </w:p>
        </w:tc>
      </w:tr>
      <w:tr>
        <w:tblPrEx>
          <w:tblW w:w="0" w:type="auto"/>
          <w:jc w:val="left"/>
          <w:tblInd w:w="198" w:type="dxa"/>
          <w:tblLayout w:type="fixed"/>
          <w:tblCellMar>
            <w:top w:w="0" w:type="dxa"/>
            <w:left w:w="0" w:type="dxa"/>
            <w:bottom w:w="0" w:type="dxa"/>
            <w:right w:w="0" w:type="dxa"/>
          </w:tblCellMar>
          <w:tblLook w:val="01E0"/>
        </w:tblPrEx>
        <w:trPr>
          <w:trHeight w:val="25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3" w:lineRule="exact"/>
              <w:ind w:left="23" w:right="8"/>
              <w:jc w:val="center"/>
              <w:rPr>
                <w:sz w:val="21"/>
              </w:rPr>
            </w:pPr>
            <w:r>
              <w:rPr>
                <w:rFonts w:ascii="Times New Roman" w:eastAsia="Times New Roman"/>
                <w:sz w:val="21"/>
              </w:rPr>
              <w:t xml:space="preserve">2 </w:t>
            </w:r>
            <w:r>
              <w:rPr>
                <w:sz w:val="21"/>
              </w:rPr>
              <w:t>座</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4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29"/>
              <w:ind w:left="18"/>
              <w:jc w:val="center"/>
              <w:rPr>
                <w:rFonts w:ascii="Times New Roman"/>
                <w:sz w:val="21"/>
              </w:rPr>
            </w:pPr>
            <w:r>
              <w:rPr>
                <w:rFonts w:ascii="Times New Roman"/>
                <w:w w:val="99"/>
                <w:sz w:val="21"/>
              </w:rPr>
              <w:t>1</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5"/>
              <w:ind w:left="315"/>
              <w:rPr>
                <w:sz w:val="21"/>
              </w:rPr>
            </w:pPr>
            <w:r>
              <w:rPr>
                <w:sz w:val="21"/>
              </w:rPr>
              <w:t>北川洞站</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5"/>
              <w:ind w:left="810"/>
              <w:rPr>
                <w:sz w:val="21"/>
              </w:rPr>
            </w:pPr>
            <w:r>
              <w:rPr>
                <w:rFonts w:ascii="Times New Roman" w:eastAsia="Times New Roman"/>
                <w:sz w:val="21"/>
              </w:rPr>
              <w:t>2+400</w:t>
            </w:r>
            <w:r>
              <w:rPr>
                <w:rFonts w:ascii="Times New Roman" w:eastAsia="Times New Roman"/>
                <w:spacing w:val="51"/>
                <w:sz w:val="21"/>
              </w:rPr>
              <w:t xml:space="preserve"> </w:t>
            </w:r>
            <w:r>
              <w:rPr>
                <w:sz w:val="21"/>
              </w:rPr>
              <w:t>左岸</w:t>
            </w:r>
          </w:p>
        </w:tc>
        <w:tc>
          <w:tcPr>
            <w:tcW w:w="1415" w:type="dxa"/>
            <w:tcBorders>
              <w:top w:val="single" w:sz="4" w:space="0" w:color="000000"/>
              <w:left w:val="single" w:sz="4" w:space="0" w:color="000000"/>
              <w:bottom w:val="nil"/>
              <w:right w:val="single" w:sz="4" w:space="0" w:color="000000"/>
            </w:tcBorders>
          </w:tcPr>
          <w:p>
            <w:pPr>
              <w:pStyle w:val="TableParagraph"/>
              <w:spacing w:line="222" w:lineRule="exact"/>
              <w:ind w:left="23" w:right="6"/>
              <w:jc w:val="center"/>
              <w:rPr>
                <w:rFonts w:ascii="Times New Roman"/>
                <w:sz w:val="21"/>
              </w:rPr>
            </w:pPr>
            <w:r>
              <w:rPr>
                <w:rFonts w:ascii="Times New Roman"/>
                <w:sz w:val="21"/>
              </w:rPr>
              <w:t>2.4m+0.5m</w:t>
            </w:r>
            <w:r>
              <w:rPr>
                <w:rFonts w:ascii="Times New Roman"/>
                <w:position w:val="7"/>
                <w:sz w:val="13"/>
              </w:rPr>
              <w:t>3</w:t>
            </w:r>
            <w:r>
              <w:rPr>
                <w:rFonts w:ascii="Times New Roman"/>
                <w:sz w:val="21"/>
              </w:rPr>
              <w:t>/s</w:t>
            </w:r>
          </w:p>
        </w:tc>
        <w:tc>
          <w:tcPr>
            <w:tcW w:w="1944" w:type="dxa"/>
            <w:vMerge w:val="restart"/>
            <w:tcBorders>
              <w:top w:val="single" w:sz="4" w:space="0" w:color="000000"/>
              <w:left w:val="single" w:sz="4" w:space="0" w:color="000000"/>
              <w:bottom w:val="single" w:sz="4" w:space="0" w:color="000000"/>
            </w:tcBorders>
          </w:tcPr>
          <w:p>
            <w:pPr>
              <w:pStyle w:val="TableParagraph"/>
              <w:spacing w:before="115"/>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4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22" w:lineRule="exact"/>
              <w:ind w:left="23" w:right="8"/>
              <w:jc w:val="center"/>
              <w:rPr>
                <w:sz w:val="21"/>
              </w:rPr>
            </w:pPr>
            <w:r>
              <w:rPr>
                <w:sz w:val="21"/>
              </w:rPr>
              <w:t>灌排洞站</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5"/>
              <w:ind w:left="18"/>
              <w:jc w:val="center"/>
              <w:rPr>
                <w:rFonts w:ascii="Times New Roman"/>
                <w:sz w:val="21"/>
              </w:rPr>
            </w:pPr>
            <w:r>
              <w:rPr>
                <w:rFonts w:ascii="Times New Roman"/>
                <w:w w:val="99"/>
                <w:sz w:val="21"/>
              </w:rPr>
              <w:t>2</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1"/>
              <w:ind w:left="212"/>
              <w:rPr>
                <w:sz w:val="21"/>
              </w:rPr>
            </w:pPr>
            <w:r>
              <w:rPr>
                <w:sz w:val="21"/>
              </w:rPr>
              <w:t>陈桥北闸站</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1"/>
              <w:ind w:left="810"/>
              <w:rPr>
                <w:sz w:val="21"/>
              </w:rPr>
            </w:pPr>
            <w:r>
              <w:rPr>
                <w:rFonts w:ascii="Times New Roman" w:eastAsia="Times New Roman"/>
                <w:sz w:val="21"/>
              </w:rPr>
              <w:t>2+400</w:t>
            </w:r>
            <w:r>
              <w:rPr>
                <w:rFonts w:ascii="Times New Roman" w:eastAsia="Times New Roman"/>
                <w:spacing w:val="51"/>
                <w:sz w:val="21"/>
              </w:rPr>
              <w:t xml:space="preserve"> </w:t>
            </w:r>
            <w:r>
              <w:rPr>
                <w:sz w:val="21"/>
              </w:rPr>
              <w:t>右岸</w:t>
            </w:r>
          </w:p>
        </w:tc>
        <w:tc>
          <w:tcPr>
            <w:tcW w:w="1415" w:type="dxa"/>
            <w:tcBorders>
              <w:top w:val="single" w:sz="4" w:space="0" w:color="000000"/>
              <w:left w:val="single" w:sz="4" w:space="0" w:color="000000"/>
              <w:bottom w:val="nil"/>
              <w:right w:val="single" w:sz="4" w:space="0" w:color="000000"/>
            </w:tcBorders>
          </w:tcPr>
          <w:p>
            <w:pPr>
              <w:pStyle w:val="TableParagraph"/>
              <w:spacing w:line="245" w:lineRule="exact"/>
              <w:ind w:left="23" w:right="8"/>
              <w:jc w:val="center"/>
              <w:rPr>
                <w:sz w:val="21"/>
              </w:rPr>
            </w:pPr>
            <w:r>
              <w:rPr>
                <w:rFonts w:ascii="Times New Roman" w:eastAsia="Times New Roman"/>
                <w:sz w:val="21"/>
              </w:rPr>
              <w:t>4m+1m</w:t>
            </w:r>
            <w:r>
              <w:rPr>
                <w:rFonts w:ascii="Times New Roman" w:eastAsia="Times New Roman"/>
                <w:position w:val="7"/>
                <w:sz w:val="13"/>
              </w:rPr>
              <w:t>3</w:t>
            </w:r>
            <w:r>
              <w:rPr>
                <w:rFonts w:ascii="Times New Roman" w:eastAsia="Times New Roman"/>
                <w:sz w:val="21"/>
              </w:rPr>
              <w:t xml:space="preserve">/s </w:t>
            </w:r>
            <w:r>
              <w:rPr>
                <w:spacing w:val="-6"/>
                <w:sz w:val="21"/>
              </w:rPr>
              <w:t>灌排</w:t>
            </w:r>
          </w:p>
        </w:tc>
        <w:tc>
          <w:tcPr>
            <w:tcW w:w="1944" w:type="dxa"/>
            <w:vMerge w:val="restart"/>
            <w:tcBorders>
              <w:top w:val="single" w:sz="4" w:space="0" w:color="000000"/>
              <w:left w:val="single" w:sz="4" w:space="0" w:color="000000"/>
              <w:bottom w:val="single" w:sz="4" w:space="0" w:color="000000"/>
            </w:tcBorders>
          </w:tcPr>
          <w:p>
            <w:pPr>
              <w:pStyle w:val="TableParagraph"/>
              <w:spacing w:before="131"/>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0" w:lineRule="exact"/>
              <w:ind w:left="23" w:right="6"/>
              <w:jc w:val="center"/>
              <w:rPr>
                <w:sz w:val="21"/>
              </w:rPr>
            </w:pPr>
            <w:r>
              <w:rPr>
                <w:sz w:val="21"/>
              </w:rPr>
              <w:t>闸站</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4"/>
              <w:ind w:left="18"/>
              <w:jc w:val="center"/>
              <w:rPr>
                <w:rFonts w:ascii="Times New Roman"/>
                <w:sz w:val="21"/>
              </w:rPr>
            </w:pPr>
            <w:r>
              <w:rPr>
                <w:rFonts w:ascii="Times New Roman"/>
                <w:w w:val="99"/>
                <w:sz w:val="21"/>
              </w:rPr>
              <w:t>3</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212"/>
              <w:rPr>
                <w:sz w:val="21"/>
              </w:rPr>
            </w:pPr>
            <w:r>
              <w:rPr>
                <w:sz w:val="21"/>
              </w:rPr>
              <w:t>丁河南闸站</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810"/>
              <w:rPr>
                <w:sz w:val="21"/>
              </w:rPr>
            </w:pPr>
            <w:r>
              <w:rPr>
                <w:rFonts w:ascii="Times New Roman" w:eastAsia="Times New Roman"/>
                <w:sz w:val="21"/>
              </w:rPr>
              <w:t>3+700</w:t>
            </w:r>
            <w:r>
              <w:rPr>
                <w:rFonts w:ascii="Times New Roman" w:eastAsia="Times New Roman"/>
                <w:spacing w:val="51"/>
                <w:sz w:val="21"/>
              </w:rPr>
              <w:t xml:space="preserve"> </w:t>
            </w:r>
            <w:r>
              <w:rPr>
                <w:sz w:val="21"/>
              </w:rPr>
              <w:t>左岸</w:t>
            </w:r>
          </w:p>
        </w:tc>
        <w:tc>
          <w:tcPr>
            <w:tcW w:w="1415" w:type="dxa"/>
            <w:tcBorders>
              <w:top w:val="single" w:sz="4" w:space="0" w:color="000000"/>
              <w:left w:val="single" w:sz="4" w:space="0" w:color="000000"/>
              <w:bottom w:val="nil"/>
              <w:right w:val="single" w:sz="4" w:space="0" w:color="000000"/>
            </w:tcBorders>
          </w:tcPr>
          <w:p>
            <w:pPr>
              <w:pStyle w:val="TableParagraph"/>
              <w:spacing w:line="244" w:lineRule="exact"/>
              <w:ind w:left="23" w:right="6"/>
              <w:jc w:val="center"/>
              <w:rPr>
                <w:sz w:val="21"/>
              </w:rPr>
            </w:pPr>
            <w:r>
              <w:rPr>
                <w:rFonts w:ascii="Times New Roman" w:eastAsia="Times New Roman"/>
                <w:sz w:val="21"/>
              </w:rPr>
              <w:t>2.4m+1m</w:t>
            </w:r>
            <w:r>
              <w:rPr>
                <w:rFonts w:ascii="Times New Roman" w:eastAsia="Times New Roman"/>
                <w:position w:val="7"/>
                <w:sz w:val="13"/>
              </w:rPr>
              <w:t>3</w:t>
            </w:r>
            <w:r>
              <w:rPr>
                <w:rFonts w:ascii="Times New Roman" w:eastAsia="Times New Roman"/>
                <w:sz w:val="21"/>
              </w:rPr>
              <w:t>/s</w:t>
            </w:r>
            <w:r>
              <w:rPr>
                <w:rFonts w:ascii="Times New Roman" w:eastAsia="Times New Roman"/>
                <w:spacing w:val="51"/>
                <w:sz w:val="21"/>
              </w:rPr>
              <w:t xml:space="preserve"> </w:t>
            </w:r>
            <w:r>
              <w:rPr>
                <w:sz w:val="21"/>
              </w:rPr>
              <w:t>灌</w:t>
            </w:r>
          </w:p>
        </w:tc>
        <w:tc>
          <w:tcPr>
            <w:tcW w:w="1944" w:type="dxa"/>
            <w:vMerge w:val="restart"/>
            <w:tcBorders>
              <w:top w:val="single" w:sz="4" w:space="0" w:color="000000"/>
              <w:left w:val="single" w:sz="4" w:space="0" w:color="000000"/>
              <w:bottom w:val="single" w:sz="4" w:space="0" w:color="000000"/>
            </w:tcBorders>
          </w:tcPr>
          <w:p>
            <w:pPr>
              <w:pStyle w:val="TableParagraph"/>
              <w:spacing w:before="130"/>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1" w:lineRule="exact"/>
              <w:ind w:left="23" w:right="6"/>
              <w:jc w:val="center"/>
              <w:rPr>
                <w:sz w:val="21"/>
              </w:rPr>
            </w:pPr>
            <w:r>
              <w:rPr>
                <w:sz w:val="21"/>
              </w:rPr>
              <w:t>排洞站</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6"/>
              <w:ind w:left="18"/>
              <w:jc w:val="center"/>
              <w:rPr>
                <w:rFonts w:ascii="Times New Roman"/>
                <w:sz w:val="21"/>
              </w:rPr>
            </w:pPr>
            <w:r>
              <w:rPr>
                <w:rFonts w:ascii="Times New Roman"/>
                <w:w w:val="99"/>
                <w:sz w:val="21"/>
              </w:rPr>
              <w:t>4</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106"/>
              <w:rPr>
                <w:sz w:val="21"/>
              </w:rPr>
            </w:pPr>
            <w:r>
              <w:rPr>
                <w:sz w:val="21"/>
              </w:rPr>
              <w:t>界河灌排闸站</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810"/>
              <w:rPr>
                <w:sz w:val="21"/>
              </w:rPr>
            </w:pPr>
            <w:r>
              <w:rPr>
                <w:rFonts w:ascii="Times New Roman" w:eastAsia="Times New Roman"/>
                <w:sz w:val="21"/>
              </w:rPr>
              <w:t>5+050</w:t>
            </w:r>
            <w:r>
              <w:rPr>
                <w:rFonts w:ascii="Times New Roman" w:eastAsia="Times New Roman"/>
                <w:spacing w:val="51"/>
                <w:sz w:val="21"/>
              </w:rPr>
              <w:t xml:space="preserve"> </w:t>
            </w:r>
            <w:r>
              <w:rPr>
                <w:sz w:val="21"/>
              </w:rPr>
              <w:t>左岸</w:t>
            </w:r>
          </w:p>
        </w:tc>
        <w:tc>
          <w:tcPr>
            <w:tcW w:w="1415" w:type="dxa"/>
            <w:tcBorders>
              <w:top w:val="single" w:sz="4" w:space="0" w:color="000000"/>
              <w:left w:val="single" w:sz="4" w:space="0" w:color="000000"/>
              <w:bottom w:val="nil"/>
              <w:right w:val="single" w:sz="4" w:space="0" w:color="000000"/>
            </w:tcBorders>
          </w:tcPr>
          <w:p>
            <w:pPr>
              <w:pStyle w:val="TableParagraph"/>
              <w:spacing w:line="244" w:lineRule="exact"/>
              <w:ind w:left="23" w:right="8"/>
              <w:jc w:val="center"/>
              <w:rPr>
                <w:sz w:val="21"/>
              </w:rPr>
            </w:pPr>
            <w:r>
              <w:rPr>
                <w:rFonts w:ascii="Times New Roman" w:eastAsia="Times New Roman"/>
                <w:sz w:val="21"/>
              </w:rPr>
              <w:t>4m+1m</w:t>
            </w:r>
            <w:r>
              <w:rPr>
                <w:rFonts w:ascii="Times New Roman" w:eastAsia="Times New Roman"/>
                <w:position w:val="7"/>
                <w:sz w:val="13"/>
              </w:rPr>
              <w:t>3</w:t>
            </w:r>
            <w:r>
              <w:rPr>
                <w:rFonts w:ascii="Times New Roman" w:eastAsia="Times New Roman"/>
                <w:sz w:val="21"/>
              </w:rPr>
              <w:t xml:space="preserve">/s </w:t>
            </w:r>
            <w:r>
              <w:rPr>
                <w:spacing w:val="-6"/>
                <w:sz w:val="21"/>
              </w:rPr>
              <w:t>灌排</w:t>
            </w:r>
          </w:p>
        </w:tc>
        <w:tc>
          <w:tcPr>
            <w:tcW w:w="1944" w:type="dxa"/>
            <w:tcBorders>
              <w:top w:val="single" w:sz="4" w:space="0" w:color="000000"/>
              <w:left w:val="single" w:sz="4" w:space="0" w:color="000000"/>
              <w:bottom w:val="nil"/>
            </w:tcBorders>
          </w:tcPr>
          <w:p>
            <w:pPr>
              <w:pStyle w:val="TableParagraph"/>
              <w:spacing w:line="244" w:lineRule="exact"/>
              <w:ind w:left="4" w:right="86"/>
              <w:jc w:val="center"/>
              <w:rPr>
                <w:sz w:val="21"/>
              </w:rPr>
            </w:pPr>
            <w:r>
              <w:rPr>
                <w:sz w:val="21"/>
              </w:rPr>
              <w:t>新建（现状为坝</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0" w:lineRule="exact"/>
              <w:ind w:left="23" w:right="6"/>
              <w:jc w:val="center"/>
              <w:rPr>
                <w:sz w:val="21"/>
              </w:rPr>
            </w:pPr>
            <w:r>
              <w:rPr>
                <w:sz w:val="21"/>
              </w:rPr>
              <w:t>闸站</w:t>
            </w:r>
          </w:p>
        </w:tc>
        <w:tc>
          <w:tcPr>
            <w:tcW w:w="1944" w:type="dxa"/>
            <w:tcBorders>
              <w:top w:val="nil"/>
              <w:left w:val="single" w:sz="4" w:space="0" w:color="000000"/>
              <w:bottom w:val="single" w:sz="4" w:space="0" w:color="000000"/>
            </w:tcBorders>
          </w:tcPr>
          <w:p>
            <w:pPr>
              <w:pStyle w:val="TableParagraph"/>
              <w:spacing w:line="230" w:lineRule="exact"/>
              <w:ind w:left="4" w:right="85"/>
              <w:jc w:val="center"/>
              <w:rPr>
                <w:sz w:val="21"/>
              </w:rPr>
            </w:pPr>
            <w:r>
              <w:rPr>
                <w:sz w:val="21"/>
              </w:rPr>
              <w:t>头）</w:t>
            </w:r>
          </w:p>
        </w:tc>
      </w:tr>
      <w:tr>
        <w:tblPrEx>
          <w:tblW w:w="0" w:type="auto"/>
          <w:jc w:val="left"/>
          <w:tblInd w:w="198" w:type="dxa"/>
          <w:tblLayout w:type="fixed"/>
          <w:tblCellMar>
            <w:top w:w="0" w:type="dxa"/>
            <w:left w:w="0" w:type="dxa"/>
            <w:bottom w:w="0" w:type="dxa"/>
            <w:right w:w="0" w:type="dxa"/>
          </w:tblCellMar>
          <w:tblLook w:val="01E0"/>
        </w:tblPrEx>
        <w:trPr>
          <w:trHeight w:val="26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6"/>
              <w:ind w:left="18"/>
              <w:jc w:val="center"/>
              <w:rPr>
                <w:rFonts w:ascii="Times New Roman"/>
                <w:sz w:val="21"/>
              </w:rPr>
            </w:pPr>
            <w:r>
              <w:rPr>
                <w:rFonts w:ascii="Times New Roman"/>
                <w:w w:val="99"/>
                <w:sz w:val="21"/>
              </w:rPr>
              <w:t>5</w:t>
            </w:r>
          </w:p>
        </w:tc>
        <w:tc>
          <w:tcPr>
            <w:tcW w:w="1464" w:type="dxa"/>
            <w:tcBorders>
              <w:top w:val="single" w:sz="4" w:space="0" w:color="000000"/>
              <w:left w:val="single" w:sz="4" w:space="0" w:color="000000"/>
              <w:bottom w:val="nil"/>
              <w:right w:val="single" w:sz="4" w:space="0" w:color="000000"/>
            </w:tcBorders>
          </w:tcPr>
          <w:p>
            <w:pPr>
              <w:pStyle w:val="TableParagraph"/>
              <w:spacing w:line="244" w:lineRule="exact"/>
              <w:ind w:left="85" w:right="68"/>
              <w:jc w:val="center"/>
              <w:rPr>
                <w:sz w:val="21"/>
              </w:rPr>
            </w:pPr>
            <w:r>
              <w:rPr>
                <w:sz w:val="21"/>
              </w:rPr>
              <w:t>邓舍二号沟闸</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810"/>
              <w:rPr>
                <w:sz w:val="21"/>
              </w:rPr>
            </w:pPr>
            <w:r>
              <w:rPr>
                <w:rFonts w:ascii="Times New Roman" w:eastAsia="Times New Roman"/>
                <w:sz w:val="21"/>
              </w:rPr>
              <w:t>7+700</w:t>
            </w:r>
            <w:r>
              <w:rPr>
                <w:rFonts w:ascii="Times New Roman" w:eastAsia="Times New Roman"/>
                <w:spacing w:val="51"/>
                <w:sz w:val="21"/>
              </w:rPr>
              <w:t xml:space="preserve"> </w:t>
            </w:r>
            <w:r>
              <w:rPr>
                <w:sz w:val="21"/>
              </w:rPr>
              <w:t>左岸</w:t>
            </w:r>
          </w:p>
        </w:tc>
        <w:tc>
          <w:tcPr>
            <w:tcW w:w="1415" w:type="dxa"/>
            <w:tcBorders>
              <w:top w:val="single" w:sz="4" w:space="0" w:color="000000"/>
              <w:left w:val="single" w:sz="4" w:space="0" w:color="000000"/>
              <w:bottom w:val="nil"/>
              <w:right w:val="single" w:sz="4" w:space="0" w:color="000000"/>
            </w:tcBorders>
          </w:tcPr>
          <w:p>
            <w:pPr>
              <w:pStyle w:val="TableParagraph"/>
              <w:spacing w:line="244" w:lineRule="exact"/>
              <w:ind w:left="23" w:right="8"/>
              <w:jc w:val="center"/>
              <w:rPr>
                <w:sz w:val="21"/>
              </w:rPr>
            </w:pPr>
            <w:r>
              <w:rPr>
                <w:rFonts w:ascii="Times New Roman" w:eastAsia="Times New Roman"/>
                <w:sz w:val="21"/>
              </w:rPr>
              <w:t>4m+1m</w:t>
            </w:r>
            <w:r>
              <w:rPr>
                <w:rFonts w:ascii="Times New Roman" w:eastAsia="Times New Roman"/>
                <w:position w:val="7"/>
                <w:sz w:val="13"/>
              </w:rPr>
              <w:t>3</w:t>
            </w:r>
            <w:r>
              <w:rPr>
                <w:rFonts w:ascii="Times New Roman" w:eastAsia="Times New Roman"/>
                <w:sz w:val="21"/>
              </w:rPr>
              <w:t xml:space="preserve">/s </w:t>
            </w:r>
            <w:r>
              <w:rPr>
                <w:spacing w:val="-6"/>
                <w:sz w:val="21"/>
              </w:rPr>
              <w:t>灌排</w:t>
            </w:r>
          </w:p>
        </w:tc>
        <w:tc>
          <w:tcPr>
            <w:tcW w:w="1944" w:type="dxa"/>
            <w:vMerge w:val="restart"/>
            <w:tcBorders>
              <w:top w:val="single" w:sz="4" w:space="0" w:color="000000"/>
              <w:left w:val="single" w:sz="4" w:space="0" w:color="000000"/>
              <w:bottom w:val="single" w:sz="4" w:space="0" w:color="000000"/>
            </w:tcBorders>
          </w:tcPr>
          <w:p>
            <w:pPr>
              <w:pStyle w:val="TableParagraph"/>
              <w:spacing w:before="130"/>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tcBorders>
              <w:top w:val="nil"/>
              <w:left w:val="single" w:sz="4" w:space="0" w:color="000000"/>
              <w:bottom w:val="single" w:sz="4" w:space="0" w:color="000000"/>
              <w:right w:val="single" w:sz="4" w:space="0" w:color="000000"/>
            </w:tcBorders>
          </w:tcPr>
          <w:p>
            <w:pPr>
              <w:pStyle w:val="TableParagraph"/>
              <w:spacing w:line="231" w:lineRule="exact"/>
              <w:ind w:left="19"/>
              <w:jc w:val="center"/>
              <w:rPr>
                <w:sz w:val="21"/>
              </w:rPr>
            </w:pPr>
            <w:r>
              <w:rPr>
                <w:w w:val="99"/>
                <w:sz w:val="21"/>
              </w:rPr>
              <w:t>站</w:t>
            </w: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1" w:lineRule="exact"/>
              <w:ind w:left="23" w:right="6"/>
              <w:jc w:val="center"/>
              <w:rPr>
                <w:sz w:val="21"/>
              </w:rPr>
            </w:pPr>
            <w:r>
              <w:rPr>
                <w:sz w:val="21"/>
              </w:rPr>
              <w:t>闸站</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6"/>
              <w:ind w:left="18"/>
              <w:jc w:val="center"/>
              <w:rPr>
                <w:rFonts w:ascii="Times New Roman"/>
                <w:sz w:val="21"/>
              </w:rPr>
            </w:pPr>
            <w:r>
              <w:rPr>
                <w:rFonts w:ascii="Times New Roman"/>
                <w:w w:val="99"/>
                <w:sz w:val="21"/>
              </w:rPr>
              <w:t>6</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ind w:left="212"/>
              <w:rPr>
                <w:sz w:val="21"/>
              </w:rPr>
            </w:pPr>
            <w:r>
              <w:rPr>
                <w:sz w:val="21"/>
              </w:rPr>
              <w:t>三号沟闸站</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ind w:left="810"/>
              <w:rPr>
                <w:sz w:val="21"/>
              </w:rPr>
            </w:pPr>
            <w:r>
              <w:rPr>
                <w:rFonts w:ascii="Times New Roman" w:eastAsia="Times New Roman"/>
                <w:sz w:val="21"/>
              </w:rPr>
              <w:t>8+250</w:t>
            </w:r>
            <w:r>
              <w:rPr>
                <w:rFonts w:ascii="Times New Roman" w:eastAsia="Times New Roman"/>
                <w:spacing w:val="51"/>
                <w:sz w:val="21"/>
              </w:rPr>
              <w:t xml:space="preserve"> </w:t>
            </w:r>
            <w:r>
              <w:rPr>
                <w:sz w:val="21"/>
              </w:rPr>
              <w:t>右岸</w:t>
            </w:r>
          </w:p>
        </w:tc>
        <w:tc>
          <w:tcPr>
            <w:tcW w:w="1415" w:type="dxa"/>
            <w:tcBorders>
              <w:top w:val="single" w:sz="4" w:space="0" w:color="000000"/>
              <w:left w:val="single" w:sz="4" w:space="0" w:color="000000"/>
              <w:bottom w:val="nil"/>
              <w:right w:val="single" w:sz="4" w:space="0" w:color="000000"/>
            </w:tcBorders>
          </w:tcPr>
          <w:p>
            <w:pPr>
              <w:pStyle w:val="TableParagraph"/>
              <w:spacing w:line="244" w:lineRule="exact"/>
              <w:ind w:left="23" w:right="8"/>
              <w:jc w:val="center"/>
              <w:rPr>
                <w:sz w:val="21"/>
              </w:rPr>
            </w:pPr>
            <w:r>
              <w:rPr>
                <w:rFonts w:ascii="Times New Roman" w:eastAsia="Times New Roman"/>
                <w:sz w:val="21"/>
              </w:rPr>
              <w:t>4m+2m</w:t>
            </w:r>
            <w:r>
              <w:rPr>
                <w:rFonts w:ascii="Times New Roman" w:eastAsia="Times New Roman"/>
                <w:position w:val="7"/>
                <w:sz w:val="13"/>
              </w:rPr>
              <w:t>3</w:t>
            </w:r>
            <w:r>
              <w:rPr>
                <w:rFonts w:ascii="Times New Roman" w:eastAsia="Times New Roman"/>
                <w:sz w:val="21"/>
              </w:rPr>
              <w:t xml:space="preserve">/s </w:t>
            </w:r>
            <w:r>
              <w:rPr>
                <w:spacing w:val="-6"/>
                <w:sz w:val="21"/>
              </w:rPr>
              <w:t>排涝</w:t>
            </w:r>
          </w:p>
        </w:tc>
        <w:tc>
          <w:tcPr>
            <w:tcW w:w="1944" w:type="dxa"/>
            <w:tcBorders>
              <w:top w:val="single" w:sz="4" w:space="0" w:color="000000"/>
              <w:left w:val="single" w:sz="4" w:space="0" w:color="000000"/>
              <w:bottom w:val="nil"/>
            </w:tcBorders>
          </w:tcPr>
          <w:p>
            <w:pPr>
              <w:pStyle w:val="TableParagraph"/>
              <w:spacing w:line="244" w:lineRule="exact"/>
              <w:ind w:left="4" w:right="86"/>
              <w:jc w:val="center"/>
              <w:rPr>
                <w:sz w:val="21"/>
              </w:rPr>
            </w:pPr>
            <w:r>
              <w:rPr>
                <w:sz w:val="21"/>
              </w:rPr>
              <w:t>新建（现状为圩</w:t>
            </w:r>
          </w:p>
        </w:tc>
      </w:tr>
      <w:tr>
        <w:tblPrEx>
          <w:tblW w:w="0" w:type="auto"/>
          <w:jc w:val="left"/>
          <w:tblInd w:w="198" w:type="dxa"/>
          <w:tblLayout w:type="fixed"/>
          <w:tblCellMar>
            <w:top w:w="0" w:type="dxa"/>
            <w:left w:w="0" w:type="dxa"/>
            <w:bottom w:w="0" w:type="dxa"/>
            <w:right w:w="0" w:type="dxa"/>
          </w:tblCellMar>
          <w:tblLook w:val="01E0"/>
        </w:tblPrEx>
        <w:trPr>
          <w:trHeight w:val="25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1" w:lineRule="exact"/>
              <w:ind w:left="23" w:right="6"/>
              <w:jc w:val="center"/>
              <w:rPr>
                <w:sz w:val="21"/>
              </w:rPr>
            </w:pPr>
            <w:r>
              <w:rPr>
                <w:sz w:val="21"/>
              </w:rPr>
              <w:t>闸站</w:t>
            </w:r>
          </w:p>
        </w:tc>
        <w:tc>
          <w:tcPr>
            <w:tcW w:w="1944" w:type="dxa"/>
            <w:tcBorders>
              <w:top w:val="nil"/>
              <w:left w:val="single" w:sz="4" w:space="0" w:color="000000"/>
              <w:bottom w:val="single" w:sz="4" w:space="0" w:color="000000"/>
            </w:tcBorders>
          </w:tcPr>
          <w:p>
            <w:pPr>
              <w:pStyle w:val="TableParagraph"/>
              <w:spacing w:line="231" w:lineRule="exact"/>
              <w:ind w:left="4" w:right="85"/>
              <w:jc w:val="center"/>
              <w:rPr>
                <w:sz w:val="21"/>
              </w:rPr>
            </w:pPr>
            <w:r>
              <w:rPr>
                <w:sz w:val="21"/>
              </w:rPr>
              <w:t>内河道敞口）</w:t>
            </w: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before="8" w:line="233" w:lineRule="exact"/>
              <w:ind w:left="18"/>
              <w:jc w:val="center"/>
              <w:rPr>
                <w:rFonts w:ascii="Times New Roman"/>
                <w:sz w:val="21"/>
              </w:rPr>
            </w:pPr>
            <w:r>
              <w:rPr>
                <w:rFonts w:ascii="Times New Roman"/>
                <w:w w:val="99"/>
                <w:sz w:val="21"/>
              </w:rPr>
              <w:t>7</w:t>
            </w:r>
          </w:p>
        </w:tc>
        <w:tc>
          <w:tcPr>
            <w:tcW w:w="14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85" w:right="66"/>
              <w:jc w:val="center"/>
              <w:rPr>
                <w:sz w:val="21"/>
              </w:rPr>
            </w:pPr>
            <w:r>
              <w:rPr>
                <w:sz w:val="21"/>
              </w:rPr>
              <w:t>高水河西闸</w:t>
            </w:r>
          </w:p>
        </w:tc>
        <w:tc>
          <w:tcPr>
            <w:tcW w:w="267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6"/>
              <w:jc w:val="center"/>
              <w:rPr>
                <w:sz w:val="21"/>
              </w:rPr>
            </w:pPr>
            <w:r>
              <w:rPr>
                <w:rFonts w:ascii="Times New Roman" w:eastAsia="Times New Roman"/>
                <w:sz w:val="21"/>
              </w:rPr>
              <w:t>8+600</w:t>
            </w:r>
            <w:r>
              <w:rPr>
                <w:rFonts w:ascii="Times New Roman" w:eastAsia="Times New Roman"/>
                <w:spacing w:val="51"/>
                <w:sz w:val="21"/>
              </w:rPr>
              <w:t xml:space="preserve"> </w:t>
            </w:r>
            <w:r>
              <w:rPr>
                <w:sz w:val="21"/>
              </w:rPr>
              <w:t>右岸</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23" w:right="6"/>
              <w:jc w:val="center"/>
              <w:rPr>
                <w:sz w:val="21"/>
              </w:rPr>
            </w:pPr>
            <w:r>
              <w:rPr>
                <w:rFonts w:ascii="Times New Roman" w:eastAsia="Times New Roman"/>
                <w:sz w:val="21"/>
              </w:rPr>
              <w:t xml:space="preserve">4m </w:t>
            </w:r>
            <w:r>
              <w:rPr>
                <w:sz w:val="21"/>
              </w:rPr>
              <w:t>闸</w:t>
            </w:r>
          </w:p>
        </w:tc>
        <w:tc>
          <w:tcPr>
            <w:tcW w:w="1944" w:type="dxa"/>
            <w:tcBorders>
              <w:top w:val="single" w:sz="4" w:space="0" w:color="000000"/>
              <w:left w:val="single" w:sz="4" w:space="0" w:color="000000"/>
              <w:bottom w:val="single" w:sz="4" w:space="0" w:color="000000"/>
            </w:tcBorders>
          </w:tcPr>
          <w:p>
            <w:pPr>
              <w:pStyle w:val="TableParagraph"/>
              <w:spacing w:line="242" w:lineRule="exact"/>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6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6"/>
              <w:ind w:left="18"/>
              <w:jc w:val="center"/>
              <w:rPr>
                <w:rFonts w:ascii="Times New Roman"/>
                <w:sz w:val="21"/>
              </w:rPr>
            </w:pPr>
            <w:r>
              <w:rPr>
                <w:rFonts w:ascii="Times New Roman"/>
                <w:w w:val="99"/>
                <w:sz w:val="21"/>
              </w:rPr>
              <w:t>8</w:t>
            </w:r>
          </w:p>
        </w:tc>
        <w:tc>
          <w:tcPr>
            <w:tcW w:w="1464" w:type="dxa"/>
            <w:tcBorders>
              <w:top w:val="single" w:sz="4" w:space="0" w:color="000000"/>
              <w:left w:val="single" w:sz="4" w:space="0" w:color="000000"/>
              <w:bottom w:val="nil"/>
              <w:right w:val="single" w:sz="4" w:space="0" w:color="000000"/>
            </w:tcBorders>
          </w:tcPr>
          <w:p>
            <w:pPr>
              <w:pStyle w:val="TableParagraph"/>
              <w:spacing w:line="244" w:lineRule="exact"/>
              <w:ind w:left="85" w:right="68"/>
              <w:jc w:val="center"/>
              <w:rPr>
                <w:sz w:val="21"/>
              </w:rPr>
            </w:pPr>
            <w:r>
              <w:rPr>
                <w:sz w:val="21"/>
              </w:rPr>
              <w:t>邓舍大通港西</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810"/>
              <w:rPr>
                <w:sz w:val="21"/>
              </w:rPr>
            </w:pPr>
            <w:r>
              <w:rPr>
                <w:rFonts w:ascii="Times New Roman" w:eastAsia="Times New Roman"/>
                <w:sz w:val="21"/>
              </w:rPr>
              <w:t>8+970</w:t>
            </w:r>
            <w:r>
              <w:rPr>
                <w:rFonts w:ascii="Times New Roman" w:eastAsia="Times New Roman"/>
                <w:spacing w:val="51"/>
                <w:sz w:val="21"/>
              </w:rPr>
              <w:t xml:space="preserve"> </w:t>
            </w:r>
            <w:r>
              <w:rPr>
                <w:sz w:val="21"/>
              </w:rPr>
              <w:t>右岸</w:t>
            </w:r>
          </w:p>
        </w:tc>
        <w:tc>
          <w:tcPr>
            <w:tcW w:w="1415" w:type="dxa"/>
            <w:tcBorders>
              <w:top w:val="single" w:sz="4" w:space="0" w:color="000000"/>
              <w:left w:val="single" w:sz="4" w:space="0" w:color="000000"/>
              <w:bottom w:val="nil"/>
              <w:right w:val="single" w:sz="4" w:space="0" w:color="000000"/>
            </w:tcBorders>
          </w:tcPr>
          <w:p>
            <w:pPr>
              <w:pStyle w:val="TableParagraph"/>
              <w:spacing w:line="244" w:lineRule="exact"/>
              <w:ind w:left="23" w:right="8"/>
              <w:jc w:val="center"/>
              <w:rPr>
                <w:sz w:val="21"/>
              </w:rPr>
            </w:pPr>
            <w:r>
              <w:rPr>
                <w:rFonts w:ascii="Times New Roman" w:eastAsia="Times New Roman"/>
                <w:sz w:val="21"/>
              </w:rPr>
              <w:t>4m+2m</w:t>
            </w:r>
            <w:r>
              <w:rPr>
                <w:rFonts w:ascii="Times New Roman" w:eastAsia="Times New Roman"/>
                <w:position w:val="7"/>
                <w:sz w:val="13"/>
              </w:rPr>
              <w:t>3</w:t>
            </w:r>
            <w:r>
              <w:rPr>
                <w:rFonts w:ascii="Times New Roman" w:eastAsia="Times New Roman"/>
                <w:sz w:val="21"/>
              </w:rPr>
              <w:t xml:space="preserve">/s </w:t>
            </w:r>
            <w:r>
              <w:rPr>
                <w:sz w:val="21"/>
              </w:rPr>
              <w:t>排涝</w:t>
            </w:r>
          </w:p>
        </w:tc>
        <w:tc>
          <w:tcPr>
            <w:tcW w:w="1944" w:type="dxa"/>
            <w:vMerge w:val="restart"/>
            <w:tcBorders>
              <w:top w:val="single" w:sz="4" w:space="0" w:color="000000"/>
              <w:left w:val="single" w:sz="4" w:space="0" w:color="000000"/>
              <w:bottom w:val="single" w:sz="4" w:space="0" w:color="000000"/>
            </w:tcBorders>
          </w:tcPr>
          <w:p>
            <w:pPr>
              <w:pStyle w:val="TableParagraph"/>
              <w:spacing w:before="130"/>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tcBorders>
              <w:top w:val="nil"/>
              <w:left w:val="single" w:sz="4" w:space="0" w:color="000000"/>
              <w:bottom w:val="single" w:sz="4" w:space="0" w:color="000000"/>
              <w:right w:val="single" w:sz="4" w:space="0" w:color="000000"/>
            </w:tcBorders>
          </w:tcPr>
          <w:p>
            <w:pPr>
              <w:pStyle w:val="TableParagraph"/>
              <w:spacing w:line="231" w:lineRule="exact"/>
              <w:ind w:left="85" w:right="68"/>
              <w:jc w:val="center"/>
              <w:rPr>
                <w:sz w:val="21"/>
              </w:rPr>
            </w:pPr>
            <w:r>
              <w:rPr>
                <w:sz w:val="21"/>
              </w:rPr>
              <w:t>闸站</w:t>
            </w: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1" w:lineRule="exact"/>
              <w:ind w:left="23" w:right="6"/>
              <w:jc w:val="center"/>
              <w:rPr>
                <w:sz w:val="21"/>
              </w:rPr>
            </w:pPr>
            <w:r>
              <w:rPr>
                <w:sz w:val="21"/>
              </w:rPr>
              <w:t>闸站</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6"/>
              <w:ind w:left="18"/>
              <w:jc w:val="center"/>
              <w:rPr>
                <w:rFonts w:ascii="Times New Roman"/>
                <w:sz w:val="21"/>
              </w:rPr>
            </w:pPr>
            <w:r>
              <w:rPr>
                <w:rFonts w:ascii="Times New Roman"/>
                <w:w w:val="99"/>
                <w:sz w:val="21"/>
              </w:rPr>
              <w:t>9</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ind w:left="212"/>
              <w:rPr>
                <w:sz w:val="21"/>
              </w:rPr>
            </w:pPr>
            <w:r>
              <w:rPr>
                <w:sz w:val="21"/>
              </w:rPr>
              <w:t>串阳河闸站</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9"/>
              <w:ind w:left="810"/>
              <w:rPr>
                <w:sz w:val="21"/>
              </w:rPr>
            </w:pPr>
            <w:r>
              <w:rPr>
                <w:rFonts w:ascii="Times New Roman" w:eastAsia="Times New Roman"/>
                <w:sz w:val="21"/>
              </w:rPr>
              <w:t>9+570</w:t>
            </w:r>
            <w:r>
              <w:rPr>
                <w:rFonts w:ascii="Times New Roman" w:eastAsia="Times New Roman"/>
                <w:spacing w:val="51"/>
                <w:sz w:val="21"/>
              </w:rPr>
              <w:t xml:space="preserve"> </w:t>
            </w:r>
            <w:r>
              <w:rPr>
                <w:sz w:val="21"/>
              </w:rPr>
              <w:t>右岸</w:t>
            </w:r>
          </w:p>
        </w:tc>
        <w:tc>
          <w:tcPr>
            <w:tcW w:w="1415" w:type="dxa"/>
            <w:tcBorders>
              <w:top w:val="single" w:sz="4" w:space="0" w:color="000000"/>
              <w:left w:val="single" w:sz="4" w:space="0" w:color="000000"/>
              <w:bottom w:val="nil"/>
              <w:right w:val="single" w:sz="4" w:space="0" w:color="000000"/>
            </w:tcBorders>
          </w:tcPr>
          <w:p>
            <w:pPr>
              <w:pStyle w:val="TableParagraph"/>
              <w:spacing w:line="244" w:lineRule="exact"/>
              <w:ind w:left="23" w:right="8"/>
              <w:jc w:val="center"/>
              <w:rPr>
                <w:sz w:val="21"/>
              </w:rPr>
            </w:pPr>
            <w:r>
              <w:rPr>
                <w:rFonts w:ascii="Times New Roman" w:eastAsia="Times New Roman"/>
                <w:sz w:val="21"/>
              </w:rPr>
              <w:t>4m+1m</w:t>
            </w:r>
            <w:r>
              <w:rPr>
                <w:rFonts w:ascii="Times New Roman" w:eastAsia="Times New Roman"/>
                <w:position w:val="7"/>
                <w:sz w:val="13"/>
              </w:rPr>
              <w:t>3</w:t>
            </w:r>
            <w:r>
              <w:rPr>
                <w:rFonts w:ascii="Times New Roman" w:eastAsia="Times New Roman"/>
                <w:sz w:val="21"/>
              </w:rPr>
              <w:t xml:space="preserve">/s </w:t>
            </w:r>
            <w:r>
              <w:rPr>
                <w:sz w:val="21"/>
              </w:rPr>
              <w:t>排涝</w:t>
            </w:r>
          </w:p>
        </w:tc>
        <w:tc>
          <w:tcPr>
            <w:tcW w:w="1944" w:type="dxa"/>
            <w:vMerge w:val="restart"/>
            <w:tcBorders>
              <w:top w:val="single" w:sz="4" w:space="0" w:color="000000"/>
              <w:left w:val="single" w:sz="4" w:space="0" w:color="000000"/>
              <w:bottom w:val="single" w:sz="4" w:space="0" w:color="000000"/>
            </w:tcBorders>
          </w:tcPr>
          <w:p>
            <w:pPr>
              <w:pStyle w:val="TableParagraph"/>
              <w:spacing w:before="129"/>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0" w:lineRule="exact"/>
              <w:ind w:left="23" w:right="6"/>
              <w:jc w:val="center"/>
              <w:rPr>
                <w:sz w:val="21"/>
              </w:rPr>
            </w:pPr>
            <w:r>
              <w:rPr>
                <w:sz w:val="21"/>
              </w:rPr>
              <w:t>闸站</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30"/>
              <w:ind w:left="99"/>
              <w:rPr>
                <w:sz w:val="21"/>
              </w:rPr>
            </w:pPr>
            <w:r>
              <w:rPr>
                <w:sz w:val="21"/>
              </w:rPr>
              <w:t>（四）</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315"/>
              <w:rPr>
                <w:sz w:val="21"/>
              </w:rPr>
            </w:pPr>
            <w:r>
              <w:rPr>
                <w:sz w:val="21"/>
              </w:rPr>
              <w:t>影响桥梁</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6"/>
              <w:ind w:left="17"/>
              <w:jc w:val="center"/>
              <w:rPr>
                <w:rFonts w:ascii="Times New Roman"/>
                <w:sz w:val="21"/>
              </w:rPr>
            </w:pPr>
            <w:r>
              <w:rPr>
                <w:rFonts w:ascii="Times New Roman"/>
                <w:w w:val="99"/>
                <w:sz w:val="21"/>
              </w:rPr>
              <w:t>/</w:t>
            </w:r>
          </w:p>
        </w:tc>
        <w:tc>
          <w:tcPr>
            <w:tcW w:w="1415" w:type="dxa"/>
            <w:tcBorders>
              <w:top w:val="single" w:sz="4" w:space="0" w:color="000000"/>
              <w:left w:val="single" w:sz="4" w:space="0" w:color="000000"/>
              <w:bottom w:val="nil"/>
              <w:right w:val="single" w:sz="4" w:space="0" w:color="000000"/>
            </w:tcBorders>
          </w:tcPr>
          <w:p>
            <w:pPr>
              <w:pStyle w:val="TableParagraph"/>
              <w:spacing w:line="242" w:lineRule="exact"/>
              <w:ind w:left="10" w:right="-15"/>
              <w:jc w:val="center"/>
              <w:rPr>
                <w:sz w:val="21"/>
              </w:rPr>
            </w:pPr>
            <w:r>
              <w:rPr>
                <w:spacing w:val="-20"/>
                <w:sz w:val="21"/>
              </w:rPr>
              <w:t xml:space="preserve">拆建 </w:t>
            </w:r>
            <w:r>
              <w:rPr>
                <w:rFonts w:ascii="Times New Roman" w:eastAsia="Times New Roman"/>
                <w:sz w:val="21"/>
              </w:rPr>
              <w:t>5</w:t>
            </w:r>
            <w:r>
              <w:rPr>
                <w:rFonts w:ascii="Times New Roman" w:eastAsia="Times New Roman"/>
                <w:spacing w:val="-2"/>
                <w:sz w:val="21"/>
              </w:rPr>
              <w:t xml:space="preserve"> </w:t>
            </w:r>
            <w:r>
              <w:rPr>
                <w:spacing w:val="-17"/>
                <w:sz w:val="21"/>
              </w:rPr>
              <w:t>座、拆除</w:t>
            </w:r>
          </w:p>
        </w:tc>
        <w:tc>
          <w:tcPr>
            <w:tcW w:w="1944" w:type="dxa"/>
            <w:vMerge w:val="restart"/>
            <w:tcBorders>
              <w:top w:val="single" w:sz="4" w:space="0" w:color="000000"/>
              <w:left w:val="single" w:sz="4" w:space="0" w:color="000000"/>
              <w:bottom w:val="single" w:sz="4" w:space="0" w:color="000000"/>
            </w:tcBorders>
          </w:tcPr>
          <w:p>
            <w:pPr>
              <w:pStyle w:val="TableParagraph"/>
              <w:spacing w:before="146"/>
              <w:ind w:right="79"/>
              <w:jc w:val="center"/>
              <w:rPr>
                <w:rFonts w:ascii="Times New Roman"/>
                <w:sz w:val="21"/>
              </w:rPr>
            </w:pPr>
            <w:r>
              <w:rPr>
                <w:rFonts w:ascii="Times New Roman"/>
                <w:w w:val="99"/>
                <w:sz w:val="21"/>
              </w:rPr>
              <w:t>/</w:t>
            </w:r>
          </w:p>
        </w:tc>
      </w:tr>
      <w:tr>
        <w:tblPrEx>
          <w:tblW w:w="0" w:type="auto"/>
          <w:jc w:val="left"/>
          <w:tblInd w:w="198" w:type="dxa"/>
          <w:tblLayout w:type="fixed"/>
          <w:tblCellMar>
            <w:top w:w="0" w:type="dxa"/>
            <w:left w:w="0" w:type="dxa"/>
            <w:bottom w:w="0" w:type="dxa"/>
            <w:right w:w="0" w:type="dxa"/>
          </w:tblCellMar>
          <w:tblLook w:val="01E0"/>
        </w:tblPrEx>
        <w:trPr>
          <w:trHeight w:val="25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tcBorders>
              <w:top w:val="nil"/>
              <w:left w:val="single" w:sz="4" w:space="0" w:color="000000"/>
              <w:bottom w:val="single" w:sz="4" w:space="0" w:color="000000"/>
              <w:right w:val="single" w:sz="4" w:space="0" w:color="000000"/>
            </w:tcBorders>
          </w:tcPr>
          <w:p>
            <w:pPr>
              <w:pStyle w:val="TableParagraph"/>
              <w:spacing w:line="233" w:lineRule="exact"/>
              <w:ind w:left="23" w:right="8"/>
              <w:jc w:val="center"/>
              <w:rPr>
                <w:sz w:val="21"/>
              </w:rPr>
            </w:pPr>
            <w:r>
              <w:rPr>
                <w:rFonts w:ascii="Times New Roman" w:eastAsia="Times New Roman"/>
                <w:sz w:val="21"/>
              </w:rPr>
              <w:t xml:space="preserve">1 </w:t>
            </w:r>
            <w:r>
              <w:rPr>
                <w:sz w:val="21"/>
              </w:rPr>
              <w:t>座</w:t>
            </w:r>
          </w:p>
        </w:tc>
        <w:tc>
          <w:tcPr>
            <w:tcW w:w="1944" w:type="dxa"/>
            <w:vMerge/>
            <w:tcBorders>
              <w:top w:val="nil"/>
              <w:left w:val="single" w:sz="4" w:space="0" w:color="000000"/>
              <w:bottom w:val="single" w:sz="4" w:space="0" w:color="000000"/>
            </w:tcBorders>
          </w:tcPr>
          <w:p>
            <w:pPr>
              <w:rPr>
                <w:sz w:val="2"/>
                <w:szCs w:val="2"/>
              </w:rPr>
            </w:pP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before="9" w:line="233" w:lineRule="exact"/>
              <w:ind w:left="18"/>
              <w:jc w:val="center"/>
              <w:rPr>
                <w:rFonts w:ascii="Times New Roman"/>
                <w:sz w:val="21"/>
              </w:rPr>
            </w:pPr>
            <w:r>
              <w:rPr>
                <w:rFonts w:ascii="Times New Roman"/>
                <w:w w:val="99"/>
                <w:sz w:val="21"/>
              </w:rPr>
              <w:t>1</w:t>
            </w:r>
          </w:p>
        </w:tc>
        <w:tc>
          <w:tcPr>
            <w:tcW w:w="14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85" w:right="66"/>
              <w:jc w:val="center"/>
              <w:rPr>
                <w:sz w:val="21"/>
              </w:rPr>
            </w:pPr>
            <w:r>
              <w:rPr>
                <w:sz w:val="21"/>
              </w:rPr>
              <w:t>串通河中桥</w:t>
            </w:r>
          </w:p>
        </w:tc>
        <w:tc>
          <w:tcPr>
            <w:tcW w:w="2674"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8"/>
              <w:jc w:val="center"/>
              <w:rPr>
                <w:rFonts w:ascii="Times New Roman"/>
                <w:sz w:val="21"/>
              </w:rPr>
            </w:pPr>
            <w:r>
              <w:rPr>
                <w:rFonts w:ascii="Times New Roman"/>
                <w:sz w:val="21"/>
              </w:rPr>
              <w:t>2+650</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3" w:right="4"/>
              <w:jc w:val="center"/>
              <w:rPr>
                <w:rFonts w:ascii="Times New Roman" w:hAnsi="Times New Roman"/>
                <w:sz w:val="21"/>
              </w:rPr>
            </w:pPr>
            <w:r>
              <w:rPr>
                <w:rFonts w:ascii="Times New Roman" w:hAnsi="Times New Roman"/>
                <w:sz w:val="21"/>
              </w:rPr>
              <w:t>35×5.5m</w:t>
            </w:r>
          </w:p>
        </w:tc>
        <w:tc>
          <w:tcPr>
            <w:tcW w:w="1944" w:type="dxa"/>
            <w:tcBorders>
              <w:top w:val="single" w:sz="4" w:space="0" w:color="000000"/>
              <w:left w:val="single" w:sz="4" w:space="0" w:color="000000"/>
              <w:bottom w:val="single" w:sz="4" w:space="0" w:color="000000"/>
            </w:tcBorders>
          </w:tcPr>
          <w:p>
            <w:pPr>
              <w:pStyle w:val="TableParagraph"/>
              <w:spacing w:line="242" w:lineRule="exact"/>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63"/>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before="10" w:line="233" w:lineRule="exact"/>
              <w:ind w:left="18"/>
              <w:jc w:val="center"/>
              <w:rPr>
                <w:rFonts w:ascii="Times New Roman"/>
                <w:sz w:val="21"/>
              </w:rPr>
            </w:pPr>
            <w:r>
              <w:rPr>
                <w:rFonts w:ascii="Times New Roman"/>
                <w:w w:val="99"/>
                <w:sz w:val="21"/>
              </w:rPr>
              <w:t>2</w:t>
            </w:r>
          </w:p>
        </w:tc>
        <w:tc>
          <w:tcPr>
            <w:tcW w:w="1464"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85" w:right="68"/>
              <w:jc w:val="center"/>
              <w:rPr>
                <w:sz w:val="21"/>
              </w:rPr>
            </w:pPr>
            <w:r>
              <w:rPr>
                <w:sz w:val="21"/>
              </w:rPr>
              <w:t>丁河桥</w:t>
            </w:r>
          </w:p>
        </w:tc>
        <w:tc>
          <w:tcPr>
            <w:tcW w:w="2674" w:type="dxa"/>
            <w:tcBorders>
              <w:top w:val="single" w:sz="4" w:space="0" w:color="000000"/>
              <w:left w:val="single" w:sz="4" w:space="0" w:color="000000"/>
              <w:bottom w:val="single" w:sz="4" w:space="0" w:color="000000"/>
              <w:right w:val="single" w:sz="4" w:space="0" w:color="000000"/>
            </w:tcBorders>
          </w:tcPr>
          <w:p>
            <w:pPr>
              <w:pStyle w:val="TableParagraph"/>
              <w:spacing w:before="10" w:line="233" w:lineRule="exact"/>
              <w:ind w:left="18"/>
              <w:jc w:val="center"/>
              <w:rPr>
                <w:rFonts w:ascii="Times New Roman"/>
                <w:sz w:val="21"/>
              </w:rPr>
            </w:pPr>
            <w:r>
              <w:rPr>
                <w:rFonts w:ascii="Times New Roman"/>
                <w:sz w:val="21"/>
              </w:rPr>
              <w:t>3+080</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0" w:line="233" w:lineRule="exact"/>
              <w:ind w:left="23" w:right="4"/>
              <w:jc w:val="center"/>
              <w:rPr>
                <w:rFonts w:ascii="Times New Roman" w:hAnsi="Times New Roman"/>
                <w:sz w:val="21"/>
              </w:rPr>
            </w:pPr>
            <w:r>
              <w:rPr>
                <w:rFonts w:ascii="Times New Roman" w:hAnsi="Times New Roman"/>
                <w:sz w:val="21"/>
              </w:rPr>
              <w:t>30×5.5m</w:t>
            </w:r>
          </w:p>
        </w:tc>
        <w:tc>
          <w:tcPr>
            <w:tcW w:w="1944" w:type="dxa"/>
            <w:tcBorders>
              <w:top w:val="single" w:sz="4" w:space="0" w:color="000000"/>
              <w:left w:val="single" w:sz="4" w:space="0" w:color="000000"/>
              <w:bottom w:val="single" w:sz="4" w:space="0" w:color="000000"/>
            </w:tcBorders>
          </w:tcPr>
          <w:p>
            <w:pPr>
              <w:pStyle w:val="TableParagraph"/>
              <w:spacing w:line="243" w:lineRule="exact"/>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before="8" w:line="234" w:lineRule="exact"/>
              <w:ind w:left="18"/>
              <w:jc w:val="center"/>
              <w:rPr>
                <w:rFonts w:ascii="Times New Roman"/>
                <w:sz w:val="21"/>
              </w:rPr>
            </w:pPr>
            <w:r>
              <w:rPr>
                <w:rFonts w:ascii="Times New Roman"/>
                <w:w w:val="99"/>
                <w:sz w:val="21"/>
              </w:rPr>
              <w:t>3</w:t>
            </w:r>
          </w:p>
        </w:tc>
        <w:tc>
          <w:tcPr>
            <w:tcW w:w="14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82" w:right="68"/>
              <w:jc w:val="center"/>
              <w:rPr>
                <w:sz w:val="21"/>
              </w:rPr>
            </w:pPr>
            <w:r>
              <w:rPr>
                <w:sz w:val="21"/>
              </w:rPr>
              <w:t>二窑厂桥</w:t>
            </w:r>
          </w:p>
        </w:tc>
        <w:tc>
          <w:tcPr>
            <w:tcW w:w="2674"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8"/>
              <w:jc w:val="center"/>
              <w:rPr>
                <w:rFonts w:ascii="Times New Roman"/>
                <w:sz w:val="21"/>
              </w:rPr>
            </w:pPr>
            <w:r>
              <w:rPr>
                <w:rFonts w:ascii="Times New Roman"/>
                <w:sz w:val="21"/>
              </w:rPr>
              <w:t>6+327</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23" w:right="4"/>
              <w:jc w:val="center"/>
              <w:rPr>
                <w:rFonts w:ascii="Times New Roman" w:hAnsi="Times New Roman"/>
                <w:sz w:val="21"/>
              </w:rPr>
            </w:pPr>
            <w:r>
              <w:rPr>
                <w:rFonts w:ascii="Times New Roman" w:hAnsi="Times New Roman"/>
                <w:sz w:val="21"/>
              </w:rPr>
              <w:t>30×5.5m</w:t>
            </w:r>
          </w:p>
        </w:tc>
        <w:tc>
          <w:tcPr>
            <w:tcW w:w="1944" w:type="dxa"/>
            <w:tcBorders>
              <w:top w:val="single" w:sz="4" w:space="0" w:color="000000"/>
              <w:left w:val="single" w:sz="4" w:space="0" w:color="000000"/>
              <w:bottom w:val="single" w:sz="4" w:space="0" w:color="000000"/>
            </w:tcBorders>
          </w:tcPr>
          <w:p>
            <w:pPr>
              <w:pStyle w:val="TableParagraph"/>
              <w:spacing w:line="242" w:lineRule="exact"/>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4" w:space="0" w:color="000000"/>
              <w:right w:val="single" w:sz="4" w:space="0" w:color="000000"/>
            </w:tcBorders>
          </w:tcPr>
          <w:p>
            <w:pPr>
              <w:pStyle w:val="TableParagraph"/>
              <w:spacing w:before="9" w:line="233" w:lineRule="exact"/>
              <w:ind w:left="18"/>
              <w:jc w:val="center"/>
              <w:rPr>
                <w:rFonts w:ascii="Times New Roman"/>
                <w:sz w:val="21"/>
              </w:rPr>
            </w:pPr>
            <w:r>
              <w:rPr>
                <w:rFonts w:ascii="Times New Roman"/>
                <w:w w:val="99"/>
                <w:sz w:val="21"/>
              </w:rPr>
              <w:t>4</w:t>
            </w:r>
          </w:p>
        </w:tc>
        <w:tc>
          <w:tcPr>
            <w:tcW w:w="1464"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85" w:right="68"/>
              <w:jc w:val="center"/>
              <w:rPr>
                <w:sz w:val="21"/>
              </w:rPr>
            </w:pPr>
            <w:r>
              <w:rPr>
                <w:sz w:val="21"/>
              </w:rPr>
              <w:t>邓舍串通河桥</w:t>
            </w:r>
          </w:p>
        </w:tc>
        <w:tc>
          <w:tcPr>
            <w:tcW w:w="2674"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8"/>
              <w:jc w:val="center"/>
              <w:rPr>
                <w:rFonts w:ascii="Times New Roman"/>
                <w:sz w:val="21"/>
              </w:rPr>
            </w:pPr>
            <w:r>
              <w:rPr>
                <w:rFonts w:ascii="Times New Roman"/>
                <w:sz w:val="21"/>
              </w:rPr>
              <w:t>7+742</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3" w:right="4"/>
              <w:jc w:val="center"/>
              <w:rPr>
                <w:rFonts w:ascii="Times New Roman" w:hAnsi="Times New Roman"/>
                <w:sz w:val="21"/>
              </w:rPr>
            </w:pPr>
            <w:r>
              <w:rPr>
                <w:rFonts w:ascii="Times New Roman" w:hAnsi="Times New Roman"/>
                <w:sz w:val="21"/>
              </w:rPr>
              <w:t>39×5.5m</w:t>
            </w:r>
          </w:p>
        </w:tc>
        <w:tc>
          <w:tcPr>
            <w:tcW w:w="1944" w:type="dxa"/>
            <w:tcBorders>
              <w:top w:val="single" w:sz="4" w:space="0" w:color="000000"/>
              <w:left w:val="single" w:sz="4" w:space="0" w:color="000000"/>
              <w:bottom w:val="single" w:sz="4" w:space="0" w:color="000000"/>
            </w:tcBorders>
          </w:tcPr>
          <w:p>
            <w:pPr>
              <w:pStyle w:val="TableParagraph"/>
              <w:spacing w:line="242" w:lineRule="exact"/>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64"/>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val="restart"/>
            <w:tcBorders>
              <w:top w:val="single" w:sz="4" w:space="0" w:color="000000"/>
              <w:left w:val="nil"/>
              <w:bottom w:val="single" w:sz="4" w:space="0" w:color="000000"/>
              <w:right w:val="single" w:sz="4" w:space="0" w:color="000000"/>
            </w:tcBorders>
          </w:tcPr>
          <w:p>
            <w:pPr>
              <w:pStyle w:val="TableParagraph"/>
              <w:spacing w:before="147"/>
              <w:ind w:left="18"/>
              <w:jc w:val="center"/>
              <w:rPr>
                <w:rFonts w:ascii="Times New Roman"/>
                <w:sz w:val="21"/>
              </w:rPr>
            </w:pPr>
            <w:r>
              <w:rPr>
                <w:rFonts w:ascii="Times New Roman"/>
                <w:w w:val="99"/>
                <w:sz w:val="21"/>
              </w:rPr>
              <w:t>5</w:t>
            </w:r>
          </w:p>
        </w:tc>
        <w:tc>
          <w:tcPr>
            <w:tcW w:w="14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421"/>
              <w:rPr>
                <w:sz w:val="21"/>
              </w:rPr>
            </w:pPr>
            <w:r>
              <w:rPr>
                <w:sz w:val="21"/>
              </w:rPr>
              <w:t>合兴桥</w:t>
            </w:r>
          </w:p>
        </w:tc>
        <w:tc>
          <w:tcPr>
            <w:tcW w:w="267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7"/>
              <w:ind w:left="18"/>
              <w:jc w:val="center"/>
              <w:rPr>
                <w:rFonts w:ascii="Times New Roman"/>
                <w:sz w:val="21"/>
              </w:rPr>
            </w:pPr>
            <w:r>
              <w:rPr>
                <w:rFonts w:ascii="Times New Roman"/>
                <w:sz w:val="21"/>
              </w:rPr>
              <w:t>9+800</w:t>
            </w:r>
          </w:p>
        </w:tc>
        <w:tc>
          <w:tcPr>
            <w:tcW w:w="141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7"/>
              <w:ind w:left="334"/>
              <w:rPr>
                <w:rFonts w:ascii="Times New Roman" w:hAnsi="Times New Roman"/>
                <w:sz w:val="21"/>
              </w:rPr>
            </w:pPr>
            <w:r>
              <w:rPr>
                <w:rFonts w:ascii="Times New Roman" w:hAnsi="Times New Roman"/>
                <w:sz w:val="21"/>
              </w:rPr>
              <w:t>39×5.5m</w:t>
            </w:r>
          </w:p>
        </w:tc>
        <w:tc>
          <w:tcPr>
            <w:tcW w:w="1944" w:type="dxa"/>
            <w:tcBorders>
              <w:top w:val="single" w:sz="4" w:space="0" w:color="000000"/>
              <w:left w:val="single" w:sz="4" w:space="0" w:color="000000"/>
              <w:bottom w:val="nil"/>
            </w:tcBorders>
          </w:tcPr>
          <w:p>
            <w:pPr>
              <w:pStyle w:val="TableParagraph"/>
              <w:spacing w:line="245" w:lineRule="exact"/>
              <w:ind w:left="4" w:right="86"/>
              <w:jc w:val="center"/>
              <w:rPr>
                <w:sz w:val="21"/>
              </w:rPr>
            </w:pPr>
            <w:r>
              <w:rPr>
                <w:sz w:val="21"/>
              </w:rPr>
              <w:t xml:space="preserve">现状 </w:t>
            </w:r>
            <w:r>
              <w:rPr>
                <w:rFonts w:ascii="Times New Roman" w:eastAsia="Times New Roman"/>
                <w:sz w:val="21"/>
              </w:rPr>
              <w:t>10+140</w:t>
            </w:r>
            <w:r>
              <w:rPr>
                <w:sz w:val="21"/>
              </w:rPr>
              <w:t>，移位</w:t>
            </w:r>
          </w:p>
        </w:tc>
      </w:tr>
      <w:tr>
        <w:tblPrEx>
          <w:tblW w:w="0" w:type="auto"/>
          <w:jc w:val="left"/>
          <w:tblInd w:w="198" w:type="dxa"/>
          <w:tblLayout w:type="fixed"/>
          <w:tblCellMar>
            <w:top w:w="0" w:type="dxa"/>
            <w:left w:w="0" w:type="dxa"/>
            <w:bottom w:w="0" w:type="dxa"/>
            <w:right w:w="0" w:type="dxa"/>
          </w:tblCellMar>
          <w:tblLook w:val="01E0"/>
        </w:tblPrEx>
        <w:trPr>
          <w:trHeight w:val="250"/>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vMerge/>
            <w:tcBorders>
              <w:top w:val="nil"/>
              <w:left w:val="nil"/>
              <w:bottom w:val="single" w:sz="4" w:space="0" w:color="000000"/>
              <w:right w:val="single" w:sz="4" w:space="0" w:color="000000"/>
            </w:tcBorders>
          </w:tcPr>
          <w:p>
            <w:pPr>
              <w:rPr>
                <w:sz w:val="2"/>
                <w:szCs w:val="2"/>
              </w:rPr>
            </w:pPr>
          </w:p>
        </w:tc>
        <w:tc>
          <w:tcPr>
            <w:tcW w:w="1464" w:type="dxa"/>
            <w:vMerge/>
            <w:tcBorders>
              <w:top w:val="nil"/>
              <w:left w:val="single" w:sz="4" w:space="0" w:color="000000"/>
              <w:bottom w:val="single" w:sz="4" w:space="0" w:color="000000"/>
              <w:right w:val="single" w:sz="4" w:space="0" w:color="000000"/>
            </w:tcBorders>
          </w:tcPr>
          <w:p>
            <w:pPr>
              <w:rPr>
                <w:sz w:val="2"/>
                <w:szCs w:val="2"/>
              </w:rPr>
            </w:pPr>
          </w:p>
        </w:tc>
        <w:tc>
          <w:tcPr>
            <w:tcW w:w="2674" w:type="dxa"/>
            <w:vMerge/>
            <w:tcBorders>
              <w:top w:val="nil"/>
              <w:left w:val="single" w:sz="4" w:space="0" w:color="000000"/>
              <w:bottom w:val="single" w:sz="4" w:space="0" w:color="000000"/>
              <w:right w:val="single" w:sz="4" w:space="0" w:color="000000"/>
            </w:tcBorders>
          </w:tcPr>
          <w:p>
            <w:pPr>
              <w:rPr>
                <w:sz w:val="2"/>
                <w:szCs w:val="2"/>
              </w:rPr>
            </w:pPr>
          </w:p>
        </w:tc>
        <w:tc>
          <w:tcPr>
            <w:tcW w:w="1415" w:type="dxa"/>
            <w:vMerge/>
            <w:tcBorders>
              <w:top w:val="nil"/>
              <w:left w:val="single" w:sz="4" w:space="0" w:color="000000"/>
              <w:bottom w:val="single" w:sz="4" w:space="0" w:color="000000"/>
              <w:right w:val="single" w:sz="4" w:space="0" w:color="000000"/>
            </w:tcBorders>
          </w:tcPr>
          <w:p>
            <w:pPr>
              <w:rPr>
                <w:sz w:val="2"/>
                <w:szCs w:val="2"/>
              </w:rPr>
            </w:pPr>
          </w:p>
        </w:tc>
        <w:tc>
          <w:tcPr>
            <w:tcW w:w="1944" w:type="dxa"/>
            <w:tcBorders>
              <w:top w:val="nil"/>
              <w:left w:val="single" w:sz="4" w:space="0" w:color="000000"/>
              <w:bottom w:val="single" w:sz="4" w:space="0" w:color="000000"/>
            </w:tcBorders>
          </w:tcPr>
          <w:p>
            <w:pPr>
              <w:pStyle w:val="TableParagraph"/>
              <w:spacing w:line="230" w:lineRule="exact"/>
              <w:ind w:left="4" w:right="84"/>
              <w:jc w:val="center"/>
              <w:rPr>
                <w:sz w:val="21"/>
              </w:rPr>
            </w:pPr>
            <w:r>
              <w:rPr>
                <w:sz w:val="21"/>
              </w:rPr>
              <w:t>拆建</w:t>
            </w:r>
          </w:p>
        </w:tc>
      </w:tr>
      <w:tr>
        <w:tblPrEx>
          <w:tblW w:w="0" w:type="auto"/>
          <w:jc w:val="left"/>
          <w:tblInd w:w="198" w:type="dxa"/>
          <w:tblLayout w:type="fixed"/>
          <w:tblCellMar>
            <w:top w:w="0" w:type="dxa"/>
            <w:left w:w="0" w:type="dxa"/>
            <w:bottom w:w="0" w:type="dxa"/>
            <w:right w:w="0" w:type="dxa"/>
          </w:tblCellMar>
          <w:tblLook w:val="01E0"/>
        </w:tblPrEx>
        <w:trPr>
          <w:trHeight w:val="266"/>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 w:type="dxa"/>
            <w:tcBorders>
              <w:top w:val="single" w:sz="4" w:space="0" w:color="000000"/>
              <w:left w:val="nil"/>
              <w:bottom w:val="single" w:sz="12" w:space="0" w:color="000000"/>
              <w:right w:val="single" w:sz="4" w:space="0" w:color="000000"/>
            </w:tcBorders>
          </w:tcPr>
          <w:p>
            <w:pPr>
              <w:pStyle w:val="TableParagraph"/>
              <w:spacing w:before="9" w:line="237" w:lineRule="exact"/>
              <w:ind w:left="18"/>
              <w:jc w:val="center"/>
              <w:rPr>
                <w:rFonts w:ascii="Times New Roman"/>
                <w:sz w:val="21"/>
              </w:rPr>
            </w:pPr>
            <w:r>
              <w:rPr>
                <w:rFonts w:ascii="Times New Roman"/>
                <w:w w:val="99"/>
                <w:sz w:val="21"/>
              </w:rPr>
              <w:t>6</w:t>
            </w:r>
          </w:p>
        </w:tc>
        <w:tc>
          <w:tcPr>
            <w:tcW w:w="1464" w:type="dxa"/>
            <w:tcBorders>
              <w:top w:val="single" w:sz="4" w:space="0" w:color="000000"/>
              <w:left w:val="single" w:sz="4" w:space="0" w:color="000000"/>
              <w:bottom w:val="single" w:sz="12" w:space="0" w:color="000000"/>
              <w:right w:val="single" w:sz="4" w:space="0" w:color="000000"/>
            </w:tcBorders>
          </w:tcPr>
          <w:p>
            <w:pPr>
              <w:pStyle w:val="TableParagraph"/>
              <w:spacing w:line="247" w:lineRule="exact"/>
              <w:ind w:left="85" w:right="68"/>
              <w:jc w:val="center"/>
              <w:rPr>
                <w:sz w:val="21"/>
              </w:rPr>
            </w:pPr>
            <w:r>
              <w:rPr>
                <w:sz w:val="21"/>
              </w:rPr>
              <w:t>陈戴桥</w:t>
            </w:r>
          </w:p>
        </w:tc>
        <w:tc>
          <w:tcPr>
            <w:tcW w:w="2674" w:type="dxa"/>
            <w:tcBorders>
              <w:top w:val="single" w:sz="4" w:space="0" w:color="000000"/>
              <w:left w:val="single" w:sz="4" w:space="0" w:color="000000"/>
              <w:bottom w:val="single" w:sz="12" w:space="0" w:color="000000"/>
              <w:right w:val="single" w:sz="4" w:space="0" w:color="000000"/>
            </w:tcBorders>
          </w:tcPr>
          <w:p>
            <w:pPr>
              <w:pStyle w:val="TableParagraph"/>
              <w:spacing w:before="9" w:line="237" w:lineRule="exact"/>
              <w:ind w:left="18"/>
              <w:jc w:val="center"/>
              <w:rPr>
                <w:rFonts w:ascii="Times New Roman"/>
                <w:sz w:val="21"/>
              </w:rPr>
            </w:pPr>
            <w:r>
              <w:rPr>
                <w:rFonts w:ascii="Times New Roman"/>
                <w:sz w:val="21"/>
              </w:rPr>
              <w:t>6+414</w:t>
            </w:r>
          </w:p>
        </w:tc>
        <w:tc>
          <w:tcPr>
            <w:tcW w:w="1415" w:type="dxa"/>
            <w:tcBorders>
              <w:top w:val="single" w:sz="4" w:space="0" w:color="000000"/>
              <w:left w:val="single" w:sz="4" w:space="0" w:color="000000"/>
              <w:bottom w:val="single" w:sz="12" w:space="0" w:color="000000"/>
              <w:right w:val="single" w:sz="4" w:space="0" w:color="000000"/>
            </w:tcBorders>
          </w:tcPr>
          <w:p>
            <w:pPr>
              <w:pStyle w:val="TableParagraph"/>
              <w:spacing w:before="9" w:line="237" w:lineRule="exact"/>
              <w:ind w:left="23" w:right="4"/>
              <w:jc w:val="center"/>
              <w:rPr>
                <w:rFonts w:ascii="Times New Roman" w:hAnsi="Times New Roman"/>
                <w:sz w:val="21"/>
              </w:rPr>
            </w:pPr>
            <w:r>
              <w:rPr>
                <w:rFonts w:ascii="Times New Roman" w:hAnsi="Times New Roman"/>
                <w:sz w:val="21"/>
              </w:rPr>
              <w:t>30×3m</w:t>
            </w:r>
          </w:p>
        </w:tc>
        <w:tc>
          <w:tcPr>
            <w:tcW w:w="1944" w:type="dxa"/>
            <w:tcBorders>
              <w:top w:val="single" w:sz="4" w:space="0" w:color="000000"/>
              <w:left w:val="single" w:sz="4" w:space="0" w:color="000000"/>
              <w:bottom w:val="single" w:sz="12" w:space="0" w:color="000000"/>
            </w:tcBorders>
          </w:tcPr>
          <w:p>
            <w:pPr>
              <w:pStyle w:val="TableParagraph"/>
              <w:spacing w:line="247" w:lineRule="exact"/>
              <w:ind w:left="4" w:right="84"/>
              <w:jc w:val="center"/>
              <w:rPr>
                <w:sz w:val="21"/>
              </w:rPr>
            </w:pPr>
            <w:r>
              <w:rPr>
                <w:sz w:val="21"/>
              </w:rPr>
              <w:t>拆除</w:t>
            </w:r>
          </w:p>
        </w:tc>
      </w:tr>
      <w:tr>
        <w:tblPrEx>
          <w:tblW w:w="0" w:type="auto"/>
          <w:jc w:val="left"/>
          <w:tblInd w:w="198" w:type="dxa"/>
          <w:tblLayout w:type="fixed"/>
          <w:tblCellMar>
            <w:top w:w="0" w:type="dxa"/>
            <w:left w:w="0" w:type="dxa"/>
            <w:bottom w:w="0" w:type="dxa"/>
            <w:right w:w="0" w:type="dxa"/>
          </w:tblCellMar>
          <w:tblLook w:val="01E0"/>
        </w:tblPrEx>
        <w:trPr>
          <w:trHeight w:val="4667"/>
          <w:jc w:val="left"/>
        </w:trPr>
        <w:tc>
          <w:tcPr>
            <w:tcW w:w="66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315" w:type="dxa"/>
            <w:gridSpan w:val="5"/>
            <w:tcBorders>
              <w:top w:val="single" w:sz="12" w:space="0" w:color="000000"/>
              <w:left w:val="nil"/>
            </w:tcBorders>
          </w:tcPr>
          <w:p>
            <w:pPr>
              <w:pStyle w:val="TableParagraph"/>
              <w:spacing w:before="2"/>
              <w:ind w:left="8"/>
              <w:rPr>
                <w:b/>
                <w:sz w:val="24"/>
              </w:rPr>
            </w:pPr>
            <w:r>
              <w:rPr>
                <w:b/>
                <w:sz w:val="24"/>
              </w:rPr>
              <w:t>四、工程规模</w:t>
            </w:r>
          </w:p>
          <w:p>
            <w:pPr>
              <w:pStyle w:val="TableParagraph"/>
              <w:spacing w:before="159"/>
              <w:ind w:left="488"/>
              <w:rPr>
                <w:sz w:val="24"/>
              </w:rPr>
            </w:pPr>
            <w:r>
              <w:rPr>
                <w:rFonts w:ascii="Times New Roman" w:eastAsia="Times New Roman"/>
                <w:sz w:val="24"/>
              </w:rPr>
              <w:t>1</w:t>
            </w:r>
            <w:r>
              <w:rPr>
                <w:sz w:val="24"/>
              </w:rPr>
              <w:t>、设计标准</w:t>
            </w:r>
          </w:p>
          <w:p>
            <w:pPr>
              <w:pStyle w:val="TableParagraph"/>
              <w:spacing w:before="160"/>
              <w:ind w:left="488"/>
              <w:jc w:val="both"/>
              <w:rPr>
                <w:sz w:val="24"/>
              </w:rPr>
            </w:pPr>
            <w:r>
              <w:rPr>
                <w:sz w:val="24"/>
              </w:rPr>
              <w:t xml:space="preserve">防洪设计标准：建筑物工程防洪设计标准 </w:t>
            </w:r>
            <w:r>
              <w:rPr>
                <w:rFonts w:ascii="Times New Roman" w:eastAsia="Times New Roman"/>
                <w:sz w:val="24"/>
              </w:rPr>
              <w:t xml:space="preserve">20 </w:t>
            </w:r>
            <w:r>
              <w:rPr>
                <w:sz w:val="24"/>
              </w:rPr>
              <w:t>年一遇。</w:t>
            </w:r>
          </w:p>
          <w:p>
            <w:pPr>
              <w:pStyle w:val="TableParagraph"/>
              <w:spacing w:before="161" w:line="362" w:lineRule="auto"/>
              <w:ind w:left="8" w:right="86" w:firstLine="480"/>
              <w:jc w:val="both"/>
              <w:rPr>
                <w:sz w:val="24"/>
              </w:rPr>
            </w:pPr>
            <w:r>
              <w:rPr>
                <w:spacing w:val="-10"/>
                <w:sz w:val="24"/>
              </w:rPr>
              <w:t xml:space="preserve">排涝设计标准：满足串通河汇水区域 </w:t>
            </w:r>
            <w:r>
              <w:rPr>
                <w:rFonts w:ascii="Times New Roman" w:eastAsia="Times New Roman"/>
                <w:sz w:val="24"/>
              </w:rPr>
              <w:t xml:space="preserve">10 </w:t>
            </w:r>
            <w:r>
              <w:rPr>
                <w:spacing w:val="-6"/>
                <w:sz w:val="24"/>
              </w:rPr>
              <w:t>年一遇排涝标准，河道断面恢复原</w:t>
            </w:r>
            <w:r>
              <w:rPr>
                <w:sz w:val="24"/>
              </w:rPr>
              <w:t>有建设标准，并适当提升。灌溉设计标准：根据《江苏省里下河区水利治理规</w:t>
            </w:r>
            <w:r>
              <w:rPr>
                <w:spacing w:val="-5"/>
                <w:sz w:val="24"/>
              </w:rPr>
              <w:t xml:space="preserve">划》，本工程灌溉保证率取 </w:t>
            </w:r>
            <w:r>
              <w:rPr>
                <w:rFonts w:ascii="Times New Roman" w:eastAsia="Times New Roman"/>
                <w:sz w:val="24"/>
              </w:rPr>
              <w:t>95%</w:t>
            </w:r>
            <w:r>
              <w:rPr>
                <w:sz w:val="24"/>
              </w:rPr>
              <w:t>。</w:t>
            </w:r>
          </w:p>
          <w:p>
            <w:pPr>
              <w:pStyle w:val="TableParagraph"/>
              <w:spacing w:before="6"/>
              <w:ind w:left="488"/>
              <w:rPr>
                <w:sz w:val="24"/>
              </w:rPr>
            </w:pPr>
            <w:r>
              <w:rPr>
                <w:rFonts w:ascii="Times New Roman" w:eastAsia="Times New Roman"/>
                <w:sz w:val="24"/>
              </w:rPr>
              <w:t>2</w:t>
            </w:r>
            <w:r>
              <w:rPr>
                <w:sz w:val="24"/>
              </w:rPr>
              <w:t>、河道规模</w:t>
            </w:r>
          </w:p>
          <w:p>
            <w:pPr>
              <w:pStyle w:val="TableParagraph"/>
              <w:spacing w:before="160" w:line="362" w:lineRule="auto"/>
              <w:ind w:left="8" w:right="86" w:firstLine="480"/>
              <w:rPr>
                <w:sz w:val="24"/>
              </w:rPr>
            </w:pPr>
            <w:r>
              <w:rPr>
                <w:sz w:val="24"/>
              </w:rPr>
              <w:t>按尽量避开基本农田，在恢复原设计标准的基础上有所改善的原则确定串</w:t>
            </w:r>
            <w:r>
              <w:rPr>
                <w:spacing w:val="-15"/>
                <w:sz w:val="24"/>
              </w:rPr>
              <w:t>通河上段</w:t>
            </w:r>
            <w:r>
              <w:rPr>
                <w:spacing w:val="-3"/>
                <w:sz w:val="24"/>
              </w:rPr>
              <w:t>（</w:t>
            </w:r>
            <w:r>
              <w:rPr>
                <w:sz w:val="24"/>
              </w:rPr>
              <w:t>通榆河～洋曙河</w:t>
            </w:r>
            <w:r>
              <w:rPr>
                <w:spacing w:val="-60"/>
                <w:sz w:val="24"/>
              </w:rPr>
              <w:t>）</w:t>
            </w:r>
            <w:r>
              <w:rPr>
                <w:spacing w:val="-8"/>
                <w:sz w:val="24"/>
              </w:rPr>
              <w:t>治理标准为：河底高程</w:t>
            </w:r>
            <w:r>
              <w:rPr>
                <w:rFonts w:ascii="Times New Roman" w:eastAsia="Times New Roman"/>
                <w:sz w:val="24"/>
              </w:rPr>
              <w:t>-2.0</w:t>
            </w:r>
            <w:r>
              <w:rPr>
                <w:sz w:val="24"/>
              </w:rPr>
              <w:t>～</w:t>
            </w:r>
            <w:r>
              <w:rPr>
                <w:rFonts w:ascii="Times New Roman" w:eastAsia="Times New Roman"/>
                <w:sz w:val="24"/>
              </w:rPr>
              <w:t>-3.0m</w:t>
            </w:r>
            <w:r>
              <w:rPr>
                <w:spacing w:val="-21"/>
                <w:sz w:val="24"/>
              </w:rPr>
              <w:t xml:space="preserve">、河道底宽 </w:t>
            </w:r>
            <w:r>
              <w:rPr>
                <w:rFonts w:ascii="Times New Roman" w:eastAsia="Times New Roman"/>
                <w:spacing w:val="-5"/>
                <w:sz w:val="24"/>
              </w:rPr>
              <w:t>10</w:t>
            </w:r>
            <w:r>
              <w:rPr>
                <w:spacing w:val="-5"/>
                <w:sz w:val="24"/>
              </w:rPr>
              <w:t>～</w:t>
            </w:r>
          </w:p>
          <w:p>
            <w:pPr>
              <w:pStyle w:val="TableParagraph"/>
              <w:spacing w:before="5"/>
              <w:ind w:left="8"/>
              <w:rPr>
                <w:sz w:val="24"/>
              </w:rPr>
            </w:pPr>
            <w:r>
              <w:rPr>
                <w:rFonts w:ascii="Times New Roman" w:eastAsia="Times New Roman"/>
                <w:spacing w:val="-12"/>
                <w:sz w:val="24"/>
              </w:rPr>
              <w:t>18m</w:t>
            </w:r>
            <w:r>
              <w:rPr>
                <w:spacing w:val="-12"/>
                <w:sz w:val="24"/>
              </w:rPr>
              <w:t>（</w:t>
            </w:r>
            <w:r>
              <w:rPr>
                <w:sz w:val="24"/>
              </w:rPr>
              <w:t>其中阜宁段河底高程</w:t>
            </w:r>
            <w:r>
              <w:rPr>
                <w:rFonts w:ascii="Times New Roman" w:eastAsia="Times New Roman"/>
                <w:sz w:val="24"/>
              </w:rPr>
              <w:t>-2.0m</w:t>
            </w:r>
            <w:r>
              <w:rPr>
                <w:spacing w:val="-19"/>
                <w:sz w:val="24"/>
              </w:rPr>
              <w:t xml:space="preserve">、河底底宽 </w:t>
            </w:r>
            <w:r>
              <w:rPr>
                <w:rFonts w:ascii="Times New Roman" w:eastAsia="Times New Roman"/>
                <w:spacing w:val="-19"/>
                <w:sz w:val="24"/>
              </w:rPr>
              <w:t>10m</w:t>
            </w:r>
            <w:r>
              <w:rPr>
                <w:spacing w:val="-19"/>
                <w:sz w:val="24"/>
              </w:rPr>
              <w:t>）</w:t>
            </w:r>
            <w:r>
              <w:rPr>
                <w:spacing w:val="-9"/>
                <w:sz w:val="24"/>
              </w:rPr>
              <w:t>，与已整治的串通河下段</w:t>
            </w:r>
            <w:r>
              <w:rPr>
                <w:sz w:val="24"/>
              </w:rPr>
              <w:t>（洋</w:t>
            </w:r>
          </w:p>
        </w:tc>
      </w:tr>
    </w:tbl>
    <w:p>
      <w:pPr>
        <w:spacing w:after="0"/>
        <w:rPr>
          <w:sz w:val="24"/>
        </w:rPr>
        <w:sectPr>
          <w:headerReference w:type="default" r:id="rId52"/>
          <w:footerReference w:type="default" r:id="rId53"/>
          <w:pgSz w:w="11910" w:h="16840"/>
          <w:pgMar w:top="1340" w:right="1120" w:bottom="1160" w:left="1220" w:header="891" w:footer="969"/>
          <w:pgNumType w:start="24"/>
          <w:cols w:space="708"/>
        </w:sectPr>
      </w:pPr>
    </w:p>
    <w:p>
      <w:pPr>
        <w:pStyle w:val="BodyText"/>
        <w:spacing w:before="1"/>
        <w:rPr>
          <w:rFonts w:ascii="Times New Roman"/>
          <w:sz w:val="7"/>
        </w:rPr>
      </w:pPr>
    </w:p>
    <w:tbl>
      <w:tblPr>
        <w:tblStyle w:val="TableNormal21"/>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1195"/>
          <w:jc w:val="left"/>
        </w:trPr>
        <w:tc>
          <w:tcPr>
            <w:tcW w:w="666" w:type="dxa"/>
            <w:tcBorders>
              <w:bottom w:val="single" w:sz="4" w:space="0" w:color="000000"/>
              <w:right w:val="single" w:sz="4" w:space="0" w:color="000000"/>
            </w:tcBorders>
          </w:tcPr>
          <w:p>
            <w:pPr>
              <w:pStyle w:val="TableParagraph"/>
              <w:rPr>
                <w:rFonts w:ascii="Times New Roman"/>
                <w:sz w:val="22"/>
              </w:rPr>
            </w:pPr>
          </w:p>
        </w:tc>
        <w:tc>
          <w:tcPr>
            <w:tcW w:w="8424" w:type="dxa"/>
            <w:tcBorders>
              <w:left w:val="single" w:sz="4" w:space="0" w:color="000000"/>
              <w:bottom w:val="single" w:sz="4" w:space="0" w:color="000000"/>
            </w:tcBorders>
          </w:tcPr>
          <w:p>
            <w:pPr>
              <w:pStyle w:val="TableParagraph"/>
              <w:spacing w:line="362" w:lineRule="auto"/>
              <w:ind w:left="112" w:right="86"/>
              <w:rPr>
                <w:sz w:val="24"/>
              </w:rPr>
            </w:pPr>
            <w:r>
              <w:rPr>
                <w:sz w:val="24"/>
              </w:rPr>
              <w:t>曙河～射阳河</w:t>
            </w:r>
            <w:r>
              <w:rPr>
                <w:spacing w:val="-24"/>
                <w:sz w:val="24"/>
              </w:rPr>
              <w:t>）</w:t>
            </w:r>
            <w:r>
              <w:rPr>
                <w:spacing w:val="-8"/>
                <w:sz w:val="24"/>
              </w:rPr>
              <w:t xml:space="preserve">标准相适应，恢复了串通河自身 </w:t>
            </w:r>
            <w:r>
              <w:rPr>
                <w:rFonts w:ascii="Times New Roman" w:eastAsia="Times New Roman"/>
                <w:sz w:val="24"/>
              </w:rPr>
              <w:t xml:space="preserve">10 </w:t>
            </w:r>
            <w:r>
              <w:rPr>
                <w:spacing w:val="-5"/>
                <w:sz w:val="24"/>
              </w:rPr>
              <w:t>年一遇排涝能力，整治效果</w:t>
            </w:r>
            <w:r>
              <w:rPr>
                <w:sz w:val="24"/>
              </w:rPr>
              <w:t>明显。</w:t>
            </w:r>
          </w:p>
          <w:p>
            <w:pPr>
              <w:pStyle w:val="TableParagraph"/>
              <w:ind w:left="592"/>
              <w:rPr>
                <w:sz w:val="24"/>
              </w:rPr>
            </w:pPr>
            <w:r>
              <w:rPr>
                <w:rFonts w:ascii="Times New Roman" w:eastAsia="Times New Roman"/>
                <w:sz w:val="24"/>
              </w:rPr>
              <w:t>3</w:t>
            </w:r>
            <w:r>
              <w:rPr>
                <w:sz w:val="24"/>
              </w:rPr>
              <w:t>、防护工程</w:t>
            </w:r>
          </w:p>
          <w:p>
            <w:pPr>
              <w:pStyle w:val="TableParagraph"/>
              <w:spacing w:before="156" w:line="364" w:lineRule="auto"/>
              <w:ind w:left="112" w:right="86" w:firstLine="480"/>
              <w:jc w:val="both"/>
              <w:rPr>
                <w:sz w:val="24"/>
              </w:rPr>
            </w:pPr>
            <w:r>
              <w:rPr>
                <w:sz w:val="24"/>
              </w:rPr>
              <w:t xml:space="preserve">通榆河两侧河段紧临通榆河口，受船行波影响较大且部分位于串通河施工坝迎水侧，只能进行水上施工，本次设计选用水上施工便捷、价格适中、耐久性及抗冲刷较好的仿木桩进行防护。其他河坡倒坎段施工条件相对较好，考虑河道岸坡的生态性、透水性、耐久性以及工程造价，本次设计采用石笼的防护形式。既能满足岸坡安全的要求，又能更好地响应生态河湖建设的要求。射阜线两侧为厂区围墙，护岸建设目的主要是避免河道疏浚对厂区围墙的影响，本次设计选用施工简单、耐久性较好的仿木桩进行防护。防护总长 </w:t>
            </w:r>
            <w:r>
              <w:rPr>
                <w:rFonts w:ascii="Times New Roman" w:eastAsia="Times New Roman"/>
                <w:sz w:val="24"/>
              </w:rPr>
              <w:t>4000m</w:t>
            </w:r>
            <w:r>
              <w:rPr>
                <w:sz w:val="24"/>
              </w:rPr>
              <w:t>。</w:t>
            </w:r>
          </w:p>
          <w:p>
            <w:pPr>
              <w:pStyle w:val="TableParagraph"/>
              <w:spacing w:line="305" w:lineRule="exact"/>
              <w:ind w:left="592"/>
              <w:rPr>
                <w:sz w:val="24"/>
              </w:rPr>
            </w:pPr>
            <w:r>
              <w:rPr>
                <w:rFonts w:ascii="Times New Roman" w:eastAsia="Times New Roman"/>
                <w:sz w:val="24"/>
              </w:rPr>
              <w:t>4</w:t>
            </w:r>
            <w:r>
              <w:rPr>
                <w:sz w:val="24"/>
              </w:rPr>
              <w:t>、建筑物工程</w:t>
            </w:r>
          </w:p>
          <w:p>
            <w:pPr>
              <w:pStyle w:val="TableParagraph"/>
              <w:spacing w:before="158" w:line="364" w:lineRule="auto"/>
              <w:ind w:left="112" w:right="86" w:firstLine="480"/>
              <w:jc w:val="both"/>
              <w:rPr>
                <w:sz w:val="24"/>
              </w:rPr>
            </w:pPr>
            <w:r>
              <w:rPr>
                <w:sz w:val="24"/>
              </w:rPr>
              <w:t>本次设计根据轻重缓急原则，考虑防洪安全，对串通河沿线山桥圩圩区内</w:t>
            </w:r>
            <w:r>
              <w:rPr>
                <w:spacing w:val="-26"/>
                <w:sz w:val="24"/>
              </w:rPr>
              <w:t xml:space="preserve">河 </w:t>
            </w:r>
            <w:r>
              <w:rPr>
                <w:rFonts w:ascii="Times New Roman" w:eastAsia="Times New Roman"/>
                <w:sz w:val="24"/>
              </w:rPr>
              <w:t xml:space="preserve">1 </w:t>
            </w:r>
            <w:r>
              <w:rPr>
                <w:sz w:val="24"/>
              </w:rPr>
              <w:t>处敞口（三号沟敞口）</w:t>
            </w:r>
            <w:r>
              <w:rPr>
                <w:spacing w:val="-6"/>
                <w:sz w:val="24"/>
              </w:rPr>
              <w:t xml:space="preserve">、邓舍圩圩区内河 </w:t>
            </w:r>
            <w:r>
              <w:rPr>
                <w:rFonts w:ascii="Times New Roman" w:eastAsia="Times New Roman"/>
                <w:sz w:val="24"/>
              </w:rPr>
              <w:t xml:space="preserve">1 </w:t>
            </w:r>
            <w:r>
              <w:rPr>
                <w:sz w:val="24"/>
              </w:rPr>
              <w:t>处坝头建闸封闭，对沿线配套</w:t>
            </w:r>
          </w:p>
          <w:p>
            <w:pPr>
              <w:pStyle w:val="TableParagraph"/>
              <w:spacing w:line="364" w:lineRule="auto"/>
              <w:ind w:left="112" w:right="86"/>
              <w:jc w:val="both"/>
              <w:rPr>
                <w:sz w:val="24"/>
              </w:rPr>
            </w:pPr>
            <w:r>
              <w:rPr>
                <w:spacing w:val="-2"/>
                <w:sz w:val="24"/>
              </w:rPr>
              <w:t xml:space="preserve">影响的年久失修且急需拆建的病险防洪涵闸、排涝闸站等 </w:t>
            </w:r>
            <w:r>
              <w:rPr>
                <w:rFonts w:ascii="Times New Roman" w:eastAsia="Times New Roman"/>
                <w:sz w:val="24"/>
              </w:rPr>
              <w:t xml:space="preserve">7 </w:t>
            </w:r>
            <w:r>
              <w:rPr>
                <w:sz w:val="24"/>
              </w:rPr>
              <w:t>座建筑物进行拆除重建。</w:t>
            </w:r>
          </w:p>
          <w:p>
            <w:pPr>
              <w:pStyle w:val="TableParagraph"/>
              <w:spacing w:line="364" w:lineRule="auto"/>
              <w:ind w:left="112" w:right="86" w:firstLine="480"/>
              <w:jc w:val="both"/>
              <w:rPr>
                <w:sz w:val="24"/>
              </w:rPr>
            </w:pPr>
            <w:r>
              <w:rPr>
                <w:sz w:val="24"/>
              </w:rPr>
              <w:t>本次复核拆建建筑物所在圩区的排涝动力，对沿线抽排动力严重不足的圩区，按照有所改善的原则，依托本次建筑物拆建工程，在建筑物原规模的基础上适当增设排涝流量，同时对川北洞站、陈桥北闸站、丁河南洞站、邓舍二号沟灌排结合的闸站仍拆建为灌排结合闸站。</w:t>
            </w:r>
          </w:p>
          <w:p>
            <w:pPr>
              <w:pStyle w:val="TableParagraph"/>
              <w:spacing w:line="305" w:lineRule="exact"/>
              <w:ind w:left="592"/>
              <w:rPr>
                <w:sz w:val="24"/>
              </w:rPr>
            </w:pPr>
            <w:r>
              <w:rPr>
                <w:rFonts w:ascii="Times New Roman" w:eastAsia="Times New Roman"/>
                <w:sz w:val="24"/>
              </w:rPr>
              <w:t>5</w:t>
            </w:r>
            <w:r>
              <w:rPr>
                <w:sz w:val="24"/>
              </w:rPr>
              <w:t>、桥梁规模</w:t>
            </w:r>
          </w:p>
          <w:p>
            <w:pPr>
              <w:pStyle w:val="TableParagraph"/>
              <w:spacing w:before="158"/>
              <w:ind w:left="592"/>
              <w:rPr>
                <w:sz w:val="24"/>
              </w:rPr>
            </w:pPr>
            <w:r>
              <w:rPr>
                <w:spacing w:val="-2"/>
                <w:sz w:val="24"/>
              </w:rPr>
              <w:t xml:space="preserve">根据安全鉴定复核成果，本次需拆建影响桥梁 </w:t>
            </w:r>
            <w:r>
              <w:rPr>
                <w:rFonts w:ascii="Times New Roman" w:eastAsia="Times New Roman"/>
                <w:sz w:val="24"/>
              </w:rPr>
              <w:t>5</w:t>
            </w:r>
            <w:r>
              <w:rPr>
                <w:rFonts w:ascii="Times New Roman" w:eastAsia="Times New Roman"/>
                <w:spacing w:val="18"/>
                <w:sz w:val="24"/>
              </w:rPr>
              <w:t xml:space="preserve"> </w:t>
            </w:r>
            <w:r>
              <w:rPr>
                <w:sz w:val="24"/>
              </w:rPr>
              <w:t>座。拆建桥梁均建于上世</w:t>
            </w:r>
          </w:p>
          <w:p>
            <w:pPr>
              <w:pStyle w:val="TableParagraph"/>
              <w:spacing w:before="161" w:line="362" w:lineRule="auto"/>
              <w:ind w:left="112" w:right="86"/>
              <w:rPr>
                <w:sz w:val="24"/>
              </w:rPr>
            </w:pPr>
            <w:r>
              <w:rPr>
                <w:spacing w:val="-30"/>
                <w:sz w:val="24"/>
              </w:rPr>
              <w:t xml:space="preserve">纪 </w:t>
            </w:r>
            <w:r>
              <w:rPr>
                <w:rFonts w:ascii="Times New Roman" w:eastAsia="Times New Roman"/>
                <w:sz w:val="24"/>
              </w:rPr>
              <w:t xml:space="preserve">90 </w:t>
            </w:r>
            <w:r>
              <w:rPr>
                <w:spacing w:val="-9"/>
                <w:sz w:val="24"/>
              </w:rPr>
              <w:t>年代，存在结构老化、桥面破损开裂、栏杆缺失、砖砌桥台结构已经开裂</w:t>
            </w:r>
            <w:r>
              <w:rPr>
                <w:sz w:val="24"/>
              </w:rPr>
              <w:t>等问题，存在严重的安全隐患，本次拟进行拆除重建。桥梁拆建规模结合河道</w:t>
            </w:r>
          </w:p>
          <w:p>
            <w:pPr>
              <w:pStyle w:val="TableParagraph"/>
              <w:spacing w:before="5"/>
              <w:ind w:left="112"/>
              <w:rPr>
                <w:sz w:val="24"/>
              </w:rPr>
            </w:pPr>
            <w:r>
              <w:rPr>
                <w:sz w:val="24"/>
              </w:rPr>
              <w:t>疏浚规模、现状河口以及防洪水位进行确定。</w:t>
            </w:r>
          </w:p>
        </w:tc>
      </w:tr>
      <w:tr>
        <w:tblPrEx>
          <w:tblW w:w="0" w:type="auto"/>
          <w:jc w:val="left"/>
          <w:tblInd w:w="198" w:type="dxa"/>
          <w:tblLayout w:type="fixed"/>
          <w:tblCellMar>
            <w:top w:w="0" w:type="dxa"/>
            <w:left w:w="0" w:type="dxa"/>
            <w:bottom w:w="0" w:type="dxa"/>
            <w:right w:w="0" w:type="dxa"/>
          </w:tblCellMar>
          <w:tblLook w:val="01E0"/>
        </w:tblPrEx>
        <w:trPr>
          <w:trHeight w:val="2331"/>
          <w:jc w:val="left"/>
        </w:trPr>
        <w:tc>
          <w:tcPr>
            <w:tcW w:w="666"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64" w:line="242" w:lineRule="auto"/>
              <w:ind w:left="122" w:right="108"/>
              <w:jc w:val="both"/>
              <w:rPr>
                <w:sz w:val="21"/>
              </w:rPr>
            </w:pPr>
            <w:r>
              <w:rPr>
                <w:sz w:val="21"/>
              </w:rPr>
              <w:t>总平面及现场布置</w:t>
            </w:r>
          </w:p>
        </w:tc>
        <w:tc>
          <w:tcPr>
            <w:tcW w:w="8424" w:type="dxa"/>
            <w:tcBorders>
              <w:top w:val="single" w:sz="4" w:space="0" w:color="000000"/>
              <w:left w:val="single" w:sz="4" w:space="0" w:color="000000"/>
            </w:tcBorders>
          </w:tcPr>
          <w:p>
            <w:pPr>
              <w:pStyle w:val="TableParagraph"/>
              <w:spacing w:before="1"/>
              <w:ind w:left="112"/>
              <w:rPr>
                <w:b/>
                <w:sz w:val="24"/>
              </w:rPr>
            </w:pPr>
            <w:r>
              <w:rPr>
                <w:b/>
                <w:sz w:val="24"/>
              </w:rPr>
              <w:t>五、总体布置</w:t>
            </w:r>
          </w:p>
          <w:p>
            <w:pPr>
              <w:pStyle w:val="TableParagraph"/>
              <w:spacing w:before="160"/>
              <w:ind w:left="592"/>
              <w:rPr>
                <w:sz w:val="24"/>
              </w:rPr>
            </w:pPr>
            <w:r>
              <w:rPr>
                <w:rFonts w:ascii="Times New Roman" w:eastAsia="Times New Roman"/>
                <w:sz w:val="24"/>
              </w:rPr>
              <w:t>1</w:t>
            </w:r>
            <w:r>
              <w:rPr>
                <w:sz w:val="24"/>
              </w:rPr>
              <w:t>、河道工程</w:t>
            </w:r>
          </w:p>
          <w:p>
            <w:pPr>
              <w:pStyle w:val="TableParagraph"/>
              <w:spacing w:before="158" w:line="364" w:lineRule="auto"/>
              <w:ind w:left="112" w:right="86" w:firstLine="480"/>
              <w:rPr>
                <w:sz w:val="24"/>
              </w:rPr>
            </w:pPr>
            <w:r>
              <w:rPr>
                <w:sz w:val="24"/>
              </w:rPr>
              <w:t xml:space="preserve">串通河治理工程治理河道总长为 </w:t>
            </w:r>
            <w:r>
              <w:rPr>
                <w:rFonts w:ascii="Times New Roman" w:eastAsia="Times New Roman"/>
                <w:sz w:val="24"/>
              </w:rPr>
              <w:t>11.51km</w:t>
            </w:r>
            <w:r>
              <w:rPr>
                <w:sz w:val="24"/>
              </w:rPr>
              <w:t xml:space="preserve">，根据地形、地貌和工程特性， 按挖土位置在沿线布置 </w:t>
            </w:r>
            <w:r>
              <w:rPr>
                <w:rFonts w:ascii="Times New Roman" w:eastAsia="Times New Roman"/>
                <w:sz w:val="24"/>
              </w:rPr>
              <w:t xml:space="preserve">3 </w:t>
            </w:r>
            <w:r>
              <w:rPr>
                <w:sz w:val="24"/>
              </w:rPr>
              <w:t>个排泥场。</w:t>
            </w:r>
          </w:p>
          <w:p>
            <w:pPr>
              <w:pStyle w:val="TableParagraph"/>
              <w:spacing w:line="306" w:lineRule="exact"/>
              <w:ind w:left="592"/>
              <w:rPr>
                <w:sz w:val="24"/>
              </w:rPr>
            </w:pPr>
            <w:r>
              <w:rPr>
                <w:sz w:val="24"/>
              </w:rPr>
              <w:t>串通河治理工程，排泥场布置主要考虑以下几个原则：①尽量离河道及道</w:t>
            </w:r>
          </w:p>
        </w:tc>
      </w:tr>
    </w:tbl>
    <w:p>
      <w:pPr>
        <w:spacing w:after="0" w:line="306" w:lineRule="exact"/>
        <w:rPr>
          <w:sz w:val="24"/>
        </w:rPr>
        <w:sectPr>
          <w:headerReference w:type="default" r:id="rId54"/>
          <w:footerReference w:type="default" r:id="rId55"/>
          <w:pgSz w:w="11910" w:h="16840"/>
          <w:pgMar w:top="1340" w:right="1120" w:bottom="1160" w:left="1220" w:header="891" w:footer="969"/>
          <w:pgNumType w:start="25"/>
          <w:cols w:space="708"/>
        </w:sectPr>
      </w:pPr>
    </w:p>
    <w:p>
      <w:pPr>
        <w:pStyle w:val="BodyText"/>
        <w:spacing w:before="95" w:line="362" w:lineRule="auto"/>
        <w:ind w:left="961" w:right="274"/>
      </w:pPr>
      <w:r>
        <w:pict>
          <v:group id="_x0000_s1042" style="width:455.5pt;height:695.05pt;margin-top:72pt;margin-left:69.92pt;mso-position-horizontal-relative:page;mso-position-vertical-relative:page;position:absolute;z-index:-251650048" coordorigin="1398,1440" coordsize="9110,13901">
            <v:shape id="_x0000_s1043" style="width:9110;height:13901;left:1398;position:absolute;top:1497" coordorigin="1398,1498" coordsize="9110,13901" path="m1398,1450l10508,1450m1398,15331l10508,15331m1408,1440l1408,15340m10498,1459l10498,15340e" filled="f" stroked="t" strokecolor="black" strokeweight="0.96pt">
              <v:stroke dashstyle="solid"/>
              <v:path arrowok="t"/>
            </v:shape>
            <v:line id="_x0000_s1044" style="position:absolute" from="2074,1459" to="2074,15321" stroked="t" strokecolor="black" strokeweight="0.48pt">
              <v:stroke dashstyle="solid"/>
            </v:line>
          </v:group>
        </w:pict>
      </w:r>
      <w:r>
        <w:t>路距离较近，便于施工及后期出土；②避免占用基本农田、林地等；③尽量避</w:t>
      </w:r>
      <w:r>
        <w:rPr>
          <w:spacing w:val="-10"/>
        </w:rPr>
        <w:t xml:space="preserve">免拆迁；④尽量缩短运距；⑤结合现有坑塘作为弃土坑；⑥适当增加堆土高度， </w:t>
      </w:r>
      <w:r>
        <w:t>减少征地。</w:t>
      </w:r>
    </w:p>
    <w:p>
      <w:pPr>
        <w:pStyle w:val="BodyText"/>
        <w:spacing w:before="6" w:line="364" w:lineRule="auto"/>
        <w:ind w:left="961" w:right="394" w:firstLine="480"/>
        <w:jc w:val="both"/>
      </w:pPr>
      <w:r>
        <w:t>本次河道疏浚采用水力冲挖法施工，根据通榆河以东段两岸基本农田分布情况，现状除部分鱼塘、蟹塘及居民房屋外，其余基本为基本农田。本次结合现场调查，布置三处蟹塘作为排泥场。</w:t>
      </w:r>
    </w:p>
    <w:p>
      <w:pPr>
        <w:pStyle w:val="BodyText"/>
        <w:spacing w:line="364" w:lineRule="auto"/>
        <w:ind w:left="961" w:right="394" w:firstLine="480"/>
        <w:jc w:val="both"/>
      </w:pPr>
      <w:r>
        <w:rPr>
          <w:rFonts w:ascii="Times New Roman" w:eastAsia="Times New Roman"/>
        </w:rPr>
        <w:t>1#</w:t>
      </w:r>
      <w:r>
        <w:t>排泥场拟布置在通马河西侧，现状为蟹塘，排泥场排水方便。根据测量</w:t>
      </w:r>
      <w:r>
        <w:rPr>
          <w:spacing w:val="-2"/>
        </w:rPr>
        <w:t>及土方计算，</w:t>
      </w:r>
      <w:r>
        <w:rPr>
          <w:rFonts w:ascii="Times New Roman" w:eastAsia="Times New Roman"/>
          <w:spacing w:val="-12"/>
        </w:rPr>
        <w:t>2#</w:t>
      </w:r>
      <w:r>
        <w:rPr>
          <w:spacing w:val="-5"/>
        </w:rPr>
        <w:t xml:space="preserve">排泥场可承纳土方范围为桩号 </w:t>
      </w:r>
      <w:r>
        <w:rPr>
          <w:rFonts w:ascii="Times New Roman" w:eastAsia="Times New Roman"/>
        </w:rPr>
        <w:t>1+700</w:t>
      </w:r>
      <w:r>
        <w:t>～</w:t>
      </w:r>
      <w:r>
        <w:rPr>
          <w:rFonts w:ascii="Times New Roman" w:eastAsia="Times New Roman"/>
        </w:rPr>
        <w:t xml:space="preserve">4+700 </w:t>
      </w:r>
      <w:r>
        <w:rPr>
          <w:spacing w:val="-29"/>
        </w:rPr>
        <w:t xml:space="preserve">共 </w:t>
      </w:r>
      <w:r>
        <w:rPr>
          <w:rFonts w:ascii="Times New Roman" w:eastAsia="Times New Roman"/>
          <w:spacing w:val="-5"/>
        </w:rPr>
        <w:t>67836m</w:t>
      </w:r>
      <w:r>
        <w:rPr>
          <w:rFonts w:ascii="Times New Roman" w:eastAsia="Times New Roman"/>
          <w:spacing w:val="-5"/>
          <w:position w:val="8"/>
          <w:sz w:val="15"/>
        </w:rPr>
        <w:t>3</w:t>
      </w:r>
      <w:r>
        <w:rPr>
          <w:spacing w:val="-8"/>
        </w:rPr>
        <w:t>，河道</w:t>
      </w:r>
      <w:r>
        <w:rPr>
          <w:spacing w:val="-10"/>
        </w:rPr>
        <w:t xml:space="preserve">土方运距约 </w:t>
      </w:r>
      <w:r>
        <w:rPr>
          <w:rFonts w:ascii="Times New Roman" w:eastAsia="Times New Roman"/>
        </w:rPr>
        <w:t>1.6km</w:t>
      </w:r>
      <w:r>
        <w:t>。</w:t>
      </w:r>
    </w:p>
    <w:p>
      <w:pPr>
        <w:pStyle w:val="BodyText"/>
        <w:spacing w:line="364" w:lineRule="auto"/>
        <w:ind w:left="961" w:right="394" w:firstLine="480"/>
        <w:jc w:val="both"/>
      </w:pPr>
      <w:r>
        <w:rPr>
          <w:rFonts w:ascii="Times New Roman" w:eastAsia="Times New Roman"/>
        </w:rPr>
        <w:t>2#</w:t>
      </w:r>
      <w:r>
        <w:t>排泥场拟布置在大通港西侧，现状为蟹塘，排泥场排水方便。根据测量及土方计算，</w:t>
      </w:r>
      <w:r>
        <w:rPr>
          <w:rFonts w:ascii="Times New Roman" w:eastAsia="Times New Roman"/>
        </w:rPr>
        <w:t>3#</w:t>
      </w:r>
      <w:r>
        <w:rPr>
          <w:spacing w:val="-4"/>
        </w:rPr>
        <w:t xml:space="preserve">排泥场可承纳土方范围为桩号 </w:t>
      </w:r>
      <w:r>
        <w:rPr>
          <w:rFonts w:ascii="Times New Roman" w:eastAsia="Times New Roman"/>
        </w:rPr>
        <w:t>4+700</w:t>
      </w:r>
      <w:r>
        <w:t>～</w:t>
      </w:r>
      <w:r>
        <w:rPr>
          <w:rFonts w:ascii="Times New Roman" w:eastAsia="Times New Roman"/>
        </w:rPr>
        <w:t>9+972</w:t>
      </w:r>
      <w:r>
        <w:rPr>
          <w:rFonts w:ascii="Times New Roman" w:eastAsia="Times New Roman"/>
          <w:spacing w:val="14"/>
        </w:rPr>
        <w:t xml:space="preserve"> </w:t>
      </w:r>
      <w:r>
        <w:rPr>
          <w:spacing w:val="-23"/>
        </w:rPr>
        <w:t xml:space="preserve">共 </w:t>
      </w:r>
      <w:r>
        <w:rPr>
          <w:rFonts w:ascii="Times New Roman" w:eastAsia="Times New Roman"/>
        </w:rPr>
        <w:t>125347m</w:t>
      </w:r>
      <w:r>
        <w:rPr>
          <w:rFonts w:ascii="Times New Roman" w:eastAsia="Times New Roman"/>
          <w:position w:val="8"/>
          <w:sz w:val="15"/>
        </w:rPr>
        <w:t>3</w:t>
      </w:r>
      <w:r>
        <w:t>，河</w:t>
      </w:r>
      <w:r>
        <w:rPr>
          <w:spacing w:val="-9"/>
        </w:rPr>
        <w:t xml:space="preserve">道土方运距约 </w:t>
      </w:r>
      <w:r>
        <w:rPr>
          <w:rFonts w:ascii="Times New Roman" w:eastAsia="Times New Roman"/>
        </w:rPr>
        <w:t>2.0km</w:t>
      </w:r>
      <w:r>
        <w:t>。</w:t>
      </w:r>
    </w:p>
    <w:p>
      <w:pPr>
        <w:pStyle w:val="BodyText"/>
        <w:spacing w:line="364" w:lineRule="auto"/>
        <w:ind w:left="961" w:right="394" w:firstLine="480"/>
        <w:jc w:val="both"/>
      </w:pPr>
      <w:r>
        <w:rPr>
          <w:rFonts w:ascii="Times New Roman" w:eastAsia="Times New Roman"/>
        </w:rPr>
        <w:t>3#</w:t>
      </w:r>
      <w:r>
        <w:t>排泥场拟布置在孙杨港北侧，现状为蟹塘，排泥场排水方便。根据测量及土方计算，</w:t>
      </w:r>
      <w:r>
        <w:rPr>
          <w:rFonts w:ascii="Times New Roman" w:eastAsia="Times New Roman"/>
        </w:rPr>
        <w:t>4#</w:t>
      </w:r>
      <w:r>
        <w:rPr>
          <w:spacing w:val="-4"/>
        </w:rPr>
        <w:t xml:space="preserve">排泥场可承纳土方范围为桩号 </w:t>
      </w:r>
      <w:r>
        <w:rPr>
          <w:rFonts w:ascii="Times New Roman" w:eastAsia="Times New Roman"/>
        </w:rPr>
        <w:t>9+972</w:t>
      </w:r>
      <w:r>
        <w:t>～</w:t>
      </w:r>
      <w:r>
        <w:rPr>
          <w:rFonts w:ascii="Times New Roman" w:eastAsia="Times New Roman"/>
        </w:rPr>
        <w:t>13+220</w:t>
      </w:r>
      <w:r>
        <w:rPr>
          <w:rFonts w:ascii="Times New Roman" w:eastAsia="Times New Roman"/>
          <w:spacing w:val="14"/>
        </w:rPr>
        <w:t xml:space="preserve"> </w:t>
      </w:r>
      <w:r>
        <w:rPr>
          <w:spacing w:val="-23"/>
        </w:rPr>
        <w:t xml:space="preserve">共 </w:t>
      </w:r>
      <w:r>
        <w:rPr>
          <w:rFonts w:ascii="Times New Roman" w:eastAsia="Times New Roman"/>
        </w:rPr>
        <w:t>79842m</w:t>
      </w:r>
      <w:r>
        <w:rPr>
          <w:rFonts w:ascii="Times New Roman" w:eastAsia="Times New Roman"/>
          <w:position w:val="8"/>
          <w:sz w:val="15"/>
        </w:rPr>
        <w:t>3</w:t>
      </w:r>
      <w:r>
        <w:t>，河</w:t>
      </w:r>
      <w:r>
        <w:rPr>
          <w:spacing w:val="-9"/>
        </w:rPr>
        <w:t xml:space="preserve">道土方运距约 </w:t>
      </w:r>
      <w:r>
        <w:rPr>
          <w:rFonts w:ascii="Times New Roman" w:eastAsia="Times New Roman"/>
        </w:rPr>
        <w:t>2.3km</w:t>
      </w:r>
      <w:r>
        <w:t>。</w:t>
      </w:r>
    </w:p>
    <w:p>
      <w:pPr>
        <w:pStyle w:val="BodyText"/>
        <w:spacing w:line="305" w:lineRule="exact"/>
        <w:ind w:left="1441"/>
      </w:pPr>
      <w:r>
        <w:t>排泥场位置、面积以及基本情况统计如下表所示。</w:t>
      </w:r>
    </w:p>
    <w:p>
      <w:pPr>
        <w:pStyle w:val="Heading2"/>
        <w:tabs>
          <w:tab w:val="left" w:pos="4290"/>
        </w:tabs>
        <w:spacing w:before="156"/>
        <w:ind w:left="3431"/>
      </w:pPr>
      <w:r>
        <w:pict>
          <v:shape id="_x0000_s1045" type="#_x0000_t202" style="width:412.2pt;height:86.65pt;margin-top:31.06pt;margin-left:108.58pt;mso-position-horizontal-relative:page;position:absolute;z-index:251667456" filled="f" stroked="f">
            <v:textbox inset="0,0,0,0">
              <w:txbxContent>
                <w:tbl>
                  <w:tblPr>
                    <w:tblStyle w:val="TableNormal22"/>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762"/>
                    <w:gridCol w:w="1793"/>
                    <w:gridCol w:w="1807"/>
                    <w:gridCol w:w="1164"/>
                    <w:gridCol w:w="1164"/>
                    <w:gridCol w:w="970"/>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45"/>
                      <w:jc w:val="left"/>
                    </w:trPr>
                    <w:tc>
                      <w:tcPr>
                        <w:tcW w:w="540" w:type="dxa"/>
                        <w:tcBorders>
                          <w:left w:val="nil"/>
                          <w:bottom w:val="single" w:sz="4" w:space="0" w:color="000000"/>
                          <w:right w:val="single" w:sz="4" w:space="0" w:color="000000"/>
                        </w:tcBorders>
                      </w:tcPr>
                      <w:p>
                        <w:pPr>
                          <w:pStyle w:val="TableParagraph"/>
                          <w:spacing w:before="135"/>
                          <w:ind w:left="49" w:right="24"/>
                          <w:jc w:val="center"/>
                          <w:rPr>
                            <w:b/>
                            <w:sz w:val="21"/>
                          </w:rPr>
                        </w:pPr>
                        <w:r>
                          <w:rPr>
                            <w:b/>
                            <w:sz w:val="21"/>
                          </w:rPr>
                          <w:t>序号</w:t>
                        </w:r>
                      </w:p>
                    </w:tc>
                    <w:tc>
                      <w:tcPr>
                        <w:tcW w:w="762" w:type="dxa"/>
                        <w:tcBorders>
                          <w:left w:val="single" w:sz="4" w:space="0" w:color="000000"/>
                          <w:bottom w:val="single" w:sz="4" w:space="0" w:color="000000"/>
                          <w:right w:val="single" w:sz="4" w:space="0" w:color="000000"/>
                        </w:tcBorders>
                      </w:tcPr>
                      <w:p>
                        <w:pPr>
                          <w:pStyle w:val="TableParagraph"/>
                          <w:spacing w:before="1"/>
                          <w:ind w:left="53" w:right="25"/>
                          <w:jc w:val="center"/>
                          <w:rPr>
                            <w:b/>
                            <w:sz w:val="21"/>
                          </w:rPr>
                        </w:pPr>
                        <w:r>
                          <w:rPr>
                            <w:b/>
                            <w:sz w:val="21"/>
                          </w:rPr>
                          <w:t>排泥场</w:t>
                        </w:r>
                      </w:p>
                      <w:p>
                        <w:pPr>
                          <w:pStyle w:val="TableParagraph"/>
                          <w:spacing w:before="2" w:line="253" w:lineRule="exact"/>
                          <w:ind w:left="53" w:right="25"/>
                          <w:jc w:val="center"/>
                          <w:rPr>
                            <w:b/>
                            <w:sz w:val="21"/>
                          </w:rPr>
                        </w:pPr>
                        <w:r>
                          <w:rPr>
                            <w:b/>
                            <w:sz w:val="21"/>
                          </w:rPr>
                          <w:t>编号</w:t>
                        </w:r>
                      </w:p>
                    </w:tc>
                    <w:tc>
                      <w:tcPr>
                        <w:tcW w:w="1793" w:type="dxa"/>
                        <w:tcBorders>
                          <w:left w:val="single" w:sz="4" w:space="0" w:color="000000"/>
                          <w:bottom w:val="single" w:sz="4" w:space="0" w:color="000000"/>
                          <w:right w:val="single" w:sz="4" w:space="0" w:color="000000"/>
                        </w:tcBorders>
                      </w:tcPr>
                      <w:p>
                        <w:pPr>
                          <w:pStyle w:val="TableParagraph"/>
                          <w:spacing w:before="135"/>
                          <w:ind w:left="145" w:right="121"/>
                          <w:jc w:val="center"/>
                          <w:rPr>
                            <w:b/>
                            <w:sz w:val="21"/>
                          </w:rPr>
                        </w:pPr>
                        <w:r>
                          <w:rPr>
                            <w:b/>
                            <w:sz w:val="21"/>
                          </w:rPr>
                          <w:t>排泥场中心位置</w:t>
                        </w:r>
                      </w:p>
                    </w:tc>
                    <w:tc>
                      <w:tcPr>
                        <w:tcW w:w="1807" w:type="dxa"/>
                        <w:tcBorders>
                          <w:left w:val="single" w:sz="4" w:space="0" w:color="000000"/>
                          <w:bottom w:val="single" w:sz="4" w:space="0" w:color="000000"/>
                          <w:right w:val="single" w:sz="4" w:space="0" w:color="000000"/>
                        </w:tcBorders>
                      </w:tcPr>
                      <w:p>
                        <w:pPr>
                          <w:pStyle w:val="TableParagraph"/>
                          <w:spacing w:before="135"/>
                          <w:ind w:left="242" w:right="215"/>
                          <w:jc w:val="center"/>
                          <w:rPr>
                            <w:b/>
                            <w:sz w:val="21"/>
                          </w:rPr>
                        </w:pPr>
                        <w:r>
                          <w:rPr>
                            <w:b/>
                            <w:sz w:val="21"/>
                          </w:rPr>
                          <w:t>排泥场间</w:t>
                        </w:r>
                      </w:p>
                    </w:tc>
                    <w:tc>
                      <w:tcPr>
                        <w:tcW w:w="1164" w:type="dxa"/>
                        <w:tcBorders>
                          <w:left w:val="single" w:sz="4" w:space="0" w:color="000000"/>
                          <w:bottom w:val="single" w:sz="4" w:space="0" w:color="000000"/>
                          <w:right w:val="single" w:sz="4" w:space="0" w:color="000000"/>
                        </w:tcBorders>
                      </w:tcPr>
                      <w:p>
                        <w:pPr>
                          <w:pStyle w:val="TableParagraph"/>
                          <w:spacing w:before="1"/>
                          <w:ind w:left="41" w:right="17"/>
                          <w:jc w:val="center"/>
                          <w:rPr>
                            <w:b/>
                            <w:sz w:val="21"/>
                          </w:rPr>
                        </w:pPr>
                        <w:r>
                          <w:rPr>
                            <w:b/>
                            <w:sz w:val="21"/>
                          </w:rPr>
                          <w:t>排泥场面积</w:t>
                        </w:r>
                      </w:p>
                      <w:p>
                        <w:pPr>
                          <w:pStyle w:val="TableParagraph"/>
                          <w:spacing w:before="2" w:line="253" w:lineRule="exact"/>
                          <w:ind w:left="41" w:right="14"/>
                          <w:jc w:val="center"/>
                          <w:rPr>
                            <w:b/>
                            <w:sz w:val="21"/>
                          </w:rPr>
                        </w:pPr>
                        <w:r>
                          <w:rPr>
                            <w:b/>
                            <w:sz w:val="21"/>
                          </w:rPr>
                          <w:t>（亩）</w:t>
                        </w:r>
                      </w:p>
                    </w:tc>
                    <w:tc>
                      <w:tcPr>
                        <w:tcW w:w="1164" w:type="dxa"/>
                        <w:tcBorders>
                          <w:left w:val="single" w:sz="4" w:space="0" w:color="000000"/>
                          <w:bottom w:val="single" w:sz="4" w:space="0" w:color="000000"/>
                          <w:right w:val="single" w:sz="4" w:space="0" w:color="000000"/>
                        </w:tcBorders>
                      </w:tcPr>
                      <w:p>
                        <w:pPr>
                          <w:pStyle w:val="TableParagraph"/>
                          <w:spacing w:before="135"/>
                          <w:ind w:left="41" w:right="14"/>
                          <w:jc w:val="center"/>
                          <w:rPr>
                            <w:b/>
                            <w:sz w:val="21"/>
                          </w:rPr>
                        </w:pPr>
                        <w:r>
                          <w:rPr>
                            <w:b/>
                            <w:sz w:val="21"/>
                          </w:rPr>
                          <w:t>现状</w:t>
                        </w:r>
                      </w:p>
                    </w:tc>
                    <w:tc>
                      <w:tcPr>
                        <w:tcW w:w="970" w:type="dxa"/>
                        <w:tcBorders>
                          <w:left w:val="single" w:sz="4" w:space="0" w:color="000000"/>
                          <w:bottom w:val="single" w:sz="4" w:space="0" w:color="000000"/>
                          <w:right w:val="nil"/>
                        </w:tcBorders>
                      </w:tcPr>
                      <w:p>
                        <w:pPr>
                          <w:pStyle w:val="TableParagraph"/>
                          <w:spacing w:before="135"/>
                          <w:ind w:left="13"/>
                          <w:rPr>
                            <w:rFonts w:ascii="Times New Roman" w:eastAsia="Times New Roman"/>
                            <w:b/>
                            <w:sz w:val="21"/>
                          </w:rPr>
                        </w:pPr>
                        <w:r>
                          <w:rPr>
                            <w:b/>
                            <w:sz w:val="21"/>
                          </w:rPr>
                          <w:t>堆高（</w:t>
                        </w:r>
                        <w:r>
                          <w:rPr>
                            <w:rFonts w:ascii="Times New Roman" w:eastAsia="Times New Roman"/>
                            <w:b/>
                            <w:sz w:val="21"/>
                          </w:rPr>
                          <w:t>m</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540" w:type="dxa"/>
                        <w:tcBorders>
                          <w:top w:val="single" w:sz="4" w:space="0" w:color="000000"/>
                          <w:left w:val="nil"/>
                          <w:bottom w:val="single" w:sz="4" w:space="0" w:color="000000"/>
                          <w:right w:val="single" w:sz="4" w:space="0" w:color="000000"/>
                        </w:tcBorders>
                      </w:tcPr>
                      <w:p>
                        <w:pPr>
                          <w:pStyle w:val="TableParagraph"/>
                          <w:spacing w:before="14" w:line="238" w:lineRule="exact"/>
                          <w:ind w:left="26"/>
                          <w:jc w:val="center"/>
                          <w:rPr>
                            <w:rFonts w:ascii="Times New Roman"/>
                            <w:sz w:val="21"/>
                          </w:rPr>
                        </w:pPr>
                        <w:r>
                          <w:rPr>
                            <w:rFonts w:ascii="Times New Roman"/>
                            <w:w w:val="99"/>
                            <w:sz w:val="21"/>
                          </w:rPr>
                          <w:t>1</w:t>
                        </w:r>
                      </w:p>
                    </w:tc>
                    <w:tc>
                      <w:tcPr>
                        <w:tcW w:w="762"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53" w:right="24"/>
                          <w:jc w:val="center"/>
                          <w:rPr>
                            <w:rFonts w:ascii="Times New Roman"/>
                            <w:sz w:val="21"/>
                          </w:rPr>
                        </w:pPr>
                        <w:r>
                          <w:rPr>
                            <w:rFonts w:ascii="Times New Roman"/>
                            <w:sz w:val="21"/>
                          </w:rPr>
                          <w:t>1#</w:t>
                        </w:r>
                      </w:p>
                    </w:tc>
                    <w:tc>
                      <w:tcPr>
                        <w:tcW w:w="179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45" w:right="121"/>
                          <w:jc w:val="center"/>
                          <w:rPr>
                            <w:sz w:val="21"/>
                          </w:rPr>
                        </w:pPr>
                        <w:r>
                          <w:rPr>
                            <w:rFonts w:ascii="Times New Roman" w:eastAsia="Times New Roman"/>
                            <w:sz w:val="21"/>
                          </w:rPr>
                          <w:t xml:space="preserve">4+700 </w:t>
                        </w:r>
                        <w:r>
                          <w:rPr>
                            <w:sz w:val="21"/>
                          </w:rPr>
                          <w:t>西岸</w:t>
                        </w:r>
                      </w:p>
                    </w:tc>
                    <w:tc>
                      <w:tcPr>
                        <w:tcW w:w="1807"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245" w:right="215"/>
                          <w:jc w:val="center"/>
                          <w:rPr>
                            <w:rFonts w:ascii="Times New Roman"/>
                            <w:sz w:val="21"/>
                          </w:rPr>
                        </w:pPr>
                        <w:r>
                          <w:rPr>
                            <w:rFonts w:ascii="Times New Roman"/>
                            <w:sz w:val="21"/>
                          </w:rPr>
                          <w:t>1+700~4+300</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354"/>
                          <w:rPr>
                            <w:rFonts w:ascii="Times New Roman"/>
                            <w:sz w:val="21"/>
                          </w:rPr>
                        </w:pPr>
                        <w:r>
                          <w:rPr>
                            <w:rFonts w:ascii="Times New Roman"/>
                            <w:sz w:val="21"/>
                          </w:rPr>
                          <w:t>57.91</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41" w:right="17"/>
                          <w:jc w:val="center"/>
                          <w:rPr>
                            <w:sz w:val="21"/>
                          </w:rPr>
                        </w:pPr>
                        <w:r>
                          <w:rPr>
                            <w:sz w:val="21"/>
                          </w:rPr>
                          <w:t>蟹塘</w:t>
                        </w:r>
                      </w:p>
                    </w:tc>
                    <w:tc>
                      <w:tcPr>
                        <w:tcW w:w="970" w:type="dxa"/>
                        <w:tcBorders>
                          <w:top w:val="single" w:sz="4" w:space="0" w:color="000000"/>
                          <w:left w:val="single" w:sz="4" w:space="0" w:color="000000"/>
                          <w:bottom w:val="single" w:sz="4" w:space="0" w:color="000000"/>
                          <w:right w:val="nil"/>
                        </w:tcBorders>
                      </w:tcPr>
                      <w:p>
                        <w:pPr>
                          <w:pStyle w:val="TableParagraph"/>
                          <w:spacing w:before="14" w:line="238" w:lineRule="exact"/>
                          <w:ind w:left="346" w:right="316"/>
                          <w:jc w:val="center"/>
                          <w:rPr>
                            <w:rFonts w:ascii="Times New Roman"/>
                            <w:sz w:val="21"/>
                          </w:rPr>
                        </w:pPr>
                        <w:r>
                          <w:rPr>
                            <w:rFonts w:ascii="Times New Roman"/>
                            <w:sz w:val="21"/>
                          </w:rPr>
                          <w:t>2.5</w:t>
                        </w:r>
                      </w:p>
                    </w:tc>
                  </w:tr>
                  <w:tr>
                    <w:tblPrEx>
                      <w:tblW w:w="0" w:type="auto"/>
                      <w:jc w:val="left"/>
                      <w:tblInd w:w="7" w:type="dxa"/>
                      <w:tblLayout w:type="fixed"/>
                      <w:tblCellMar>
                        <w:top w:w="0" w:type="dxa"/>
                        <w:left w:w="0" w:type="dxa"/>
                        <w:bottom w:w="0" w:type="dxa"/>
                        <w:right w:w="0" w:type="dxa"/>
                      </w:tblCellMar>
                      <w:tblLook w:val="01E0"/>
                    </w:tblPrEx>
                    <w:trPr>
                      <w:trHeight w:val="271"/>
                      <w:jc w:val="left"/>
                    </w:trPr>
                    <w:tc>
                      <w:tcPr>
                        <w:tcW w:w="540" w:type="dxa"/>
                        <w:tcBorders>
                          <w:top w:val="single" w:sz="4" w:space="0" w:color="000000"/>
                          <w:left w:val="nil"/>
                          <w:bottom w:val="single" w:sz="4" w:space="0" w:color="000000"/>
                          <w:right w:val="single" w:sz="4" w:space="0" w:color="000000"/>
                        </w:tcBorders>
                      </w:tcPr>
                      <w:p>
                        <w:pPr>
                          <w:pStyle w:val="TableParagraph"/>
                          <w:spacing w:before="15" w:line="237" w:lineRule="exact"/>
                          <w:ind w:left="26"/>
                          <w:jc w:val="center"/>
                          <w:rPr>
                            <w:rFonts w:ascii="Times New Roman"/>
                            <w:sz w:val="21"/>
                          </w:rPr>
                        </w:pPr>
                        <w:r>
                          <w:rPr>
                            <w:rFonts w:ascii="Times New Roman"/>
                            <w:w w:val="99"/>
                            <w:sz w:val="21"/>
                          </w:rPr>
                          <w:t>2</w:t>
                        </w:r>
                      </w:p>
                    </w:tc>
                    <w:tc>
                      <w:tcPr>
                        <w:tcW w:w="762"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53" w:right="24"/>
                          <w:jc w:val="center"/>
                          <w:rPr>
                            <w:rFonts w:ascii="Times New Roman"/>
                            <w:sz w:val="21"/>
                          </w:rPr>
                        </w:pPr>
                        <w:r>
                          <w:rPr>
                            <w:rFonts w:ascii="Times New Roman"/>
                            <w:sz w:val="21"/>
                          </w:rPr>
                          <w:t>2#</w:t>
                        </w:r>
                      </w:p>
                    </w:tc>
                    <w:tc>
                      <w:tcPr>
                        <w:tcW w:w="1793" w:type="dxa"/>
                        <w:tcBorders>
                          <w:top w:val="single" w:sz="4" w:space="0" w:color="000000"/>
                          <w:left w:val="single" w:sz="4" w:space="0" w:color="000000"/>
                          <w:bottom w:val="single" w:sz="4" w:space="0" w:color="000000"/>
                          <w:right w:val="single" w:sz="4" w:space="0" w:color="000000"/>
                        </w:tcBorders>
                      </w:tcPr>
                      <w:p>
                        <w:pPr>
                          <w:pStyle w:val="TableParagraph"/>
                          <w:spacing w:before="1" w:line="251" w:lineRule="exact"/>
                          <w:ind w:left="145" w:right="121"/>
                          <w:jc w:val="center"/>
                          <w:rPr>
                            <w:sz w:val="21"/>
                          </w:rPr>
                        </w:pPr>
                        <w:r>
                          <w:rPr>
                            <w:rFonts w:ascii="Times New Roman" w:eastAsia="Times New Roman"/>
                            <w:sz w:val="21"/>
                          </w:rPr>
                          <w:t xml:space="preserve">6+050 </w:t>
                        </w:r>
                        <w:r>
                          <w:rPr>
                            <w:sz w:val="21"/>
                          </w:rPr>
                          <w:t>东岸</w:t>
                        </w:r>
                      </w:p>
                    </w:tc>
                    <w:tc>
                      <w:tcPr>
                        <w:tcW w:w="1807"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245" w:right="215"/>
                          <w:jc w:val="center"/>
                          <w:rPr>
                            <w:rFonts w:ascii="Times New Roman"/>
                            <w:sz w:val="21"/>
                          </w:rPr>
                        </w:pPr>
                        <w:r>
                          <w:rPr>
                            <w:rFonts w:ascii="Times New Roman"/>
                            <w:sz w:val="21"/>
                          </w:rPr>
                          <w:t>4+300~9+576</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354"/>
                          <w:rPr>
                            <w:rFonts w:ascii="Times New Roman"/>
                            <w:sz w:val="21"/>
                          </w:rPr>
                        </w:pPr>
                        <w:r>
                          <w:rPr>
                            <w:rFonts w:ascii="Times New Roman"/>
                            <w:sz w:val="21"/>
                          </w:rPr>
                          <w:t>96.60</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before="1" w:line="251" w:lineRule="exact"/>
                          <w:ind w:left="41" w:right="17"/>
                          <w:jc w:val="center"/>
                          <w:rPr>
                            <w:sz w:val="21"/>
                          </w:rPr>
                        </w:pPr>
                        <w:r>
                          <w:rPr>
                            <w:sz w:val="21"/>
                          </w:rPr>
                          <w:t>蟹塘</w:t>
                        </w:r>
                      </w:p>
                    </w:tc>
                    <w:tc>
                      <w:tcPr>
                        <w:tcW w:w="970" w:type="dxa"/>
                        <w:tcBorders>
                          <w:top w:val="single" w:sz="4" w:space="0" w:color="000000"/>
                          <w:left w:val="single" w:sz="4" w:space="0" w:color="000000"/>
                          <w:bottom w:val="single" w:sz="4" w:space="0" w:color="000000"/>
                          <w:right w:val="nil"/>
                        </w:tcBorders>
                      </w:tcPr>
                      <w:p>
                        <w:pPr>
                          <w:pStyle w:val="TableParagraph"/>
                          <w:spacing w:before="15" w:line="237" w:lineRule="exact"/>
                          <w:ind w:left="346" w:right="316"/>
                          <w:jc w:val="center"/>
                          <w:rPr>
                            <w:rFonts w:ascii="Times New Roman"/>
                            <w:sz w:val="21"/>
                          </w:rPr>
                        </w:pPr>
                        <w:r>
                          <w:rPr>
                            <w:rFonts w:ascii="Times New Roman"/>
                            <w:sz w:val="21"/>
                          </w:rPr>
                          <w:t>2.5</w:t>
                        </w:r>
                      </w:p>
                    </w:tc>
                  </w:tr>
                  <w:tr>
                    <w:tblPrEx>
                      <w:tblW w:w="0" w:type="auto"/>
                      <w:jc w:val="left"/>
                      <w:tblInd w:w="7" w:type="dxa"/>
                      <w:tblLayout w:type="fixed"/>
                      <w:tblCellMar>
                        <w:top w:w="0" w:type="dxa"/>
                        <w:left w:w="0" w:type="dxa"/>
                        <w:bottom w:w="0" w:type="dxa"/>
                        <w:right w:w="0" w:type="dxa"/>
                      </w:tblCellMar>
                      <w:tblLook w:val="01E0"/>
                    </w:tblPrEx>
                    <w:trPr>
                      <w:trHeight w:val="273"/>
                      <w:jc w:val="left"/>
                    </w:trPr>
                    <w:tc>
                      <w:tcPr>
                        <w:tcW w:w="540" w:type="dxa"/>
                        <w:tcBorders>
                          <w:top w:val="single" w:sz="4" w:space="0" w:color="000000"/>
                          <w:left w:val="nil"/>
                          <w:bottom w:val="single" w:sz="4" w:space="0" w:color="000000"/>
                          <w:right w:val="single" w:sz="4" w:space="0" w:color="000000"/>
                        </w:tcBorders>
                      </w:tcPr>
                      <w:p>
                        <w:pPr>
                          <w:pStyle w:val="TableParagraph"/>
                          <w:spacing w:before="14" w:line="239" w:lineRule="exact"/>
                          <w:ind w:left="26"/>
                          <w:jc w:val="center"/>
                          <w:rPr>
                            <w:rFonts w:ascii="Times New Roman"/>
                            <w:sz w:val="21"/>
                          </w:rPr>
                        </w:pPr>
                        <w:r>
                          <w:rPr>
                            <w:rFonts w:ascii="Times New Roman"/>
                            <w:w w:val="99"/>
                            <w:sz w:val="21"/>
                          </w:rPr>
                          <w:t>3</w:t>
                        </w:r>
                      </w:p>
                    </w:tc>
                    <w:tc>
                      <w:tcPr>
                        <w:tcW w:w="762" w:type="dxa"/>
                        <w:tcBorders>
                          <w:top w:val="single" w:sz="4" w:space="0" w:color="000000"/>
                          <w:left w:val="single" w:sz="4" w:space="0" w:color="000000"/>
                          <w:bottom w:val="single" w:sz="4" w:space="0" w:color="000000"/>
                          <w:right w:val="single" w:sz="4" w:space="0" w:color="000000"/>
                        </w:tcBorders>
                      </w:tcPr>
                      <w:p>
                        <w:pPr>
                          <w:pStyle w:val="TableParagraph"/>
                          <w:spacing w:before="14" w:line="239" w:lineRule="exact"/>
                          <w:ind w:left="53" w:right="24"/>
                          <w:jc w:val="center"/>
                          <w:rPr>
                            <w:rFonts w:ascii="Times New Roman"/>
                            <w:sz w:val="21"/>
                          </w:rPr>
                        </w:pPr>
                        <w:r>
                          <w:rPr>
                            <w:rFonts w:ascii="Times New Roman"/>
                            <w:sz w:val="21"/>
                          </w:rPr>
                          <w:t>3#</w:t>
                        </w:r>
                      </w:p>
                    </w:tc>
                    <w:tc>
                      <w:tcPr>
                        <w:tcW w:w="1793"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45" w:right="121"/>
                          <w:jc w:val="center"/>
                          <w:rPr>
                            <w:sz w:val="21"/>
                          </w:rPr>
                        </w:pPr>
                        <w:r>
                          <w:rPr>
                            <w:rFonts w:ascii="Times New Roman" w:eastAsia="Times New Roman"/>
                            <w:sz w:val="21"/>
                          </w:rPr>
                          <w:t xml:space="preserve">9+671 </w:t>
                        </w:r>
                        <w:r>
                          <w:rPr>
                            <w:sz w:val="21"/>
                          </w:rPr>
                          <w:t>西岸</w:t>
                        </w:r>
                      </w:p>
                    </w:tc>
                    <w:tc>
                      <w:tcPr>
                        <w:tcW w:w="1807" w:type="dxa"/>
                        <w:tcBorders>
                          <w:top w:val="single" w:sz="4" w:space="0" w:color="000000"/>
                          <w:left w:val="single" w:sz="4" w:space="0" w:color="000000"/>
                          <w:bottom w:val="single" w:sz="4" w:space="0" w:color="000000"/>
                          <w:right w:val="single" w:sz="4" w:space="0" w:color="000000"/>
                        </w:tcBorders>
                      </w:tcPr>
                      <w:p>
                        <w:pPr>
                          <w:pStyle w:val="TableParagraph"/>
                          <w:spacing w:before="14" w:line="239" w:lineRule="exact"/>
                          <w:ind w:left="245" w:right="215"/>
                          <w:jc w:val="center"/>
                          <w:rPr>
                            <w:rFonts w:ascii="Times New Roman"/>
                            <w:sz w:val="21"/>
                          </w:rPr>
                        </w:pPr>
                        <w:r>
                          <w:rPr>
                            <w:rFonts w:ascii="Times New Roman"/>
                            <w:sz w:val="21"/>
                          </w:rPr>
                          <w:t>9+576~13+540</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before="14" w:line="239" w:lineRule="exact"/>
                          <w:ind w:left="354"/>
                          <w:rPr>
                            <w:rFonts w:ascii="Times New Roman"/>
                            <w:sz w:val="21"/>
                          </w:rPr>
                        </w:pPr>
                        <w:r>
                          <w:rPr>
                            <w:rFonts w:ascii="Times New Roman"/>
                            <w:sz w:val="21"/>
                          </w:rPr>
                          <w:t>64.67</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41" w:right="17"/>
                          <w:jc w:val="center"/>
                          <w:rPr>
                            <w:sz w:val="21"/>
                          </w:rPr>
                        </w:pPr>
                        <w:r>
                          <w:rPr>
                            <w:sz w:val="21"/>
                          </w:rPr>
                          <w:t>蟹塘</w:t>
                        </w:r>
                      </w:p>
                    </w:tc>
                    <w:tc>
                      <w:tcPr>
                        <w:tcW w:w="970" w:type="dxa"/>
                        <w:tcBorders>
                          <w:top w:val="single" w:sz="4" w:space="0" w:color="000000"/>
                          <w:left w:val="single" w:sz="4" w:space="0" w:color="000000"/>
                          <w:bottom w:val="single" w:sz="4" w:space="0" w:color="000000"/>
                          <w:right w:val="nil"/>
                        </w:tcBorders>
                      </w:tcPr>
                      <w:p>
                        <w:pPr>
                          <w:pStyle w:val="TableParagraph"/>
                          <w:spacing w:before="14" w:line="239" w:lineRule="exact"/>
                          <w:ind w:left="346" w:right="316"/>
                          <w:jc w:val="center"/>
                          <w:rPr>
                            <w:rFonts w:ascii="Times New Roman"/>
                            <w:sz w:val="21"/>
                          </w:rPr>
                        </w:pPr>
                        <w:r>
                          <w:rPr>
                            <w:rFonts w:ascii="Times New Roman"/>
                            <w:sz w:val="21"/>
                          </w:rPr>
                          <w:t>2.5</w:t>
                        </w:r>
                      </w:p>
                    </w:tc>
                  </w:tr>
                  <w:tr>
                    <w:tblPrEx>
                      <w:tblW w:w="0" w:type="auto"/>
                      <w:jc w:val="left"/>
                      <w:tblInd w:w="7" w:type="dxa"/>
                      <w:tblLayout w:type="fixed"/>
                      <w:tblCellMar>
                        <w:top w:w="0" w:type="dxa"/>
                        <w:left w:w="0" w:type="dxa"/>
                        <w:bottom w:w="0" w:type="dxa"/>
                        <w:right w:w="0" w:type="dxa"/>
                      </w:tblCellMar>
                      <w:tblLook w:val="01E0"/>
                    </w:tblPrEx>
                    <w:trPr>
                      <w:trHeight w:val="271"/>
                      <w:jc w:val="left"/>
                    </w:trPr>
                    <w:tc>
                      <w:tcPr>
                        <w:tcW w:w="540" w:type="dxa"/>
                        <w:tcBorders>
                          <w:top w:val="single" w:sz="4" w:space="0" w:color="000000"/>
                          <w:left w:val="nil"/>
                          <w:right w:val="single" w:sz="4" w:space="0" w:color="000000"/>
                        </w:tcBorders>
                      </w:tcPr>
                      <w:p>
                        <w:pPr>
                          <w:pStyle w:val="TableParagraph"/>
                          <w:spacing w:line="251" w:lineRule="exact"/>
                          <w:ind w:left="49" w:right="22"/>
                          <w:jc w:val="center"/>
                          <w:rPr>
                            <w:sz w:val="21"/>
                          </w:rPr>
                        </w:pPr>
                        <w:r>
                          <w:rPr>
                            <w:sz w:val="21"/>
                          </w:rPr>
                          <w:t>合计</w:t>
                        </w:r>
                      </w:p>
                    </w:tc>
                    <w:tc>
                      <w:tcPr>
                        <w:tcW w:w="762" w:type="dxa"/>
                        <w:tcBorders>
                          <w:top w:val="single" w:sz="4" w:space="0" w:color="000000"/>
                          <w:left w:val="single" w:sz="4" w:space="0" w:color="000000"/>
                          <w:right w:val="single" w:sz="4" w:space="0" w:color="000000"/>
                        </w:tcBorders>
                      </w:tcPr>
                      <w:p>
                        <w:pPr>
                          <w:pStyle w:val="TableParagraph"/>
                          <w:spacing w:before="14" w:line="237" w:lineRule="exact"/>
                          <w:ind w:left="26"/>
                          <w:jc w:val="center"/>
                          <w:rPr>
                            <w:rFonts w:ascii="Times New Roman"/>
                            <w:sz w:val="21"/>
                          </w:rPr>
                        </w:pPr>
                        <w:r>
                          <w:rPr>
                            <w:rFonts w:ascii="Times New Roman"/>
                            <w:w w:val="99"/>
                            <w:sz w:val="21"/>
                          </w:rPr>
                          <w:t>/</w:t>
                        </w:r>
                      </w:p>
                    </w:tc>
                    <w:tc>
                      <w:tcPr>
                        <w:tcW w:w="1793" w:type="dxa"/>
                        <w:tcBorders>
                          <w:top w:val="single" w:sz="4" w:space="0" w:color="000000"/>
                          <w:left w:val="single" w:sz="4" w:space="0" w:color="000000"/>
                          <w:right w:val="single" w:sz="4" w:space="0" w:color="000000"/>
                        </w:tcBorders>
                      </w:tcPr>
                      <w:p>
                        <w:pPr>
                          <w:pStyle w:val="TableParagraph"/>
                          <w:spacing w:before="14" w:line="237" w:lineRule="exact"/>
                          <w:ind w:left="29"/>
                          <w:jc w:val="center"/>
                          <w:rPr>
                            <w:rFonts w:ascii="Times New Roman"/>
                            <w:sz w:val="21"/>
                          </w:rPr>
                        </w:pPr>
                        <w:r>
                          <w:rPr>
                            <w:rFonts w:ascii="Times New Roman"/>
                            <w:w w:val="99"/>
                            <w:sz w:val="21"/>
                          </w:rPr>
                          <w:t>/</w:t>
                        </w:r>
                      </w:p>
                    </w:tc>
                    <w:tc>
                      <w:tcPr>
                        <w:tcW w:w="1807" w:type="dxa"/>
                        <w:tcBorders>
                          <w:top w:val="single" w:sz="4" w:space="0" w:color="000000"/>
                          <w:left w:val="single" w:sz="4" w:space="0" w:color="000000"/>
                          <w:right w:val="single" w:sz="4" w:space="0" w:color="000000"/>
                        </w:tcBorders>
                      </w:tcPr>
                      <w:p>
                        <w:pPr>
                          <w:pStyle w:val="TableParagraph"/>
                          <w:spacing w:before="14" w:line="237" w:lineRule="exact"/>
                          <w:ind w:left="29"/>
                          <w:jc w:val="center"/>
                          <w:rPr>
                            <w:rFonts w:ascii="Times New Roman"/>
                            <w:sz w:val="21"/>
                          </w:rPr>
                        </w:pPr>
                        <w:r>
                          <w:rPr>
                            <w:rFonts w:ascii="Times New Roman"/>
                            <w:w w:val="99"/>
                            <w:sz w:val="21"/>
                          </w:rPr>
                          <w:t>/</w:t>
                        </w:r>
                      </w:p>
                    </w:tc>
                    <w:tc>
                      <w:tcPr>
                        <w:tcW w:w="1164" w:type="dxa"/>
                        <w:tcBorders>
                          <w:top w:val="single" w:sz="4" w:space="0" w:color="000000"/>
                          <w:left w:val="single" w:sz="4" w:space="0" w:color="000000"/>
                          <w:right w:val="single" w:sz="4" w:space="0" w:color="000000"/>
                        </w:tcBorders>
                      </w:tcPr>
                      <w:p>
                        <w:pPr>
                          <w:pStyle w:val="TableParagraph"/>
                          <w:spacing w:before="14" w:line="237" w:lineRule="exact"/>
                          <w:ind w:left="301"/>
                          <w:rPr>
                            <w:rFonts w:ascii="Times New Roman"/>
                            <w:sz w:val="21"/>
                          </w:rPr>
                        </w:pPr>
                        <w:r>
                          <w:rPr>
                            <w:rFonts w:ascii="Times New Roman"/>
                            <w:sz w:val="21"/>
                          </w:rPr>
                          <w:t>219.17</w:t>
                        </w:r>
                      </w:p>
                    </w:tc>
                    <w:tc>
                      <w:tcPr>
                        <w:tcW w:w="1164" w:type="dxa"/>
                        <w:tcBorders>
                          <w:top w:val="single" w:sz="4" w:space="0" w:color="000000"/>
                          <w:left w:val="single" w:sz="4" w:space="0" w:color="000000"/>
                          <w:right w:val="single" w:sz="4" w:space="0" w:color="000000"/>
                        </w:tcBorders>
                      </w:tcPr>
                      <w:p>
                        <w:pPr>
                          <w:pStyle w:val="TableParagraph"/>
                          <w:spacing w:before="14" w:line="237" w:lineRule="exact"/>
                          <w:ind w:left="30"/>
                          <w:jc w:val="center"/>
                          <w:rPr>
                            <w:rFonts w:ascii="Times New Roman"/>
                            <w:sz w:val="21"/>
                          </w:rPr>
                        </w:pPr>
                        <w:r>
                          <w:rPr>
                            <w:rFonts w:ascii="Times New Roman"/>
                            <w:w w:val="99"/>
                            <w:sz w:val="21"/>
                          </w:rPr>
                          <w:t>/</w:t>
                        </w:r>
                      </w:p>
                    </w:tc>
                    <w:tc>
                      <w:tcPr>
                        <w:tcW w:w="970" w:type="dxa"/>
                        <w:tcBorders>
                          <w:top w:val="single" w:sz="4" w:space="0" w:color="000000"/>
                          <w:left w:val="single" w:sz="4" w:space="0" w:color="000000"/>
                          <w:right w:val="nil"/>
                        </w:tcBorders>
                      </w:tcPr>
                      <w:p>
                        <w:pPr>
                          <w:pStyle w:val="TableParagraph"/>
                          <w:spacing w:before="14" w:line="237" w:lineRule="exact"/>
                          <w:ind w:left="27"/>
                          <w:jc w:val="center"/>
                          <w:rPr>
                            <w:rFonts w:ascii="Times New Roman"/>
                            <w:sz w:val="21"/>
                          </w:rPr>
                        </w:pPr>
                        <w:r>
                          <w:rPr>
                            <w:rFonts w:ascii="Times New Roman"/>
                            <w:w w:val="99"/>
                            <w:sz w:val="21"/>
                          </w:rPr>
                          <w:t>/</w:t>
                        </w:r>
                      </w:p>
                    </w:tc>
                  </w:tr>
                </w:tbl>
                <w:p>
                  <w:pPr>
                    <w:pStyle w:val="BodyText"/>
                  </w:pPr>
                </w:p>
              </w:txbxContent>
            </v:textbox>
          </v:shape>
        </w:pict>
      </w:r>
      <w:r>
        <w:t>表</w:t>
      </w:r>
      <w:r>
        <w:rPr>
          <w:spacing w:val="-62"/>
        </w:rPr>
        <w:t xml:space="preserve"> </w:t>
      </w:r>
      <w:r>
        <w:rPr>
          <w:rFonts w:ascii="Times New Roman" w:eastAsia="Times New Roman"/>
        </w:rPr>
        <w:t>2-3</w:t>
        <w:tab/>
      </w:r>
      <w:r>
        <w:rPr>
          <w:w w:val="95"/>
        </w:rPr>
        <w:t>排泥场基本情况一览表</w:t>
      </w:r>
    </w:p>
    <w:p>
      <w:pPr>
        <w:pStyle w:val="BodyText"/>
        <w:spacing w:before="2"/>
        <w:rPr>
          <w:b/>
          <w:sz w:val="25"/>
        </w:rPr>
      </w:pPr>
    </w:p>
    <w:p>
      <w:pPr>
        <w:spacing w:before="0"/>
        <w:ind w:left="0" w:right="346" w:firstLine="0"/>
        <w:jc w:val="right"/>
        <w:rPr>
          <w:b/>
          <w:sz w:val="21"/>
        </w:rPr>
      </w:pPr>
      <w:r>
        <w:rPr>
          <w:b/>
          <w:w w:val="99"/>
          <w:sz w:val="21"/>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1"/>
        </w:rPr>
      </w:pPr>
    </w:p>
    <w:p>
      <w:pPr>
        <w:pStyle w:val="BodyText"/>
        <w:ind w:left="1441"/>
      </w:pPr>
      <w:r>
        <w:rPr>
          <w:rFonts w:ascii="Times New Roman" w:eastAsia="Times New Roman"/>
        </w:rPr>
        <w:t>2</w:t>
      </w:r>
      <w:r>
        <w:t>、施工用地工程</w:t>
      </w:r>
    </w:p>
    <w:p>
      <w:pPr>
        <w:pStyle w:val="BodyText"/>
        <w:spacing w:before="158" w:line="364" w:lineRule="auto"/>
        <w:ind w:left="961" w:right="394" w:firstLine="480"/>
        <w:jc w:val="both"/>
      </w:pPr>
      <w:r>
        <w:t>根据河道的施工强度、施工进度安排及对外交通条件等具体情况，将河道工程分成若干个施工区段，各施工段分别布置生产设施。施工机械的修理利用工程附近城镇已有的修配厂进行，施工现场仅考虑机械零配件的更换，施工房屋主要为办公用房和施工仓库，施工房屋在工程附近村庄租用房屋布置。</w:t>
      </w:r>
    </w:p>
    <w:p>
      <w:pPr>
        <w:pStyle w:val="BodyText"/>
        <w:spacing w:line="364" w:lineRule="auto"/>
        <w:ind w:left="961" w:right="394" w:firstLine="480"/>
        <w:jc w:val="both"/>
      </w:pPr>
      <w:r>
        <w:t xml:space="preserve">河道施工生产临时设施占地主要包括建材料场、仓库、设备停放场等，项目不设油料库。根据施工实际情况，本项目建筑物每座设置一处施工临时生产区，每处面积约 </w:t>
      </w:r>
      <w:r>
        <w:rPr>
          <w:rFonts w:ascii="Times New Roman" w:eastAsia="Times New Roman"/>
        </w:rPr>
        <w:t>450m</w:t>
      </w:r>
      <w:r>
        <w:rPr>
          <w:rFonts w:ascii="Times New Roman" w:eastAsia="Times New Roman"/>
          <w:position w:val="8"/>
          <w:sz w:val="15"/>
        </w:rPr>
        <w:t>2</w:t>
      </w:r>
      <w:r>
        <w:t xml:space="preserve">，本项目临时施工区共设置 </w:t>
      </w:r>
      <w:r>
        <w:rPr>
          <w:rFonts w:ascii="Times New Roman" w:eastAsia="Times New Roman"/>
        </w:rPr>
        <w:t xml:space="preserve">13 </w:t>
      </w:r>
      <w:r>
        <w:t>个，则临时施工用地约</w:t>
      </w:r>
      <w:r>
        <w:rPr>
          <w:rFonts w:ascii="Times New Roman" w:eastAsia="Times New Roman"/>
        </w:rPr>
        <w:t>5850m</w:t>
      </w:r>
      <w:r>
        <w:rPr>
          <w:rFonts w:ascii="Times New Roman" w:eastAsia="Times New Roman"/>
          <w:position w:val="8"/>
          <w:sz w:val="15"/>
        </w:rPr>
        <w:t>2</w:t>
      </w:r>
      <w:r>
        <w:t>。</w:t>
      </w:r>
    </w:p>
    <w:p>
      <w:pPr>
        <w:spacing w:after="0" w:line="364" w:lineRule="auto"/>
        <w:jc w:val="both"/>
        <w:sectPr>
          <w:headerReference w:type="default" r:id="rId56"/>
          <w:footerReference w:type="default" r:id="rId57"/>
          <w:pgSz w:w="11910" w:h="16840"/>
          <w:pgMar w:top="1340" w:right="1120" w:bottom="1160" w:left="1220" w:header="891" w:footer="969"/>
          <w:pgNumType w:start="26"/>
          <w:cols w:space="708"/>
        </w:sectPr>
      </w:pPr>
    </w:p>
    <w:p>
      <w:pPr>
        <w:pStyle w:val="BodyText"/>
        <w:spacing w:before="1"/>
        <w:rPr>
          <w:rFonts w:ascii="Times New Roman"/>
          <w:sz w:val="7"/>
        </w:rPr>
      </w:pPr>
      <w:r>
        <w:pict>
          <v:shape id="_x0000_s1046" type="#_x0000_t202" style="width:410.65pt;height:213.85pt;margin-top:462.05pt;margin-left:109.11pt;mso-position-horizontal-relative:page;mso-position-vertical-relative:page;position:absolute;z-index:251668480" filled="f" stroked="f">
            <v:textbox inset="0,0,0,0">
              <w:txbxContent>
                <w:tbl>
                  <w:tblPr>
                    <w:tblStyle w:val="TableNormal23"/>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
                    <w:gridCol w:w="586"/>
                    <w:gridCol w:w="1226"/>
                    <w:gridCol w:w="393"/>
                    <w:gridCol w:w="393"/>
                    <w:gridCol w:w="521"/>
                    <w:gridCol w:w="513"/>
                    <w:gridCol w:w="521"/>
                    <w:gridCol w:w="393"/>
                    <w:gridCol w:w="393"/>
                    <w:gridCol w:w="393"/>
                    <w:gridCol w:w="393"/>
                    <w:gridCol w:w="393"/>
                    <w:gridCol w:w="393"/>
                    <w:gridCol w:w="393"/>
                    <w:gridCol w:w="393"/>
                    <w:gridCol w:w="393"/>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26"/>
                      <w:jc w:val="left"/>
                    </w:trPr>
                    <w:tc>
                      <w:tcPr>
                        <w:tcW w:w="508" w:type="dxa"/>
                        <w:vMerge w:val="restart"/>
                      </w:tcPr>
                      <w:p>
                        <w:pPr>
                          <w:pStyle w:val="TableParagraph"/>
                          <w:spacing w:before="42" w:line="242" w:lineRule="auto"/>
                          <w:ind w:left="147" w:right="139"/>
                          <w:rPr>
                            <w:sz w:val="21"/>
                          </w:rPr>
                        </w:pPr>
                        <w:r>
                          <w:rPr>
                            <w:sz w:val="21"/>
                          </w:rPr>
                          <w:t>序号</w:t>
                        </w:r>
                      </w:p>
                    </w:tc>
                    <w:tc>
                      <w:tcPr>
                        <w:tcW w:w="1812" w:type="dxa"/>
                        <w:gridSpan w:val="2"/>
                        <w:vMerge w:val="restart"/>
                      </w:tcPr>
                      <w:p>
                        <w:pPr>
                          <w:pStyle w:val="TableParagraph"/>
                          <w:spacing w:before="176"/>
                          <w:ind w:left="484"/>
                          <w:rPr>
                            <w:sz w:val="21"/>
                          </w:rPr>
                        </w:pPr>
                        <w:r>
                          <w:rPr>
                            <w:sz w:val="21"/>
                          </w:rPr>
                          <w:t>项目名称</w:t>
                        </w:r>
                      </w:p>
                    </w:tc>
                    <w:tc>
                      <w:tcPr>
                        <w:tcW w:w="2341" w:type="dxa"/>
                        <w:gridSpan w:val="5"/>
                      </w:tcPr>
                      <w:p>
                        <w:pPr>
                          <w:pStyle w:val="TableParagraph"/>
                          <w:spacing w:before="27"/>
                          <w:ind w:left="807" w:right="801"/>
                          <w:jc w:val="center"/>
                          <w:rPr>
                            <w:sz w:val="21"/>
                          </w:rPr>
                        </w:pPr>
                        <w:r>
                          <w:rPr>
                            <w:rFonts w:ascii="Times New Roman" w:eastAsia="Times New Roman"/>
                            <w:sz w:val="21"/>
                          </w:rPr>
                          <w:t xml:space="preserve">2023 </w:t>
                        </w:r>
                        <w:r>
                          <w:rPr>
                            <w:sz w:val="21"/>
                          </w:rPr>
                          <w:t>年</w:t>
                        </w:r>
                      </w:p>
                    </w:tc>
                    <w:tc>
                      <w:tcPr>
                        <w:tcW w:w="3537" w:type="dxa"/>
                        <w:gridSpan w:val="9"/>
                      </w:tcPr>
                      <w:p>
                        <w:pPr>
                          <w:pStyle w:val="TableParagraph"/>
                          <w:spacing w:before="27"/>
                          <w:ind w:left="1406" w:right="1398"/>
                          <w:jc w:val="center"/>
                          <w:rPr>
                            <w:sz w:val="21"/>
                          </w:rPr>
                        </w:pPr>
                        <w:r>
                          <w:rPr>
                            <w:rFonts w:ascii="Times New Roman" w:eastAsia="Times New Roman"/>
                            <w:sz w:val="21"/>
                          </w:rPr>
                          <w:t xml:space="preserve">2024 </w:t>
                        </w:r>
                        <w:r>
                          <w:rPr>
                            <w:sz w:val="21"/>
                          </w:rPr>
                          <w:t>年</w:t>
                        </w:r>
                      </w:p>
                    </w:tc>
                  </w:tr>
                  <w:tr>
                    <w:tblPrEx>
                      <w:tblW w:w="0" w:type="auto"/>
                      <w:jc w:val="left"/>
                      <w:tblInd w:w="5" w:type="dxa"/>
                      <w:tblLayout w:type="fixed"/>
                      <w:tblCellMar>
                        <w:top w:w="0" w:type="dxa"/>
                        <w:left w:w="0" w:type="dxa"/>
                        <w:bottom w:w="0" w:type="dxa"/>
                        <w:right w:w="0" w:type="dxa"/>
                      </w:tblCellMar>
                      <w:tblLook w:val="01E0"/>
                    </w:tblPrEx>
                    <w:trPr>
                      <w:trHeight w:val="291"/>
                      <w:jc w:val="left"/>
                    </w:trPr>
                    <w:tc>
                      <w:tcPr>
                        <w:tcW w:w="508" w:type="dxa"/>
                        <w:vMerge/>
                        <w:tcBorders>
                          <w:top w:val="nil"/>
                        </w:tcBorders>
                      </w:tcPr>
                      <w:p>
                        <w:pPr>
                          <w:rPr>
                            <w:sz w:val="2"/>
                            <w:szCs w:val="2"/>
                          </w:rPr>
                        </w:pPr>
                      </w:p>
                    </w:tc>
                    <w:tc>
                      <w:tcPr>
                        <w:tcW w:w="1812" w:type="dxa"/>
                        <w:gridSpan w:val="2"/>
                        <w:vMerge/>
                        <w:tcBorders>
                          <w:top w:val="nil"/>
                        </w:tcBorders>
                      </w:tcPr>
                      <w:p>
                        <w:pPr>
                          <w:rPr>
                            <w:sz w:val="2"/>
                            <w:szCs w:val="2"/>
                          </w:rPr>
                        </w:pPr>
                      </w:p>
                    </w:tc>
                    <w:tc>
                      <w:tcPr>
                        <w:tcW w:w="393" w:type="dxa"/>
                      </w:tcPr>
                      <w:p>
                        <w:pPr>
                          <w:pStyle w:val="TableParagraph"/>
                          <w:spacing w:before="23"/>
                          <w:ind w:left="9"/>
                          <w:jc w:val="center"/>
                          <w:rPr>
                            <w:rFonts w:ascii="Times New Roman"/>
                            <w:sz w:val="21"/>
                          </w:rPr>
                        </w:pPr>
                        <w:r>
                          <w:rPr>
                            <w:rFonts w:ascii="Times New Roman"/>
                            <w:w w:val="99"/>
                            <w:sz w:val="21"/>
                          </w:rPr>
                          <w:t>8</w:t>
                        </w:r>
                      </w:p>
                    </w:tc>
                    <w:tc>
                      <w:tcPr>
                        <w:tcW w:w="393" w:type="dxa"/>
                      </w:tcPr>
                      <w:p>
                        <w:pPr>
                          <w:pStyle w:val="TableParagraph"/>
                          <w:spacing w:before="23"/>
                          <w:ind w:left="10"/>
                          <w:jc w:val="center"/>
                          <w:rPr>
                            <w:rFonts w:ascii="Times New Roman"/>
                            <w:sz w:val="21"/>
                          </w:rPr>
                        </w:pPr>
                        <w:r>
                          <w:rPr>
                            <w:rFonts w:ascii="Times New Roman"/>
                            <w:w w:val="99"/>
                            <w:sz w:val="21"/>
                          </w:rPr>
                          <w:t>9</w:t>
                        </w:r>
                      </w:p>
                    </w:tc>
                    <w:tc>
                      <w:tcPr>
                        <w:tcW w:w="521" w:type="dxa"/>
                      </w:tcPr>
                      <w:p>
                        <w:pPr>
                          <w:pStyle w:val="TableParagraph"/>
                          <w:spacing w:before="23"/>
                          <w:ind w:left="154"/>
                          <w:rPr>
                            <w:rFonts w:ascii="Times New Roman"/>
                            <w:sz w:val="21"/>
                          </w:rPr>
                        </w:pPr>
                        <w:r>
                          <w:rPr>
                            <w:rFonts w:ascii="Times New Roman"/>
                            <w:sz w:val="21"/>
                          </w:rPr>
                          <w:t>10</w:t>
                        </w:r>
                      </w:p>
                    </w:tc>
                    <w:tc>
                      <w:tcPr>
                        <w:tcW w:w="513" w:type="dxa"/>
                      </w:tcPr>
                      <w:p>
                        <w:pPr>
                          <w:pStyle w:val="TableParagraph"/>
                          <w:spacing w:before="23"/>
                          <w:ind w:left="154"/>
                          <w:rPr>
                            <w:rFonts w:ascii="Times New Roman"/>
                            <w:sz w:val="21"/>
                          </w:rPr>
                        </w:pPr>
                        <w:r>
                          <w:rPr>
                            <w:rFonts w:ascii="Times New Roman"/>
                            <w:sz w:val="21"/>
                          </w:rPr>
                          <w:t>11</w:t>
                        </w:r>
                      </w:p>
                    </w:tc>
                    <w:tc>
                      <w:tcPr>
                        <w:tcW w:w="521" w:type="dxa"/>
                      </w:tcPr>
                      <w:p>
                        <w:pPr>
                          <w:pStyle w:val="TableParagraph"/>
                          <w:spacing w:before="23"/>
                          <w:ind w:left="155"/>
                          <w:rPr>
                            <w:rFonts w:ascii="Times New Roman"/>
                            <w:sz w:val="21"/>
                          </w:rPr>
                        </w:pPr>
                        <w:r>
                          <w:rPr>
                            <w:rFonts w:ascii="Times New Roman"/>
                            <w:sz w:val="21"/>
                          </w:rPr>
                          <w:t>12</w:t>
                        </w:r>
                      </w:p>
                    </w:tc>
                    <w:tc>
                      <w:tcPr>
                        <w:tcW w:w="393" w:type="dxa"/>
                      </w:tcPr>
                      <w:p>
                        <w:pPr>
                          <w:pStyle w:val="TableParagraph"/>
                          <w:spacing w:before="23"/>
                          <w:ind w:left="7"/>
                          <w:jc w:val="center"/>
                          <w:rPr>
                            <w:rFonts w:ascii="Times New Roman"/>
                            <w:sz w:val="21"/>
                          </w:rPr>
                        </w:pPr>
                        <w:r>
                          <w:rPr>
                            <w:rFonts w:ascii="Times New Roman"/>
                            <w:w w:val="99"/>
                            <w:sz w:val="21"/>
                          </w:rPr>
                          <w:t>1</w:t>
                        </w:r>
                      </w:p>
                    </w:tc>
                    <w:tc>
                      <w:tcPr>
                        <w:tcW w:w="393" w:type="dxa"/>
                      </w:tcPr>
                      <w:p>
                        <w:pPr>
                          <w:pStyle w:val="TableParagraph"/>
                          <w:spacing w:before="23"/>
                          <w:ind w:left="8"/>
                          <w:jc w:val="center"/>
                          <w:rPr>
                            <w:rFonts w:ascii="Times New Roman"/>
                            <w:sz w:val="21"/>
                          </w:rPr>
                        </w:pPr>
                        <w:r>
                          <w:rPr>
                            <w:rFonts w:ascii="Times New Roman"/>
                            <w:w w:val="99"/>
                            <w:sz w:val="21"/>
                          </w:rPr>
                          <w:t>2</w:t>
                        </w:r>
                      </w:p>
                    </w:tc>
                    <w:tc>
                      <w:tcPr>
                        <w:tcW w:w="393" w:type="dxa"/>
                      </w:tcPr>
                      <w:p>
                        <w:pPr>
                          <w:pStyle w:val="TableParagraph"/>
                          <w:spacing w:before="23"/>
                          <w:ind w:left="9"/>
                          <w:jc w:val="center"/>
                          <w:rPr>
                            <w:rFonts w:ascii="Times New Roman"/>
                            <w:sz w:val="21"/>
                          </w:rPr>
                        </w:pPr>
                        <w:r>
                          <w:rPr>
                            <w:rFonts w:ascii="Times New Roman"/>
                            <w:w w:val="99"/>
                            <w:sz w:val="21"/>
                          </w:rPr>
                          <w:t>3</w:t>
                        </w:r>
                      </w:p>
                    </w:tc>
                    <w:tc>
                      <w:tcPr>
                        <w:tcW w:w="393" w:type="dxa"/>
                      </w:tcPr>
                      <w:p>
                        <w:pPr>
                          <w:pStyle w:val="TableParagraph"/>
                          <w:spacing w:before="23"/>
                          <w:ind w:left="11"/>
                          <w:jc w:val="center"/>
                          <w:rPr>
                            <w:rFonts w:ascii="Times New Roman"/>
                            <w:sz w:val="21"/>
                          </w:rPr>
                        </w:pPr>
                        <w:r>
                          <w:rPr>
                            <w:rFonts w:ascii="Times New Roman"/>
                            <w:w w:val="99"/>
                            <w:sz w:val="21"/>
                          </w:rPr>
                          <w:t>4</w:t>
                        </w:r>
                      </w:p>
                    </w:tc>
                    <w:tc>
                      <w:tcPr>
                        <w:tcW w:w="393" w:type="dxa"/>
                      </w:tcPr>
                      <w:p>
                        <w:pPr>
                          <w:pStyle w:val="TableParagraph"/>
                          <w:spacing w:before="23"/>
                          <w:ind w:left="7"/>
                          <w:jc w:val="center"/>
                          <w:rPr>
                            <w:rFonts w:ascii="Times New Roman"/>
                            <w:sz w:val="21"/>
                          </w:rPr>
                        </w:pPr>
                        <w:r>
                          <w:rPr>
                            <w:rFonts w:ascii="Times New Roman"/>
                            <w:w w:val="99"/>
                            <w:sz w:val="21"/>
                          </w:rPr>
                          <w:t>5</w:t>
                        </w:r>
                      </w:p>
                    </w:tc>
                    <w:tc>
                      <w:tcPr>
                        <w:tcW w:w="393" w:type="dxa"/>
                      </w:tcPr>
                      <w:p>
                        <w:pPr>
                          <w:pStyle w:val="TableParagraph"/>
                          <w:spacing w:before="23"/>
                          <w:ind w:left="8"/>
                          <w:jc w:val="center"/>
                          <w:rPr>
                            <w:rFonts w:ascii="Times New Roman"/>
                            <w:sz w:val="21"/>
                          </w:rPr>
                        </w:pPr>
                        <w:r>
                          <w:rPr>
                            <w:rFonts w:ascii="Times New Roman"/>
                            <w:w w:val="99"/>
                            <w:sz w:val="21"/>
                          </w:rPr>
                          <w:t>6</w:t>
                        </w:r>
                      </w:p>
                    </w:tc>
                    <w:tc>
                      <w:tcPr>
                        <w:tcW w:w="393" w:type="dxa"/>
                      </w:tcPr>
                      <w:p>
                        <w:pPr>
                          <w:pStyle w:val="TableParagraph"/>
                          <w:spacing w:before="23"/>
                          <w:ind w:left="9"/>
                          <w:jc w:val="center"/>
                          <w:rPr>
                            <w:rFonts w:ascii="Times New Roman"/>
                            <w:sz w:val="21"/>
                          </w:rPr>
                        </w:pPr>
                        <w:r>
                          <w:rPr>
                            <w:rFonts w:ascii="Times New Roman"/>
                            <w:w w:val="99"/>
                            <w:sz w:val="21"/>
                          </w:rPr>
                          <w:t>7</w:t>
                        </w:r>
                      </w:p>
                    </w:tc>
                    <w:tc>
                      <w:tcPr>
                        <w:tcW w:w="393" w:type="dxa"/>
                      </w:tcPr>
                      <w:p>
                        <w:pPr>
                          <w:pStyle w:val="TableParagraph"/>
                          <w:spacing w:before="23"/>
                          <w:ind w:left="11"/>
                          <w:jc w:val="center"/>
                          <w:rPr>
                            <w:rFonts w:ascii="Times New Roman"/>
                            <w:sz w:val="21"/>
                          </w:rPr>
                        </w:pPr>
                        <w:r>
                          <w:rPr>
                            <w:rFonts w:ascii="Times New Roman"/>
                            <w:w w:val="99"/>
                            <w:sz w:val="21"/>
                          </w:rPr>
                          <w:t>8</w:t>
                        </w:r>
                      </w:p>
                    </w:tc>
                    <w:tc>
                      <w:tcPr>
                        <w:tcW w:w="393" w:type="dxa"/>
                      </w:tcPr>
                      <w:p>
                        <w:pPr>
                          <w:pStyle w:val="TableParagraph"/>
                          <w:spacing w:before="23"/>
                          <w:ind w:left="7"/>
                          <w:jc w:val="center"/>
                          <w:rPr>
                            <w:rFonts w:ascii="Times New Roman"/>
                            <w:sz w:val="21"/>
                          </w:rPr>
                        </w:pPr>
                        <w:r>
                          <w:rPr>
                            <w:rFonts w:ascii="Times New Roman"/>
                            <w:w w:val="99"/>
                            <w:sz w:val="21"/>
                          </w:rPr>
                          <w:t>9</w:t>
                        </w:r>
                      </w:p>
                    </w:tc>
                  </w:tr>
                  <w:tr>
                    <w:tblPrEx>
                      <w:tblW w:w="0" w:type="auto"/>
                      <w:jc w:val="left"/>
                      <w:tblInd w:w="5" w:type="dxa"/>
                      <w:tblLayout w:type="fixed"/>
                      <w:tblCellMar>
                        <w:top w:w="0" w:type="dxa"/>
                        <w:left w:w="0" w:type="dxa"/>
                        <w:bottom w:w="0" w:type="dxa"/>
                        <w:right w:w="0" w:type="dxa"/>
                      </w:tblCellMar>
                      <w:tblLook w:val="01E0"/>
                    </w:tblPrEx>
                    <w:trPr>
                      <w:trHeight w:val="117"/>
                      <w:jc w:val="left"/>
                    </w:trPr>
                    <w:tc>
                      <w:tcPr>
                        <w:tcW w:w="508" w:type="dxa"/>
                        <w:vMerge w:val="restart"/>
                      </w:tcPr>
                      <w:p>
                        <w:pPr>
                          <w:pStyle w:val="TableParagraph"/>
                          <w:spacing w:before="8" w:line="262" w:lineRule="exact"/>
                          <w:ind w:left="147"/>
                          <w:rPr>
                            <w:sz w:val="21"/>
                          </w:rPr>
                        </w:pPr>
                        <w:r>
                          <w:rPr>
                            <w:w w:val="99"/>
                            <w:sz w:val="21"/>
                          </w:rPr>
                          <w:t>一</w:t>
                        </w:r>
                      </w:p>
                    </w:tc>
                    <w:tc>
                      <w:tcPr>
                        <w:tcW w:w="1812" w:type="dxa"/>
                        <w:gridSpan w:val="2"/>
                        <w:vMerge w:val="restart"/>
                      </w:tcPr>
                      <w:p>
                        <w:pPr>
                          <w:pStyle w:val="TableParagraph"/>
                          <w:spacing w:before="8" w:line="262" w:lineRule="exact"/>
                          <w:ind w:left="381"/>
                          <w:rPr>
                            <w:sz w:val="21"/>
                          </w:rPr>
                        </w:pPr>
                        <w:r>
                          <w:rPr>
                            <w:sz w:val="21"/>
                          </w:rPr>
                          <w:t>工程筹建期</w:t>
                        </w:r>
                      </w:p>
                    </w:tc>
                    <w:tc>
                      <w:tcPr>
                        <w:tcW w:w="393" w:type="dxa"/>
                        <w:tcBorders>
                          <w:bottom w:val="single" w:sz="18" w:space="0" w:color="000000"/>
                        </w:tcBorders>
                      </w:tcPr>
                      <w:p>
                        <w:pPr>
                          <w:pStyle w:val="TableParagraph"/>
                          <w:rPr>
                            <w:rFonts w:ascii="Times New Roman"/>
                            <w:sz w:val="6"/>
                          </w:rPr>
                        </w:pPr>
                      </w:p>
                    </w:tc>
                    <w:tc>
                      <w:tcPr>
                        <w:tcW w:w="393" w:type="dxa"/>
                        <w:tcBorders>
                          <w:bottom w:val="single" w:sz="18" w:space="0" w:color="000000"/>
                        </w:tcBorders>
                      </w:tcPr>
                      <w:p>
                        <w:pPr>
                          <w:pStyle w:val="TableParagraph"/>
                          <w:rPr>
                            <w:rFonts w:ascii="Times New Roman"/>
                            <w:sz w:val="6"/>
                          </w:rPr>
                        </w:pPr>
                      </w:p>
                    </w:tc>
                    <w:tc>
                      <w:tcPr>
                        <w:tcW w:w="521" w:type="dxa"/>
                        <w:tcBorders>
                          <w:bottom w:val="single" w:sz="18" w:space="0" w:color="000000"/>
                        </w:tcBorders>
                      </w:tcPr>
                      <w:p>
                        <w:pPr>
                          <w:pStyle w:val="TableParagraph"/>
                          <w:rPr>
                            <w:rFonts w:ascii="Times New Roman"/>
                            <w:sz w:val="6"/>
                          </w:rPr>
                        </w:pPr>
                      </w:p>
                    </w:tc>
                    <w:tc>
                      <w:tcPr>
                        <w:tcW w:w="513" w:type="dxa"/>
                        <w:vMerge w:val="restart"/>
                      </w:tcPr>
                      <w:p>
                        <w:pPr>
                          <w:pStyle w:val="TableParagraph"/>
                          <w:rPr>
                            <w:rFonts w:ascii="Times New Roman"/>
                            <w:sz w:val="20"/>
                          </w:rPr>
                        </w:pPr>
                      </w:p>
                    </w:tc>
                    <w:tc>
                      <w:tcPr>
                        <w:tcW w:w="521"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c>
                      <w:tcPr>
                        <w:tcW w:w="393" w:type="dxa"/>
                        <w:vMerge w:val="restart"/>
                      </w:tcPr>
                      <w:p>
                        <w:pPr>
                          <w:pStyle w:val="TableParagraph"/>
                          <w:rPr>
                            <w:rFonts w:ascii="Times New Roman"/>
                            <w:sz w:val="20"/>
                          </w:rPr>
                        </w:pPr>
                      </w:p>
                    </w:tc>
                  </w:tr>
                  <w:tr>
                    <w:tblPrEx>
                      <w:tblW w:w="0" w:type="auto"/>
                      <w:jc w:val="left"/>
                      <w:tblInd w:w="5" w:type="dxa"/>
                      <w:tblLayout w:type="fixed"/>
                      <w:tblCellMar>
                        <w:top w:w="0" w:type="dxa"/>
                        <w:left w:w="0" w:type="dxa"/>
                        <w:bottom w:w="0" w:type="dxa"/>
                        <w:right w:w="0" w:type="dxa"/>
                      </w:tblCellMar>
                      <w:tblLook w:val="01E0"/>
                    </w:tblPrEx>
                    <w:trPr>
                      <w:trHeight w:val="128"/>
                      <w:jc w:val="left"/>
                    </w:trPr>
                    <w:tc>
                      <w:tcPr>
                        <w:tcW w:w="508" w:type="dxa"/>
                        <w:vMerge/>
                        <w:tcBorders>
                          <w:top w:val="nil"/>
                        </w:tcBorders>
                      </w:tcPr>
                      <w:p>
                        <w:pPr>
                          <w:rPr>
                            <w:sz w:val="2"/>
                            <w:szCs w:val="2"/>
                          </w:rPr>
                        </w:pPr>
                      </w:p>
                    </w:tc>
                    <w:tc>
                      <w:tcPr>
                        <w:tcW w:w="1812" w:type="dxa"/>
                        <w:gridSpan w:val="2"/>
                        <w:vMerge/>
                        <w:tcBorders>
                          <w:top w:val="nil"/>
                        </w:tcBorders>
                      </w:tcPr>
                      <w:p>
                        <w:pPr>
                          <w:rPr>
                            <w:sz w:val="2"/>
                            <w:szCs w:val="2"/>
                          </w:rPr>
                        </w:pPr>
                      </w:p>
                    </w:tc>
                    <w:tc>
                      <w:tcPr>
                        <w:tcW w:w="393" w:type="dxa"/>
                        <w:tcBorders>
                          <w:top w:val="single" w:sz="18" w:space="0" w:color="000000"/>
                        </w:tcBorders>
                      </w:tcPr>
                      <w:p>
                        <w:pPr>
                          <w:pStyle w:val="TableParagraph"/>
                          <w:rPr>
                            <w:rFonts w:ascii="Times New Roman"/>
                            <w:sz w:val="6"/>
                          </w:rPr>
                        </w:pPr>
                      </w:p>
                    </w:tc>
                    <w:tc>
                      <w:tcPr>
                        <w:tcW w:w="393" w:type="dxa"/>
                        <w:tcBorders>
                          <w:top w:val="single" w:sz="18" w:space="0" w:color="000000"/>
                        </w:tcBorders>
                      </w:tcPr>
                      <w:p>
                        <w:pPr>
                          <w:pStyle w:val="TableParagraph"/>
                          <w:rPr>
                            <w:rFonts w:ascii="Times New Roman"/>
                            <w:sz w:val="6"/>
                          </w:rPr>
                        </w:pPr>
                      </w:p>
                    </w:tc>
                    <w:tc>
                      <w:tcPr>
                        <w:tcW w:w="521" w:type="dxa"/>
                        <w:tcBorders>
                          <w:top w:val="single" w:sz="18" w:space="0" w:color="000000"/>
                        </w:tcBorders>
                      </w:tcPr>
                      <w:p>
                        <w:pPr>
                          <w:pStyle w:val="TableParagraph"/>
                          <w:rPr>
                            <w:rFonts w:ascii="Times New Roman"/>
                            <w:sz w:val="6"/>
                          </w:rPr>
                        </w:pPr>
                      </w:p>
                    </w:tc>
                    <w:tc>
                      <w:tcPr>
                        <w:tcW w:w="513" w:type="dxa"/>
                        <w:vMerge/>
                        <w:tcBorders>
                          <w:top w:val="nil"/>
                        </w:tcBorders>
                      </w:tcPr>
                      <w:p>
                        <w:pPr>
                          <w:rPr>
                            <w:sz w:val="2"/>
                            <w:szCs w:val="2"/>
                          </w:rPr>
                        </w:pPr>
                      </w:p>
                    </w:tc>
                    <w:tc>
                      <w:tcPr>
                        <w:tcW w:w="521"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254"/>
                      <w:jc w:val="left"/>
                    </w:trPr>
                    <w:tc>
                      <w:tcPr>
                        <w:tcW w:w="508" w:type="dxa"/>
                        <w:vMerge w:val="restart"/>
                      </w:tcPr>
                      <w:p>
                        <w:pPr>
                          <w:pStyle w:val="TableParagraph"/>
                          <w:spacing w:before="134"/>
                          <w:ind w:left="147"/>
                          <w:rPr>
                            <w:sz w:val="21"/>
                          </w:rPr>
                        </w:pPr>
                        <w:r>
                          <w:rPr>
                            <w:w w:val="99"/>
                            <w:sz w:val="21"/>
                          </w:rPr>
                          <w:t>二</w:t>
                        </w:r>
                      </w:p>
                    </w:tc>
                    <w:tc>
                      <w:tcPr>
                        <w:tcW w:w="586" w:type="dxa"/>
                        <w:vMerge w:val="restart"/>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8"/>
                          </w:rPr>
                        </w:pPr>
                      </w:p>
                      <w:p>
                        <w:pPr>
                          <w:pStyle w:val="TableParagraph"/>
                          <w:spacing w:before="1" w:line="242" w:lineRule="auto"/>
                          <w:ind w:left="187" w:right="177"/>
                          <w:jc w:val="both"/>
                          <w:rPr>
                            <w:sz w:val="21"/>
                          </w:rPr>
                        </w:pPr>
                        <w:r>
                          <w:rPr>
                            <w:sz w:val="21"/>
                          </w:rPr>
                          <w:t>施工期</w:t>
                        </w:r>
                      </w:p>
                    </w:tc>
                    <w:tc>
                      <w:tcPr>
                        <w:tcW w:w="1226" w:type="dxa"/>
                        <w:vMerge w:val="restart"/>
                      </w:tcPr>
                      <w:p>
                        <w:pPr>
                          <w:pStyle w:val="TableParagraph"/>
                          <w:ind w:left="170" w:right="166"/>
                          <w:jc w:val="center"/>
                          <w:rPr>
                            <w:sz w:val="21"/>
                          </w:rPr>
                        </w:pPr>
                        <w:r>
                          <w:rPr>
                            <w:sz w:val="21"/>
                          </w:rPr>
                          <w:t>工程准备</w:t>
                        </w:r>
                      </w:p>
                      <w:p>
                        <w:pPr>
                          <w:pStyle w:val="TableParagraph"/>
                          <w:spacing w:before="2" w:line="252" w:lineRule="exact"/>
                          <w:ind w:left="9"/>
                          <w:jc w:val="center"/>
                          <w:rPr>
                            <w:sz w:val="21"/>
                          </w:rPr>
                        </w:pPr>
                        <w:r>
                          <w:rPr>
                            <w:w w:val="99"/>
                            <w:sz w:val="21"/>
                          </w:rPr>
                          <w:t>期</w:t>
                        </w: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513" w:type="dxa"/>
                        <w:tcBorders>
                          <w:bottom w:val="single" w:sz="18" w:space="0" w:color="000000"/>
                        </w:tcBorders>
                      </w:tcPr>
                      <w:p>
                        <w:pPr>
                          <w:pStyle w:val="TableParagraph"/>
                          <w:rPr>
                            <w:rFonts w:ascii="Times New Roman"/>
                            <w:sz w:val="18"/>
                          </w:rPr>
                        </w:pPr>
                      </w:p>
                    </w:tc>
                    <w:tc>
                      <w:tcPr>
                        <w:tcW w:w="521"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r>
                  <w:tr>
                    <w:tblPrEx>
                      <w:tblW w:w="0" w:type="auto"/>
                      <w:jc w:val="left"/>
                      <w:tblInd w:w="5" w:type="dxa"/>
                      <w:tblLayout w:type="fixed"/>
                      <w:tblCellMar>
                        <w:top w:w="0" w:type="dxa"/>
                        <w:left w:w="0" w:type="dxa"/>
                        <w:bottom w:w="0" w:type="dxa"/>
                        <w:right w:w="0" w:type="dxa"/>
                      </w:tblCellMar>
                      <w:tblLook w:val="01E0"/>
                    </w:tblPrEx>
                    <w:trPr>
                      <w:trHeight w:val="244"/>
                      <w:jc w:val="left"/>
                    </w:trPr>
                    <w:tc>
                      <w:tcPr>
                        <w:tcW w:w="508" w:type="dxa"/>
                        <w:vMerge/>
                        <w:tcBorders>
                          <w:top w:val="nil"/>
                        </w:tcBorders>
                      </w:tcPr>
                      <w:p>
                        <w:pPr>
                          <w:rPr>
                            <w:sz w:val="2"/>
                            <w:szCs w:val="2"/>
                          </w:rPr>
                        </w:pPr>
                      </w:p>
                    </w:tc>
                    <w:tc>
                      <w:tcPr>
                        <w:tcW w:w="586" w:type="dxa"/>
                        <w:vMerge/>
                        <w:tcBorders>
                          <w:top w:val="nil"/>
                        </w:tcBorders>
                      </w:tcPr>
                      <w:p>
                        <w:pPr>
                          <w:rPr>
                            <w:sz w:val="2"/>
                            <w:szCs w:val="2"/>
                          </w:rPr>
                        </w:pPr>
                      </w:p>
                    </w:tc>
                    <w:tc>
                      <w:tcPr>
                        <w:tcW w:w="1226"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521" w:type="dxa"/>
                        <w:vMerge/>
                        <w:tcBorders>
                          <w:top w:val="nil"/>
                        </w:tcBorders>
                      </w:tcPr>
                      <w:p>
                        <w:pPr>
                          <w:rPr>
                            <w:sz w:val="2"/>
                            <w:szCs w:val="2"/>
                          </w:rPr>
                        </w:pPr>
                      </w:p>
                    </w:tc>
                    <w:tc>
                      <w:tcPr>
                        <w:tcW w:w="513" w:type="dxa"/>
                        <w:tcBorders>
                          <w:top w:val="single" w:sz="18" w:space="0" w:color="000000"/>
                        </w:tcBorders>
                      </w:tcPr>
                      <w:p>
                        <w:pPr>
                          <w:pStyle w:val="TableParagraph"/>
                          <w:rPr>
                            <w:rFonts w:ascii="Times New Roman"/>
                            <w:sz w:val="16"/>
                          </w:rPr>
                        </w:pPr>
                      </w:p>
                    </w:tc>
                    <w:tc>
                      <w:tcPr>
                        <w:tcW w:w="521"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274"/>
                      <w:jc w:val="left"/>
                    </w:trPr>
                    <w:tc>
                      <w:tcPr>
                        <w:tcW w:w="508" w:type="dxa"/>
                        <w:vMerge w:val="restart"/>
                      </w:tcPr>
                      <w:p>
                        <w:pPr>
                          <w:pStyle w:val="TableParagraph"/>
                          <w:spacing w:before="135"/>
                          <w:ind w:left="147"/>
                          <w:rPr>
                            <w:sz w:val="21"/>
                          </w:rPr>
                        </w:pPr>
                        <w:r>
                          <w:rPr>
                            <w:w w:val="99"/>
                            <w:sz w:val="21"/>
                          </w:rPr>
                          <w:t>三</w:t>
                        </w:r>
                      </w:p>
                    </w:tc>
                    <w:tc>
                      <w:tcPr>
                        <w:tcW w:w="586" w:type="dxa"/>
                        <w:vMerge/>
                        <w:tcBorders>
                          <w:top w:val="nil"/>
                        </w:tcBorders>
                      </w:tcPr>
                      <w:p>
                        <w:pPr>
                          <w:rPr>
                            <w:sz w:val="2"/>
                            <w:szCs w:val="2"/>
                          </w:rPr>
                        </w:pPr>
                      </w:p>
                    </w:tc>
                    <w:tc>
                      <w:tcPr>
                        <w:tcW w:w="1226" w:type="dxa"/>
                        <w:vMerge w:val="restart"/>
                      </w:tcPr>
                      <w:p>
                        <w:pPr>
                          <w:pStyle w:val="TableParagraph"/>
                          <w:ind w:left="170" w:right="166"/>
                          <w:jc w:val="center"/>
                          <w:rPr>
                            <w:sz w:val="21"/>
                          </w:rPr>
                        </w:pPr>
                        <w:r>
                          <w:rPr>
                            <w:sz w:val="21"/>
                          </w:rPr>
                          <w:t>主体工程</w:t>
                        </w:r>
                      </w:p>
                      <w:p>
                        <w:pPr>
                          <w:pStyle w:val="TableParagraph"/>
                          <w:spacing w:before="3" w:line="253" w:lineRule="exact"/>
                          <w:ind w:left="170" w:right="163"/>
                          <w:jc w:val="center"/>
                          <w:rPr>
                            <w:sz w:val="21"/>
                          </w:rPr>
                        </w:pPr>
                        <w:r>
                          <w:rPr>
                            <w:sz w:val="21"/>
                          </w:rPr>
                          <w:t>施工期</w:t>
                        </w: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51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r>
                  <w:tr>
                    <w:tblPrEx>
                      <w:tblW w:w="0" w:type="auto"/>
                      <w:jc w:val="left"/>
                      <w:tblInd w:w="5" w:type="dxa"/>
                      <w:tblLayout w:type="fixed"/>
                      <w:tblCellMar>
                        <w:top w:w="0" w:type="dxa"/>
                        <w:left w:w="0" w:type="dxa"/>
                        <w:bottom w:w="0" w:type="dxa"/>
                        <w:right w:w="0" w:type="dxa"/>
                      </w:tblCellMar>
                      <w:tblLook w:val="01E0"/>
                    </w:tblPrEx>
                    <w:trPr>
                      <w:trHeight w:val="225"/>
                      <w:jc w:val="left"/>
                    </w:trPr>
                    <w:tc>
                      <w:tcPr>
                        <w:tcW w:w="508" w:type="dxa"/>
                        <w:vMerge/>
                        <w:tcBorders>
                          <w:top w:val="nil"/>
                        </w:tcBorders>
                      </w:tcPr>
                      <w:p>
                        <w:pPr>
                          <w:rPr>
                            <w:sz w:val="2"/>
                            <w:szCs w:val="2"/>
                          </w:rPr>
                        </w:pPr>
                      </w:p>
                    </w:tc>
                    <w:tc>
                      <w:tcPr>
                        <w:tcW w:w="586" w:type="dxa"/>
                        <w:vMerge/>
                        <w:tcBorders>
                          <w:top w:val="nil"/>
                        </w:tcBorders>
                      </w:tcPr>
                      <w:p>
                        <w:pPr>
                          <w:rPr>
                            <w:sz w:val="2"/>
                            <w:szCs w:val="2"/>
                          </w:rPr>
                        </w:pPr>
                      </w:p>
                    </w:tc>
                    <w:tc>
                      <w:tcPr>
                        <w:tcW w:w="1226"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521" w:type="dxa"/>
                        <w:vMerge/>
                        <w:tcBorders>
                          <w:top w:val="nil"/>
                        </w:tcBorders>
                      </w:tcPr>
                      <w:p>
                        <w:pPr>
                          <w:rPr>
                            <w:sz w:val="2"/>
                            <w:szCs w:val="2"/>
                          </w:rPr>
                        </w:pPr>
                      </w:p>
                    </w:tc>
                    <w:tc>
                      <w:tcPr>
                        <w:tcW w:w="513" w:type="dxa"/>
                        <w:vMerge/>
                        <w:tcBorders>
                          <w:top w:val="nil"/>
                        </w:tcBorders>
                      </w:tcPr>
                      <w:p>
                        <w:pPr>
                          <w:rPr>
                            <w:sz w:val="2"/>
                            <w:szCs w:val="2"/>
                          </w:rPr>
                        </w:pPr>
                      </w:p>
                    </w:tc>
                    <w:tc>
                      <w:tcPr>
                        <w:tcW w:w="521" w:type="dxa"/>
                        <w:vMerge/>
                        <w:tcBorders>
                          <w:top w:val="nil"/>
                        </w:tcBorders>
                      </w:tcPr>
                      <w:p>
                        <w:pPr>
                          <w:rPr>
                            <w:sz w:val="2"/>
                            <w:szCs w:val="2"/>
                          </w:rPr>
                        </w:pPr>
                      </w:p>
                    </w:tc>
                    <w:tc>
                      <w:tcPr>
                        <w:tcW w:w="393" w:type="dxa"/>
                        <w:vMerge/>
                        <w:tcBorders>
                          <w:top w:val="nil"/>
                        </w:tcBorders>
                      </w:tcPr>
                      <w:p>
                        <w:pPr>
                          <w:rPr>
                            <w:sz w:val="2"/>
                            <w:szCs w:val="2"/>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r>
                  <w:tr>
                    <w:tblPrEx>
                      <w:tblW w:w="0" w:type="auto"/>
                      <w:jc w:val="left"/>
                      <w:tblInd w:w="5" w:type="dxa"/>
                      <w:tblLayout w:type="fixed"/>
                      <w:tblCellMar>
                        <w:top w:w="0" w:type="dxa"/>
                        <w:left w:w="0" w:type="dxa"/>
                        <w:bottom w:w="0" w:type="dxa"/>
                        <w:right w:w="0" w:type="dxa"/>
                      </w:tblCellMar>
                      <w:tblLook w:val="01E0"/>
                    </w:tblPrEx>
                    <w:trPr>
                      <w:trHeight w:val="267"/>
                      <w:jc w:val="left"/>
                    </w:trPr>
                    <w:tc>
                      <w:tcPr>
                        <w:tcW w:w="508" w:type="dxa"/>
                        <w:vMerge w:val="restart"/>
                      </w:tcPr>
                      <w:p>
                        <w:pPr>
                          <w:pStyle w:val="TableParagraph"/>
                          <w:spacing w:before="151"/>
                          <w:ind w:left="8"/>
                          <w:jc w:val="center"/>
                          <w:rPr>
                            <w:rFonts w:ascii="Times New Roman"/>
                            <w:sz w:val="21"/>
                          </w:rPr>
                        </w:pPr>
                        <w:r>
                          <w:rPr>
                            <w:rFonts w:ascii="Times New Roman"/>
                            <w:w w:val="99"/>
                            <w:sz w:val="21"/>
                          </w:rPr>
                          <w:t>1</w:t>
                        </w:r>
                      </w:p>
                    </w:tc>
                    <w:tc>
                      <w:tcPr>
                        <w:tcW w:w="586" w:type="dxa"/>
                        <w:vMerge/>
                        <w:tcBorders>
                          <w:top w:val="nil"/>
                        </w:tcBorders>
                      </w:tcPr>
                      <w:p>
                        <w:pPr>
                          <w:rPr>
                            <w:sz w:val="2"/>
                            <w:szCs w:val="2"/>
                          </w:rPr>
                        </w:pPr>
                      </w:p>
                    </w:tc>
                    <w:tc>
                      <w:tcPr>
                        <w:tcW w:w="1226" w:type="dxa"/>
                        <w:vMerge w:val="restart"/>
                      </w:tcPr>
                      <w:p>
                        <w:pPr>
                          <w:pStyle w:val="TableParagraph"/>
                          <w:ind w:left="170" w:right="166"/>
                          <w:jc w:val="center"/>
                          <w:rPr>
                            <w:sz w:val="21"/>
                          </w:rPr>
                        </w:pPr>
                        <w:r>
                          <w:rPr>
                            <w:sz w:val="21"/>
                          </w:rPr>
                          <w:t>河道及防</w:t>
                        </w:r>
                      </w:p>
                      <w:p>
                        <w:pPr>
                          <w:pStyle w:val="TableParagraph"/>
                          <w:spacing w:before="2" w:line="254" w:lineRule="exact"/>
                          <w:ind w:left="170" w:right="163"/>
                          <w:jc w:val="center"/>
                          <w:rPr>
                            <w:sz w:val="21"/>
                          </w:rPr>
                        </w:pPr>
                        <w:r>
                          <w:rPr>
                            <w:sz w:val="21"/>
                          </w:rPr>
                          <w:t>护工程</w:t>
                        </w: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51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r>
                  <w:tr>
                    <w:tblPrEx>
                      <w:tblW w:w="0" w:type="auto"/>
                      <w:jc w:val="left"/>
                      <w:tblInd w:w="5" w:type="dxa"/>
                      <w:tblLayout w:type="fixed"/>
                      <w:tblCellMar>
                        <w:top w:w="0" w:type="dxa"/>
                        <w:left w:w="0" w:type="dxa"/>
                        <w:bottom w:w="0" w:type="dxa"/>
                        <w:right w:w="0" w:type="dxa"/>
                      </w:tblCellMar>
                      <w:tblLook w:val="01E0"/>
                    </w:tblPrEx>
                    <w:trPr>
                      <w:trHeight w:val="232"/>
                      <w:jc w:val="left"/>
                    </w:trPr>
                    <w:tc>
                      <w:tcPr>
                        <w:tcW w:w="508" w:type="dxa"/>
                        <w:vMerge/>
                        <w:tcBorders>
                          <w:top w:val="nil"/>
                        </w:tcBorders>
                      </w:tcPr>
                      <w:p>
                        <w:pPr>
                          <w:rPr>
                            <w:sz w:val="2"/>
                            <w:szCs w:val="2"/>
                          </w:rPr>
                        </w:pPr>
                      </w:p>
                    </w:tc>
                    <w:tc>
                      <w:tcPr>
                        <w:tcW w:w="586" w:type="dxa"/>
                        <w:vMerge/>
                        <w:tcBorders>
                          <w:top w:val="nil"/>
                        </w:tcBorders>
                      </w:tcPr>
                      <w:p>
                        <w:pPr>
                          <w:rPr>
                            <w:sz w:val="2"/>
                            <w:szCs w:val="2"/>
                          </w:rPr>
                        </w:pPr>
                      </w:p>
                    </w:tc>
                    <w:tc>
                      <w:tcPr>
                        <w:tcW w:w="1226"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521" w:type="dxa"/>
                        <w:vMerge/>
                        <w:tcBorders>
                          <w:top w:val="nil"/>
                        </w:tcBorders>
                      </w:tcPr>
                      <w:p>
                        <w:pPr>
                          <w:rPr>
                            <w:sz w:val="2"/>
                            <w:szCs w:val="2"/>
                          </w:rPr>
                        </w:pPr>
                      </w:p>
                    </w:tc>
                    <w:tc>
                      <w:tcPr>
                        <w:tcW w:w="513" w:type="dxa"/>
                        <w:vMerge/>
                        <w:tcBorders>
                          <w:top w:val="nil"/>
                        </w:tcBorders>
                      </w:tcPr>
                      <w:p>
                        <w:pPr>
                          <w:rPr>
                            <w:sz w:val="2"/>
                            <w:szCs w:val="2"/>
                          </w:rPr>
                        </w:pPr>
                      </w:p>
                    </w:tc>
                    <w:tc>
                      <w:tcPr>
                        <w:tcW w:w="521" w:type="dxa"/>
                        <w:vMerge/>
                        <w:tcBorders>
                          <w:top w:val="nil"/>
                        </w:tcBorders>
                      </w:tcPr>
                      <w:p>
                        <w:pPr>
                          <w:rPr>
                            <w:sz w:val="2"/>
                            <w:szCs w:val="2"/>
                          </w:rPr>
                        </w:pPr>
                      </w:p>
                    </w:tc>
                    <w:tc>
                      <w:tcPr>
                        <w:tcW w:w="393" w:type="dxa"/>
                        <w:vMerge/>
                        <w:tcBorders>
                          <w:top w:val="nil"/>
                        </w:tcBorders>
                      </w:tcPr>
                      <w:p>
                        <w:pPr>
                          <w:rPr>
                            <w:sz w:val="2"/>
                            <w:szCs w:val="2"/>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262"/>
                      <w:jc w:val="left"/>
                    </w:trPr>
                    <w:tc>
                      <w:tcPr>
                        <w:tcW w:w="508" w:type="dxa"/>
                        <w:vMerge w:val="restart"/>
                      </w:tcPr>
                      <w:p>
                        <w:pPr>
                          <w:pStyle w:val="TableParagraph"/>
                          <w:spacing w:before="150"/>
                          <w:ind w:left="8"/>
                          <w:jc w:val="center"/>
                          <w:rPr>
                            <w:rFonts w:ascii="Times New Roman"/>
                            <w:sz w:val="21"/>
                          </w:rPr>
                        </w:pPr>
                        <w:r>
                          <w:rPr>
                            <w:rFonts w:ascii="Times New Roman"/>
                            <w:w w:val="99"/>
                            <w:sz w:val="21"/>
                          </w:rPr>
                          <w:t>2</w:t>
                        </w:r>
                      </w:p>
                    </w:tc>
                    <w:tc>
                      <w:tcPr>
                        <w:tcW w:w="586" w:type="dxa"/>
                        <w:vMerge/>
                        <w:tcBorders>
                          <w:top w:val="nil"/>
                        </w:tcBorders>
                      </w:tcPr>
                      <w:p>
                        <w:pPr>
                          <w:rPr>
                            <w:sz w:val="2"/>
                            <w:szCs w:val="2"/>
                          </w:rPr>
                        </w:pPr>
                      </w:p>
                    </w:tc>
                    <w:tc>
                      <w:tcPr>
                        <w:tcW w:w="1226" w:type="dxa"/>
                        <w:vMerge w:val="restart"/>
                      </w:tcPr>
                      <w:p>
                        <w:pPr>
                          <w:pStyle w:val="TableParagraph"/>
                          <w:spacing w:line="269" w:lineRule="exact"/>
                          <w:ind w:left="170" w:right="166"/>
                          <w:jc w:val="center"/>
                          <w:rPr>
                            <w:sz w:val="21"/>
                          </w:rPr>
                        </w:pPr>
                        <w:r>
                          <w:rPr>
                            <w:sz w:val="21"/>
                          </w:rPr>
                          <w:t>建筑物工</w:t>
                        </w:r>
                      </w:p>
                      <w:p>
                        <w:pPr>
                          <w:pStyle w:val="TableParagraph"/>
                          <w:spacing w:before="4" w:line="251" w:lineRule="exact"/>
                          <w:ind w:left="9"/>
                          <w:jc w:val="center"/>
                          <w:rPr>
                            <w:sz w:val="21"/>
                          </w:rPr>
                        </w:pPr>
                        <w:r>
                          <w:rPr>
                            <w:w w:val="99"/>
                            <w:sz w:val="21"/>
                          </w:rPr>
                          <w:t>程</w:t>
                        </w: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51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r>
                  <w:tr>
                    <w:tblPrEx>
                      <w:tblW w:w="0" w:type="auto"/>
                      <w:jc w:val="left"/>
                      <w:tblInd w:w="5" w:type="dxa"/>
                      <w:tblLayout w:type="fixed"/>
                      <w:tblCellMar>
                        <w:top w:w="0" w:type="dxa"/>
                        <w:left w:w="0" w:type="dxa"/>
                        <w:bottom w:w="0" w:type="dxa"/>
                        <w:right w:w="0" w:type="dxa"/>
                      </w:tblCellMar>
                      <w:tblLook w:val="01E0"/>
                    </w:tblPrEx>
                    <w:trPr>
                      <w:trHeight w:val="236"/>
                      <w:jc w:val="left"/>
                    </w:trPr>
                    <w:tc>
                      <w:tcPr>
                        <w:tcW w:w="508" w:type="dxa"/>
                        <w:vMerge/>
                        <w:tcBorders>
                          <w:top w:val="nil"/>
                        </w:tcBorders>
                      </w:tcPr>
                      <w:p>
                        <w:pPr>
                          <w:rPr>
                            <w:sz w:val="2"/>
                            <w:szCs w:val="2"/>
                          </w:rPr>
                        </w:pPr>
                      </w:p>
                    </w:tc>
                    <w:tc>
                      <w:tcPr>
                        <w:tcW w:w="586" w:type="dxa"/>
                        <w:vMerge/>
                        <w:tcBorders>
                          <w:top w:val="nil"/>
                        </w:tcBorders>
                      </w:tcPr>
                      <w:p>
                        <w:pPr>
                          <w:rPr>
                            <w:sz w:val="2"/>
                            <w:szCs w:val="2"/>
                          </w:rPr>
                        </w:pPr>
                      </w:p>
                    </w:tc>
                    <w:tc>
                      <w:tcPr>
                        <w:tcW w:w="1226"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521" w:type="dxa"/>
                        <w:vMerge/>
                        <w:tcBorders>
                          <w:top w:val="nil"/>
                        </w:tcBorders>
                      </w:tcPr>
                      <w:p>
                        <w:pPr>
                          <w:rPr>
                            <w:sz w:val="2"/>
                            <w:szCs w:val="2"/>
                          </w:rPr>
                        </w:pPr>
                      </w:p>
                    </w:tc>
                    <w:tc>
                      <w:tcPr>
                        <w:tcW w:w="513" w:type="dxa"/>
                        <w:vMerge/>
                        <w:tcBorders>
                          <w:top w:val="nil"/>
                        </w:tcBorders>
                      </w:tcPr>
                      <w:p>
                        <w:pPr>
                          <w:rPr>
                            <w:sz w:val="2"/>
                            <w:szCs w:val="2"/>
                          </w:rPr>
                        </w:pPr>
                      </w:p>
                    </w:tc>
                    <w:tc>
                      <w:tcPr>
                        <w:tcW w:w="521" w:type="dxa"/>
                        <w:vMerge/>
                        <w:tcBorders>
                          <w:top w:val="nil"/>
                        </w:tcBorders>
                      </w:tcPr>
                      <w:p>
                        <w:pPr>
                          <w:rPr>
                            <w:sz w:val="2"/>
                            <w:szCs w:val="2"/>
                          </w:rPr>
                        </w:pPr>
                      </w:p>
                    </w:tc>
                    <w:tc>
                      <w:tcPr>
                        <w:tcW w:w="393" w:type="dxa"/>
                        <w:vMerge/>
                        <w:tcBorders>
                          <w:top w:val="nil"/>
                        </w:tcBorders>
                      </w:tcPr>
                      <w:p>
                        <w:pPr>
                          <w:rPr>
                            <w:sz w:val="2"/>
                            <w:szCs w:val="2"/>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r>
                  <w:tr>
                    <w:tblPrEx>
                      <w:tblW w:w="0" w:type="auto"/>
                      <w:jc w:val="left"/>
                      <w:tblInd w:w="5" w:type="dxa"/>
                      <w:tblLayout w:type="fixed"/>
                      <w:tblCellMar>
                        <w:top w:w="0" w:type="dxa"/>
                        <w:left w:w="0" w:type="dxa"/>
                        <w:bottom w:w="0" w:type="dxa"/>
                        <w:right w:w="0" w:type="dxa"/>
                      </w:tblCellMar>
                      <w:tblLook w:val="01E0"/>
                    </w:tblPrEx>
                    <w:trPr>
                      <w:trHeight w:val="279"/>
                      <w:jc w:val="left"/>
                    </w:trPr>
                    <w:tc>
                      <w:tcPr>
                        <w:tcW w:w="508" w:type="dxa"/>
                        <w:vMerge w:val="restart"/>
                      </w:tcPr>
                      <w:p>
                        <w:pPr>
                          <w:pStyle w:val="TableParagraph"/>
                          <w:spacing w:before="150"/>
                          <w:ind w:left="8"/>
                          <w:jc w:val="center"/>
                          <w:rPr>
                            <w:rFonts w:ascii="Times New Roman"/>
                            <w:sz w:val="21"/>
                          </w:rPr>
                        </w:pPr>
                        <w:r>
                          <w:rPr>
                            <w:rFonts w:ascii="Times New Roman"/>
                            <w:w w:val="99"/>
                            <w:sz w:val="21"/>
                          </w:rPr>
                          <w:t>3</w:t>
                        </w:r>
                      </w:p>
                    </w:tc>
                    <w:tc>
                      <w:tcPr>
                        <w:tcW w:w="586" w:type="dxa"/>
                        <w:vMerge/>
                        <w:tcBorders>
                          <w:top w:val="nil"/>
                        </w:tcBorders>
                      </w:tcPr>
                      <w:p>
                        <w:pPr>
                          <w:rPr>
                            <w:sz w:val="2"/>
                            <w:szCs w:val="2"/>
                          </w:rPr>
                        </w:pPr>
                      </w:p>
                    </w:tc>
                    <w:tc>
                      <w:tcPr>
                        <w:tcW w:w="1226" w:type="dxa"/>
                        <w:vMerge w:val="restart"/>
                      </w:tcPr>
                      <w:p>
                        <w:pPr>
                          <w:pStyle w:val="TableParagraph"/>
                          <w:ind w:left="170" w:right="166"/>
                          <w:jc w:val="center"/>
                          <w:rPr>
                            <w:sz w:val="21"/>
                          </w:rPr>
                        </w:pPr>
                        <w:r>
                          <w:rPr>
                            <w:sz w:val="21"/>
                          </w:rPr>
                          <w:t>水保和环</w:t>
                        </w:r>
                      </w:p>
                      <w:p>
                        <w:pPr>
                          <w:pStyle w:val="TableParagraph"/>
                          <w:spacing w:before="4" w:line="251" w:lineRule="exact"/>
                          <w:ind w:left="170" w:right="163"/>
                          <w:jc w:val="center"/>
                          <w:rPr>
                            <w:sz w:val="21"/>
                          </w:rPr>
                        </w:pPr>
                        <w:r>
                          <w:rPr>
                            <w:sz w:val="21"/>
                          </w:rPr>
                          <w:t>保措施</w:t>
                        </w: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51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c>
                      <w:tcPr>
                        <w:tcW w:w="393" w:type="dxa"/>
                        <w:tcBorders>
                          <w:bottom w:val="single" w:sz="18" w:space="0" w:color="000000"/>
                        </w:tcBorders>
                      </w:tcPr>
                      <w:p>
                        <w:pPr>
                          <w:pStyle w:val="TableParagraph"/>
                          <w:rPr>
                            <w:rFonts w:ascii="Times New Roman"/>
                            <w:sz w:val="20"/>
                          </w:rPr>
                        </w:pPr>
                      </w:p>
                    </w:tc>
                  </w:tr>
                  <w:tr>
                    <w:tblPrEx>
                      <w:tblW w:w="0" w:type="auto"/>
                      <w:jc w:val="left"/>
                      <w:tblInd w:w="5" w:type="dxa"/>
                      <w:tblLayout w:type="fixed"/>
                      <w:tblCellMar>
                        <w:top w:w="0" w:type="dxa"/>
                        <w:left w:w="0" w:type="dxa"/>
                        <w:bottom w:w="0" w:type="dxa"/>
                        <w:right w:w="0" w:type="dxa"/>
                      </w:tblCellMar>
                      <w:tblLook w:val="01E0"/>
                    </w:tblPrEx>
                    <w:trPr>
                      <w:trHeight w:val="220"/>
                      <w:jc w:val="left"/>
                    </w:trPr>
                    <w:tc>
                      <w:tcPr>
                        <w:tcW w:w="508" w:type="dxa"/>
                        <w:vMerge/>
                        <w:tcBorders>
                          <w:top w:val="nil"/>
                        </w:tcBorders>
                      </w:tcPr>
                      <w:p>
                        <w:pPr>
                          <w:rPr>
                            <w:sz w:val="2"/>
                            <w:szCs w:val="2"/>
                          </w:rPr>
                        </w:pPr>
                      </w:p>
                    </w:tc>
                    <w:tc>
                      <w:tcPr>
                        <w:tcW w:w="586" w:type="dxa"/>
                        <w:vMerge/>
                        <w:tcBorders>
                          <w:top w:val="nil"/>
                        </w:tcBorders>
                      </w:tcPr>
                      <w:p>
                        <w:pPr>
                          <w:rPr>
                            <w:sz w:val="2"/>
                            <w:szCs w:val="2"/>
                          </w:rPr>
                        </w:pPr>
                      </w:p>
                    </w:tc>
                    <w:tc>
                      <w:tcPr>
                        <w:tcW w:w="1226"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521" w:type="dxa"/>
                        <w:vMerge/>
                        <w:tcBorders>
                          <w:top w:val="nil"/>
                        </w:tcBorders>
                      </w:tcPr>
                      <w:p>
                        <w:pPr>
                          <w:rPr>
                            <w:sz w:val="2"/>
                            <w:szCs w:val="2"/>
                          </w:rPr>
                        </w:pPr>
                      </w:p>
                    </w:tc>
                    <w:tc>
                      <w:tcPr>
                        <w:tcW w:w="513" w:type="dxa"/>
                        <w:vMerge/>
                        <w:tcBorders>
                          <w:top w:val="nil"/>
                        </w:tcBorders>
                      </w:tcPr>
                      <w:p>
                        <w:pPr>
                          <w:rPr>
                            <w:sz w:val="2"/>
                            <w:szCs w:val="2"/>
                          </w:rPr>
                        </w:pPr>
                      </w:p>
                    </w:tc>
                    <w:tc>
                      <w:tcPr>
                        <w:tcW w:w="521" w:type="dxa"/>
                        <w:vMerge/>
                        <w:tcBorders>
                          <w:top w:val="nil"/>
                        </w:tcBorders>
                      </w:tcPr>
                      <w:p>
                        <w:pPr>
                          <w:rPr>
                            <w:sz w:val="2"/>
                            <w:szCs w:val="2"/>
                          </w:rPr>
                        </w:pPr>
                      </w:p>
                    </w:tc>
                    <w:tc>
                      <w:tcPr>
                        <w:tcW w:w="393" w:type="dxa"/>
                        <w:vMerge/>
                        <w:tcBorders>
                          <w:top w:val="nil"/>
                        </w:tcBorders>
                      </w:tcPr>
                      <w:p>
                        <w:pPr>
                          <w:rPr>
                            <w:sz w:val="2"/>
                            <w:szCs w:val="2"/>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c>
                      <w:tcPr>
                        <w:tcW w:w="393" w:type="dxa"/>
                        <w:tcBorders>
                          <w:top w:val="single" w:sz="18" w:space="0" w:color="000000"/>
                        </w:tcBorders>
                      </w:tcPr>
                      <w:p>
                        <w:pPr>
                          <w:pStyle w:val="TableParagraph"/>
                          <w:rPr>
                            <w:rFonts w:ascii="Times New Roman"/>
                            <w:sz w:val="14"/>
                          </w:rPr>
                        </w:pPr>
                      </w:p>
                    </w:tc>
                  </w:tr>
                  <w:tr>
                    <w:tblPrEx>
                      <w:tblW w:w="0" w:type="auto"/>
                      <w:jc w:val="left"/>
                      <w:tblInd w:w="5" w:type="dxa"/>
                      <w:tblLayout w:type="fixed"/>
                      <w:tblCellMar>
                        <w:top w:w="0" w:type="dxa"/>
                        <w:left w:w="0" w:type="dxa"/>
                        <w:bottom w:w="0" w:type="dxa"/>
                        <w:right w:w="0" w:type="dxa"/>
                      </w:tblCellMar>
                      <w:tblLook w:val="01E0"/>
                    </w:tblPrEx>
                    <w:trPr>
                      <w:trHeight w:val="262"/>
                      <w:jc w:val="left"/>
                    </w:trPr>
                    <w:tc>
                      <w:tcPr>
                        <w:tcW w:w="508" w:type="dxa"/>
                        <w:vMerge w:val="restart"/>
                      </w:tcPr>
                      <w:p>
                        <w:pPr>
                          <w:pStyle w:val="TableParagraph"/>
                          <w:spacing w:before="150"/>
                          <w:ind w:left="8"/>
                          <w:jc w:val="center"/>
                          <w:rPr>
                            <w:rFonts w:ascii="Times New Roman"/>
                            <w:sz w:val="21"/>
                          </w:rPr>
                        </w:pPr>
                        <w:r>
                          <w:rPr>
                            <w:rFonts w:ascii="Times New Roman"/>
                            <w:w w:val="99"/>
                            <w:sz w:val="21"/>
                          </w:rPr>
                          <w:t>4</w:t>
                        </w:r>
                      </w:p>
                    </w:tc>
                    <w:tc>
                      <w:tcPr>
                        <w:tcW w:w="586" w:type="dxa"/>
                        <w:vMerge/>
                        <w:tcBorders>
                          <w:top w:val="nil"/>
                        </w:tcBorders>
                      </w:tcPr>
                      <w:p>
                        <w:pPr>
                          <w:rPr>
                            <w:sz w:val="2"/>
                            <w:szCs w:val="2"/>
                          </w:rPr>
                        </w:pPr>
                      </w:p>
                    </w:tc>
                    <w:tc>
                      <w:tcPr>
                        <w:tcW w:w="1226" w:type="dxa"/>
                        <w:vMerge w:val="restart"/>
                      </w:tcPr>
                      <w:p>
                        <w:pPr>
                          <w:pStyle w:val="TableParagraph"/>
                          <w:spacing w:line="268" w:lineRule="exact"/>
                          <w:ind w:left="170" w:right="166"/>
                          <w:jc w:val="center"/>
                          <w:rPr>
                            <w:sz w:val="21"/>
                          </w:rPr>
                        </w:pPr>
                        <w:r>
                          <w:rPr>
                            <w:sz w:val="21"/>
                          </w:rPr>
                          <w:t>工程完建</w:t>
                        </w:r>
                      </w:p>
                      <w:p>
                        <w:pPr>
                          <w:pStyle w:val="TableParagraph"/>
                          <w:spacing w:before="4" w:line="252" w:lineRule="exact"/>
                          <w:ind w:left="9"/>
                          <w:jc w:val="center"/>
                          <w:rPr>
                            <w:sz w:val="21"/>
                          </w:rPr>
                        </w:pPr>
                        <w:r>
                          <w:rPr>
                            <w:w w:val="99"/>
                            <w:sz w:val="21"/>
                          </w:rPr>
                          <w:t>期</w:t>
                        </w: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513" w:type="dxa"/>
                        <w:vMerge w:val="restart"/>
                      </w:tcPr>
                      <w:p>
                        <w:pPr>
                          <w:pStyle w:val="TableParagraph"/>
                          <w:rPr>
                            <w:rFonts w:ascii="Times New Roman"/>
                            <w:sz w:val="22"/>
                          </w:rPr>
                        </w:pPr>
                      </w:p>
                    </w:tc>
                    <w:tc>
                      <w:tcPr>
                        <w:tcW w:w="521"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vMerge w:val="restart"/>
                      </w:tcPr>
                      <w:p>
                        <w:pPr>
                          <w:pStyle w:val="TableParagraph"/>
                          <w:rPr>
                            <w:rFonts w:ascii="Times New Roman"/>
                            <w:sz w:val="22"/>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c>
                      <w:tcPr>
                        <w:tcW w:w="393" w:type="dxa"/>
                        <w:tcBorders>
                          <w:bottom w:val="single" w:sz="18" w:space="0" w:color="000000"/>
                        </w:tcBorders>
                      </w:tcPr>
                      <w:p>
                        <w:pPr>
                          <w:pStyle w:val="TableParagraph"/>
                          <w:rPr>
                            <w:rFonts w:ascii="Times New Roman"/>
                            <w:sz w:val="18"/>
                          </w:rPr>
                        </w:pPr>
                      </w:p>
                    </w:tc>
                  </w:tr>
                  <w:tr>
                    <w:tblPrEx>
                      <w:tblW w:w="0" w:type="auto"/>
                      <w:jc w:val="left"/>
                      <w:tblInd w:w="5" w:type="dxa"/>
                      <w:tblLayout w:type="fixed"/>
                      <w:tblCellMar>
                        <w:top w:w="0" w:type="dxa"/>
                        <w:left w:w="0" w:type="dxa"/>
                        <w:bottom w:w="0" w:type="dxa"/>
                        <w:right w:w="0" w:type="dxa"/>
                      </w:tblCellMar>
                      <w:tblLook w:val="01E0"/>
                    </w:tblPrEx>
                    <w:trPr>
                      <w:trHeight w:val="237"/>
                      <w:jc w:val="left"/>
                    </w:trPr>
                    <w:tc>
                      <w:tcPr>
                        <w:tcW w:w="508" w:type="dxa"/>
                        <w:vMerge/>
                        <w:tcBorders>
                          <w:top w:val="nil"/>
                        </w:tcBorders>
                      </w:tcPr>
                      <w:p>
                        <w:pPr>
                          <w:rPr>
                            <w:sz w:val="2"/>
                            <w:szCs w:val="2"/>
                          </w:rPr>
                        </w:pPr>
                      </w:p>
                    </w:tc>
                    <w:tc>
                      <w:tcPr>
                        <w:tcW w:w="586" w:type="dxa"/>
                        <w:vMerge/>
                        <w:tcBorders>
                          <w:top w:val="nil"/>
                        </w:tcBorders>
                      </w:tcPr>
                      <w:p>
                        <w:pPr>
                          <w:rPr>
                            <w:sz w:val="2"/>
                            <w:szCs w:val="2"/>
                          </w:rPr>
                        </w:pPr>
                      </w:p>
                    </w:tc>
                    <w:tc>
                      <w:tcPr>
                        <w:tcW w:w="1226"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521" w:type="dxa"/>
                        <w:vMerge/>
                        <w:tcBorders>
                          <w:top w:val="nil"/>
                        </w:tcBorders>
                      </w:tcPr>
                      <w:p>
                        <w:pPr>
                          <w:rPr>
                            <w:sz w:val="2"/>
                            <w:szCs w:val="2"/>
                          </w:rPr>
                        </w:pPr>
                      </w:p>
                    </w:tc>
                    <w:tc>
                      <w:tcPr>
                        <w:tcW w:w="513" w:type="dxa"/>
                        <w:vMerge/>
                        <w:tcBorders>
                          <w:top w:val="nil"/>
                        </w:tcBorders>
                      </w:tcPr>
                      <w:p>
                        <w:pPr>
                          <w:rPr>
                            <w:sz w:val="2"/>
                            <w:szCs w:val="2"/>
                          </w:rPr>
                        </w:pPr>
                      </w:p>
                    </w:tc>
                    <w:tc>
                      <w:tcPr>
                        <w:tcW w:w="521"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vMerge/>
                        <w:tcBorders>
                          <w:top w:val="nil"/>
                        </w:tcBorders>
                      </w:tcPr>
                      <w:p>
                        <w:pPr>
                          <w:rPr>
                            <w:sz w:val="2"/>
                            <w:szCs w:val="2"/>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c>
                      <w:tcPr>
                        <w:tcW w:w="393" w:type="dxa"/>
                        <w:tcBorders>
                          <w:top w:val="single" w:sz="18" w:space="0" w:color="000000"/>
                        </w:tcBorders>
                      </w:tcPr>
                      <w:p>
                        <w:pPr>
                          <w:pStyle w:val="TableParagraph"/>
                          <w:rPr>
                            <w:rFonts w:ascii="Times New Roman"/>
                            <w:sz w:val="16"/>
                          </w:rPr>
                        </w:pPr>
                      </w:p>
                    </w:tc>
                  </w:tr>
                </w:tbl>
                <w:p>
                  <w:pPr>
                    <w:pStyle w:val="BodyText"/>
                  </w:pPr>
                </w:p>
              </w:txbxContent>
            </v:textbox>
          </v:shape>
        </w:pict>
      </w:r>
    </w:p>
    <w:tbl>
      <w:tblPr>
        <w:tblStyle w:val="TableNormal23"/>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113"/>
        <w:gridCol w:w="802"/>
        <w:gridCol w:w="1130"/>
        <w:gridCol w:w="1045"/>
        <w:gridCol w:w="1225"/>
        <w:gridCol w:w="971"/>
        <w:gridCol w:w="1020"/>
        <w:gridCol w:w="959"/>
        <w:gridCol w:w="1043"/>
        <w:gridCol w:w="116"/>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659"/>
          <w:jc w:val="left"/>
        </w:trPr>
        <w:tc>
          <w:tcPr>
            <w:tcW w:w="666" w:type="dxa"/>
            <w:tcBorders>
              <w:bottom w:val="single" w:sz="4" w:space="0" w:color="000000"/>
              <w:right w:val="single" w:sz="4" w:space="0" w:color="000000"/>
            </w:tcBorders>
          </w:tcPr>
          <w:p>
            <w:pPr>
              <w:pStyle w:val="TableParagraph"/>
              <w:rPr>
                <w:rFonts w:ascii="Times New Roman"/>
                <w:sz w:val="22"/>
              </w:rPr>
            </w:pPr>
          </w:p>
        </w:tc>
        <w:tc>
          <w:tcPr>
            <w:tcW w:w="8424" w:type="dxa"/>
            <w:gridSpan w:val="10"/>
            <w:tcBorders>
              <w:left w:val="single" w:sz="4" w:space="0" w:color="000000"/>
              <w:bottom w:val="single" w:sz="4" w:space="0" w:color="000000"/>
            </w:tcBorders>
          </w:tcPr>
          <w:p>
            <w:pPr>
              <w:pStyle w:val="TableParagraph"/>
              <w:spacing w:line="301" w:lineRule="exact"/>
              <w:ind w:left="592"/>
              <w:rPr>
                <w:sz w:val="24"/>
              </w:rPr>
            </w:pPr>
            <w:r>
              <w:rPr>
                <w:rFonts w:ascii="Times New Roman" w:eastAsia="Times New Roman"/>
                <w:sz w:val="24"/>
              </w:rPr>
              <w:t>3</w:t>
            </w:r>
            <w:r>
              <w:rPr>
                <w:sz w:val="24"/>
              </w:rPr>
              <w:t>、生活设施安排</w:t>
            </w:r>
          </w:p>
          <w:p>
            <w:pPr>
              <w:pStyle w:val="TableParagraph"/>
              <w:spacing w:before="158" w:line="364" w:lineRule="auto"/>
              <w:ind w:left="112" w:right="86" w:firstLine="480"/>
              <w:jc w:val="both"/>
              <w:rPr>
                <w:sz w:val="24"/>
              </w:rPr>
            </w:pPr>
            <w:r>
              <w:rPr>
                <w:sz w:val="24"/>
              </w:rPr>
              <w:t>主体工程基本采用机械化施工，需配备驾驶、操作和辅助劳力。其生活设施主要是临时住处和供应日用品的商业网点。临时住处在施工作业区外就近租住民房，商业供应点由沿线镇场的商业供应部门就近安排，生活水源采用就近水厂自来水。</w:t>
            </w:r>
          </w:p>
          <w:p>
            <w:pPr>
              <w:pStyle w:val="TableParagraph"/>
              <w:spacing w:line="305" w:lineRule="exact"/>
              <w:ind w:left="592"/>
              <w:rPr>
                <w:sz w:val="24"/>
              </w:rPr>
            </w:pPr>
            <w:r>
              <w:rPr>
                <w:rFonts w:ascii="Times New Roman" w:eastAsia="Times New Roman"/>
                <w:sz w:val="24"/>
              </w:rPr>
              <w:t>4</w:t>
            </w:r>
            <w:r>
              <w:rPr>
                <w:sz w:val="24"/>
              </w:rPr>
              <w:t>、施工交通</w:t>
            </w:r>
          </w:p>
          <w:p>
            <w:pPr>
              <w:pStyle w:val="TableParagraph"/>
              <w:spacing w:before="160" w:line="364" w:lineRule="auto"/>
              <w:ind w:left="112" w:right="86" w:firstLine="480"/>
              <w:jc w:val="both"/>
              <w:rPr>
                <w:sz w:val="24"/>
              </w:rPr>
            </w:pPr>
            <w:r>
              <w:rPr>
                <w:sz w:val="24"/>
              </w:rPr>
              <w:t>工程施工时部分机械需由陆路进入施工场地，需修建泥结石施工便道，沟通施工现场与外界公路的连接，场区内取、弃土、建筑物临时施工便道根据施</w:t>
            </w:r>
            <w:r>
              <w:rPr>
                <w:spacing w:val="-2"/>
                <w:sz w:val="24"/>
              </w:rPr>
              <w:t xml:space="preserve">工方便、缩短运距的要求布置。临时道路一般采用路面宽 </w:t>
            </w:r>
            <w:r>
              <w:rPr>
                <w:rFonts w:ascii="Times New Roman" w:eastAsia="Times New Roman"/>
                <w:sz w:val="24"/>
              </w:rPr>
              <w:t>3.5m</w:t>
            </w:r>
            <w:r>
              <w:rPr>
                <w:spacing w:val="-12"/>
                <w:sz w:val="24"/>
              </w:rPr>
              <w:t xml:space="preserve">，采用 </w:t>
            </w:r>
            <w:r>
              <w:rPr>
                <w:rFonts w:ascii="Times New Roman" w:eastAsia="Times New Roman"/>
                <w:sz w:val="24"/>
              </w:rPr>
              <w:t xml:space="preserve">15cm </w:t>
            </w:r>
            <w:r>
              <w:rPr>
                <w:sz w:val="24"/>
              </w:rPr>
              <w:t>厚</w:t>
            </w:r>
          </w:p>
          <w:p>
            <w:pPr>
              <w:pStyle w:val="TableParagraph"/>
              <w:spacing w:line="305" w:lineRule="exact"/>
              <w:ind w:left="112"/>
              <w:jc w:val="both"/>
              <w:rPr>
                <w:sz w:val="24"/>
              </w:rPr>
            </w:pPr>
            <w:r>
              <w:rPr>
                <w:spacing w:val="-6"/>
                <w:sz w:val="24"/>
              </w:rPr>
              <w:t xml:space="preserve">泥结碎石临时路面。经计算，本工程共设置临时道路 </w:t>
            </w:r>
            <w:r>
              <w:rPr>
                <w:rFonts w:ascii="Times New Roman" w:eastAsia="Times New Roman"/>
                <w:spacing w:val="-4"/>
                <w:sz w:val="24"/>
              </w:rPr>
              <w:t>5km</w:t>
            </w:r>
            <w:r>
              <w:rPr>
                <w:spacing w:val="-12"/>
                <w:sz w:val="24"/>
              </w:rPr>
              <w:t xml:space="preserve">，总面积为 </w:t>
            </w:r>
            <w:r>
              <w:rPr>
                <w:rFonts w:ascii="Times New Roman" w:eastAsia="Times New Roman"/>
                <w:sz w:val="24"/>
              </w:rPr>
              <w:t>17500m</w:t>
            </w:r>
            <w:r>
              <w:rPr>
                <w:rFonts w:ascii="Times New Roman" w:eastAsia="Times New Roman"/>
                <w:position w:val="8"/>
                <w:sz w:val="15"/>
              </w:rPr>
              <w:t>2</w:t>
            </w:r>
            <w:r>
              <w:rPr>
                <w:spacing w:val="-48"/>
                <w:sz w:val="24"/>
              </w:rPr>
              <w:t>。</w:t>
            </w:r>
          </w:p>
        </w:tc>
      </w:tr>
      <w:tr>
        <w:tblPrEx>
          <w:tblW w:w="0" w:type="auto"/>
          <w:jc w:val="left"/>
          <w:tblInd w:w="198" w:type="dxa"/>
          <w:tblLayout w:type="fixed"/>
          <w:tblCellMar>
            <w:top w:w="0" w:type="dxa"/>
            <w:left w:w="0" w:type="dxa"/>
            <w:bottom w:w="0" w:type="dxa"/>
            <w:right w:w="0" w:type="dxa"/>
          </w:tblCellMar>
          <w:tblLook w:val="01E0"/>
        </w:tblPrEx>
        <w:trPr>
          <w:trHeight w:val="8006"/>
          <w:jc w:val="left"/>
        </w:trPr>
        <w:tc>
          <w:tcPr>
            <w:tcW w:w="666" w:type="dxa"/>
            <w:vMerge w:val="restart"/>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5"/>
              </w:rPr>
            </w:pPr>
          </w:p>
          <w:p>
            <w:pPr>
              <w:pStyle w:val="TableParagraph"/>
              <w:spacing w:line="242" w:lineRule="auto"/>
              <w:ind w:left="122" w:right="108"/>
              <w:rPr>
                <w:sz w:val="21"/>
              </w:rPr>
            </w:pPr>
            <w:r>
              <w:rPr>
                <w:sz w:val="21"/>
              </w:rPr>
              <w:t>施工方案</w:t>
            </w:r>
          </w:p>
        </w:tc>
        <w:tc>
          <w:tcPr>
            <w:tcW w:w="8424" w:type="dxa"/>
            <w:gridSpan w:val="10"/>
            <w:tcBorders>
              <w:top w:val="single" w:sz="4" w:space="0" w:color="000000"/>
              <w:left w:val="single" w:sz="4" w:space="0" w:color="000000"/>
              <w:bottom w:val="single" w:sz="4" w:space="0" w:color="000000"/>
            </w:tcBorders>
          </w:tcPr>
          <w:p>
            <w:pPr>
              <w:pStyle w:val="TableParagraph"/>
              <w:spacing w:before="2"/>
              <w:ind w:left="112"/>
              <w:rPr>
                <w:b/>
                <w:sz w:val="24"/>
              </w:rPr>
            </w:pPr>
            <w:r>
              <w:rPr>
                <w:b/>
                <w:sz w:val="24"/>
              </w:rPr>
              <w:t>六、施工方案</w:t>
            </w:r>
          </w:p>
          <w:p>
            <w:pPr>
              <w:pStyle w:val="TableParagraph"/>
              <w:spacing w:before="158"/>
              <w:ind w:left="592"/>
              <w:rPr>
                <w:b/>
                <w:sz w:val="24"/>
              </w:rPr>
            </w:pPr>
            <w:r>
              <w:rPr>
                <w:rFonts w:ascii="Times New Roman" w:eastAsia="Times New Roman"/>
                <w:b/>
                <w:sz w:val="24"/>
              </w:rPr>
              <w:t>1</w:t>
            </w:r>
            <w:r>
              <w:rPr>
                <w:b/>
                <w:sz w:val="24"/>
              </w:rPr>
              <w:t>、施工期进度</w:t>
            </w:r>
          </w:p>
          <w:p>
            <w:pPr>
              <w:pStyle w:val="TableParagraph"/>
              <w:spacing w:before="158" w:line="364" w:lineRule="auto"/>
              <w:ind w:left="112" w:right="74" w:firstLine="480"/>
              <w:jc w:val="both"/>
              <w:rPr>
                <w:sz w:val="24"/>
              </w:rPr>
            </w:pPr>
            <w:r>
              <w:rPr>
                <w:rFonts w:ascii="Times New Roman" w:eastAsia="Times New Roman"/>
                <w:sz w:val="24"/>
              </w:rPr>
              <w:t xml:space="preserve">2023 </w:t>
            </w:r>
            <w:r>
              <w:rPr>
                <w:spacing w:val="-30"/>
                <w:sz w:val="24"/>
              </w:rPr>
              <w:t xml:space="preserve">年 </w:t>
            </w:r>
            <w:r>
              <w:rPr>
                <w:rFonts w:ascii="Times New Roman" w:eastAsia="Times New Roman"/>
                <w:sz w:val="24"/>
              </w:rPr>
              <w:t xml:space="preserve">8 </w:t>
            </w:r>
            <w:r>
              <w:rPr>
                <w:spacing w:val="-2"/>
                <w:sz w:val="24"/>
              </w:rPr>
              <w:t>月安排工程筹建招投标，</w:t>
            </w:r>
            <w:r>
              <w:rPr>
                <w:rFonts w:ascii="Times New Roman" w:eastAsia="Times New Roman"/>
                <w:spacing w:val="-12"/>
                <w:sz w:val="24"/>
              </w:rPr>
              <w:t xml:space="preserve">12 </w:t>
            </w:r>
            <w:r>
              <w:rPr>
                <w:spacing w:val="-3"/>
                <w:sz w:val="24"/>
              </w:rPr>
              <w:t>月底前完成征地拆迁工作，随后开工建设开始进行征地拆迁等前期工作。</w:t>
            </w:r>
            <w:r>
              <w:rPr>
                <w:rFonts w:ascii="Times New Roman" w:eastAsia="Times New Roman"/>
                <w:spacing w:val="-3"/>
                <w:sz w:val="24"/>
              </w:rPr>
              <w:t xml:space="preserve">2024 </w:t>
            </w:r>
            <w:r>
              <w:rPr>
                <w:spacing w:val="-32"/>
                <w:sz w:val="24"/>
              </w:rPr>
              <w:t xml:space="preserve">年 </w:t>
            </w:r>
            <w:r>
              <w:rPr>
                <w:rFonts w:ascii="Times New Roman" w:eastAsia="Times New Roman"/>
                <w:sz w:val="24"/>
              </w:rPr>
              <w:t xml:space="preserve">2 </w:t>
            </w:r>
            <w:r>
              <w:rPr>
                <w:spacing w:val="-2"/>
                <w:sz w:val="24"/>
              </w:rPr>
              <w:t>月进入正常施工，建筑物工程、</w:t>
            </w:r>
            <w:r>
              <w:rPr>
                <w:spacing w:val="-10"/>
                <w:sz w:val="24"/>
              </w:rPr>
              <w:t xml:space="preserve">环保、水保与河道工程同步，全部工程于 </w:t>
            </w:r>
            <w:r>
              <w:rPr>
                <w:rFonts w:ascii="Times New Roman" w:eastAsia="Times New Roman"/>
                <w:sz w:val="24"/>
              </w:rPr>
              <w:t xml:space="preserve">2024 </w:t>
            </w:r>
            <w:r>
              <w:rPr>
                <w:spacing w:val="-3"/>
                <w:sz w:val="24"/>
              </w:rPr>
              <w:t>年汛前通过水下验收，确保汛期发挥效益，</w:t>
            </w:r>
            <w:r>
              <w:rPr>
                <w:rFonts w:ascii="Times New Roman" w:eastAsia="Times New Roman"/>
                <w:spacing w:val="-3"/>
                <w:sz w:val="24"/>
              </w:rPr>
              <w:t xml:space="preserve">2024 </w:t>
            </w:r>
            <w:r>
              <w:rPr>
                <w:spacing w:val="-32"/>
                <w:sz w:val="24"/>
              </w:rPr>
              <w:t xml:space="preserve">年 </w:t>
            </w:r>
            <w:r>
              <w:rPr>
                <w:rFonts w:ascii="Times New Roman" w:eastAsia="Times New Roman"/>
                <w:sz w:val="24"/>
              </w:rPr>
              <w:t xml:space="preserve">9 </w:t>
            </w:r>
            <w:r>
              <w:rPr>
                <w:sz w:val="24"/>
              </w:rPr>
              <w:t>月底前竣工验收。</w:t>
            </w:r>
          </w:p>
          <w:p>
            <w:pPr>
              <w:pStyle w:val="TableParagraph"/>
              <w:ind w:left="2701"/>
              <w:jc w:val="both"/>
              <w:rPr>
                <w:b/>
                <w:sz w:val="24"/>
              </w:rPr>
            </w:pPr>
            <w:r>
              <w:rPr>
                <w:b/>
                <w:sz w:val="24"/>
              </w:rPr>
              <w:t xml:space="preserve">表 </w:t>
            </w:r>
            <w:r>
              <w:rPr>
                <w:rFonts w:ascii="Times New Roman" w:eastAsia="Times New Roman"/>
                <w:b/>
                <w:sz w:val="24"/>
              </w:rPr>
              <w:t xml:space="preserve">2-4  </w:t>
            </w:r>
            <w:r>
              <w:rPr>
                <w:b/>
                <w:sz w:val="24"/>
              </w:rPr>
              <w:t>项目施工周期横道图</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1"/>
              <w:rPr>
                <w:rFonts w:ascii="Times New Roman"/>
                <w:sz w:val="34"/>
              </w:rPr>
            </w:pPr>
          </w:p>
          <w:p>
            <w:pPr>
              <w:pStyle w:val="TableParagraph"/>
              <w:ind w:left="592"/>
              <w:rPr>
                <w:b/>
                <w:sz w:val="24"/>
              </w:rPr>
            </w:pPr>
            <w:r>
              <w:rPr>
                <w:rFonts w:ascii="Times New Roman" w:eastAsia="Times New Roman"/>
                <w:b/>
                <w:sz w:val="24"/>
              </w:rPr>
              <w:t>2</w:t>
            </w:r>
            <w:r>
              <w:rPr>
                <w:b/>
                <w:sz w:val="24"/>
              </w:rPr>
              <w:t>、土方平衡</w:t>
            </w:r>
          </w:p>
          <w:p>
            <w:pPr>
              <w:pStyle w:val="TableParagraph"/>
              <w:tabs>
                <w:tab w:val="left" w:pos="2958"/>
              </w:tabs>
              <w:spacing w:before="4" w:line="285" w:lineRule="exact"/>
              <w:ind w:left="2099"/>
              <w:rPr>
                <w:b/>
                <w:sz w:val="24"/>
              </w:rPr>
            </w:pPr>
            <w:r>
              <w:rPr>
                <w:b/>
                <w:sz w:val="24"/>
              </w:rPr>
              <w:t>表</w:t>
            </w:r>
            <w:r>
              <w:rPr>
                <w:b/>
                <w:spacing w:val="-62"/>
                <w:sz w:val="24"/>
              </w:rPr>
              <w:t xml:space="preserve"> </w:t>
            </w:r>
            <w:r>
              <w:rPr>
                <w:rFonts w:ascii="Times New Roman" w:eastAsia="Times New Roman"/>
                <w:b/>
                <w:sz w:val="24"/>
              </w:rPr>
              <w:t>2-5</w:t>
              <w:tab/>
            </w:r>
            <w:r>
              <w:rPr>
                <w:b/>
                <w:sz w:val="24"/>
              </w:rPr>
              <w:t>串通河治理工程土方调配平衡表</w:t>
            </w:r>
          </w:p>
        </w:tc>
      </w:tr>
      <w:tr>
        <w:tblPrEx>
          <w:tblW w:w="0" w:type="auto"/>
          <w:jc w:val="left"/>
          <w:tblInd w:w="198" w:type="dxa"/>
          <w:tblLayout w:type="fixed"/>
          <w:tblCellMar>
            <w:top w:w="0" w:type="dxa"/>
            <w:left w:w="0" w:type="dxa"/>
            <w:bottom w:w="0" w:type="dxa"/>
            <w:right w:w="0" w:type="dxa"/>
          </w:tblCellMar>
          <w:tblLook w:val="01E0"/>
        </w:tblPrEx>
        <w:trPr>
          <w:trHeight w:val="647"/>
          <w:jc w:val="left"/>
        </w:trPr>
        <w:tc>
          <w:tcPr>
            <w:tcW w:w="666"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16"/>
              </w:rPr>
            </w:pPr>
          </w:p>
          <w:p>
            <w:pPr>
              <w:pStyle w:val="TableParagraph"/>
              <w:ind w:left="107" w:right="92"/>
              <w:jc w:val="center"/>
              <w:rPr>
                <w:sz w:val="21"/>
              </w:rPr>
            </w:pPr>
            <w:r>
              <w:rPr>
                <w:sz w:val="21"/>
              </w:rPr>
              <w:t>挖方</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316" w:right="193" w:hanging="106"/>
              <w:rPr>
                <w:sz w:val="21"/>
              </w:rPr>
            </w:pPr>
            <w:r>
              <w:rPr>
                <w:sz w:val="21"/>
              </w:rPr>
              <w:t>填筑施工坝</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300" w:right="177" w:hanging="104"/>
              <w:rPr>
                <w:sz w:val="21"/>
              </w:rPr>
            </w:pPr>
            <w:r>
              <w:rPr>
                <w:sz w:val="21"/>
              </w:rPr>
              <w:t>填筑排泥场围堰</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174" w:right="89"/>
              <w:rPr>
                <w:sz w:val="21"/>
              </w:rPr>
            </w:pPr>
            <w:r>
              <w:rPr>
                <w:sz w:val="21"/>
              </w:rPr>
              <w:t xml:space="preserve">入 </w:t>
            </w:r>
            <w:r>
              <w:rPr>
                <w:rFonts w:ascii="Times New Roman" w:eastAsia="Times New Roman"/>
                <w:sz w:val="21"/>
              </w:rPr>
              <w:t xml:space="preserve">1 </w:t>
            </w:r>
            <w:r>
              <w:rPr>
                <w:sz w:val="21"/>
              </w:rPr>
              <w:t>号弃土区</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305" w:right="92" w:hanging="192"/>
              <w:rPr>
                <w:sz w:val="21"/>
              </w:rPr>
            </w:pPr>
            <w:r>
              <w:rPr>
                <w:sz w:val="21"/>
              </w:rPr>
              <w:t>入</w:t>
            </w:r>
            <w:r>
              <w:rPr>
                <w:rFonts w:ascii="Times New Roman" w:eastAsia="Times New Roman"/>
                <w:sz w:val="21"/>
              </w:rPr>
              <w:t xml:space="preserve">2 </w:t>
            </w:r>
            <w:r>
              <w:rPr>
                <w:sz w:val="21"/>
              </w:rPr>
              <w:t>号弃土区</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168" w:right="83"/>
              <w:rPr>
                <w:sz w:val="21"/>
              </w:rPr>
            </w:pPr>
            <w:r>
              <w:rPr>
                <w:sz w:val="21"/>
              </w:rPr>
              <w:t xml:space="preserve">入 </w:t>
            </w:r>
            <w:r>
              <w:rPr>
                <w:rFonts w:ascii="Times New Roman" w:eastAsia="Times New Roman"/>
                <w:sz w:val="21"/>
              </w:rPr>
              <w:t xml:space="preserve">3 </w:t>
            </w:r>
            <w:r>
              <w:rPr>
                <w:sz w:val="21"/>
              </w:rPr>
              <w:t>号弃土区</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16"/>
              </w:rPr>
            </w:pPr>
          </w:p>
          <w:p>
            <w:pPr>
              <w:pStyle w:val="TableParagraph"/>
              <w:ind w:left="187" w:right="171"/>
              <w:jc w:val="center"/>
              <w:rPr>
                <w:sz w:val="21"/>
              </w:rPr>
            </w:pPr>
            <w:r>
              <w:rPr>
                <w:sz w:val="21"/>
              </w:rPr>
              <w:t>合计</w:t>
            </w:r>
          </w:p>
        </w:tc>
        <w:tc>
          <w:tcPr>
            <w:tcW w:w="116" w:type="dxa"/>
            <w:tcBorders>
              <w:top w:val="nil"/>
              <w:left w:val="single" w:sz="4" w:space="0" w:color="000000"/>
              <w:bottom w:val="nil"/>
            </w:tcBorders>
          </w:tcPr>
          <w:p>
            <w:pPr>
              <w:pStyle w:val="TableParagraph"/>
              <w:rPr>
                <w:rFonts w:ascii="Times New Roman"/>
                <w:sz w:val="22"/>
              </w:rPr>
            </w:pPr>
          </w:p>
        </w:tc>
      </w:tr>
      <w:tr>
        <w:tblPrEx>
          <w:tblW w:w="0" w:type="auto"/>
          <w:jc w:val="left"/>
          <w:tblInd w:w="198" w:type="dxa"/>
          <w:tblLayout w:type="fixed"/>
          <w:tblCellMar>
            <w:top w:w="0" w:type="dxa"/>
            <w:left w:w="0" w:type="dxa"/>
            <w:bottom w:w="0" w:type="dxa"/>
            <w:right w:w="0" w:type="dxa"/>
          </w:tblCellMar>
          <w:tblLook w:val="01E0"/>
        </w:tblPrEx>
        <w:trPr>
          <w:trHeight w:val="260"/>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02" w:type="dxa"/>
            <w:tcBorders>
              <w:top w:val="single" w:sz="4" w:space="0" w:color="000000"/>
              <w:left w:val="single" w:sz="4" w:space="0" w:color="000000"/>
              <w:bottom w:val="single" w:sz="12" w:space="0" w:color="000000"/>
              <w:right w:val="single" w:sz="4" w:space="0" w:color="000000"/>
            </w:tcBorders>
          </w:tcPr>
          <w:p>
            <w:pPr>
              <w:pStyle w:val="TableParagraph"/>
              <w:spacing w:line="240" w:lineRule="exact"/>
              <w:ind w:left="195"/>
              <w:rPr>
                <w:sz w:val="21"/>
              </w:rPr>
            </w:pPr>
            <w:r>
              <w:rPr>
                <w:sz w:val="21"/>
              </w:rPr>
              <w:t>总量</w:t>
            </w:r>
          </w:p>
        </w:tc>
        <w:tc>
          <w:tcPr>
            <w:tcW w:w="1130" w:type="dxa"/>
            <w:tcBorders>
              <w:top w:val="single" w:sz="4" w:space="0" w:color="000000"/>
              <w:left w:val="single" w:sz="4" w:space="0" w:color="000000"/>
              <w:bottom w:val="single" w:sz="12" w:space="0" w:color="000000"/>
              <w:right w:val="single" w:sz="4" w:space="0" w:color="000000"/>
            </w:tcBorders>
          </w:tcPr>
          <w:p>
            <w:pPr>
              <w:pStyle w:val="TableParagraph"/>
              <w:spacing w:line="240" w:lineRule="exact"/>
              <w:ind w:left="358"/>
              <w:rPr>
                <w:sz w:val="21"/>
              </w:rPr>
            </w:pPr>
            <w:r>
              <w:rPr>
                <w:sz w:val="21"/>
              </w:rPr>
              <w:t>实方</w:t>
            </w:r>
          </w:p>
        </w:tc>
        <w:tc>
          <w:tcPr>
            <w:tcW w:w="1045" w:type="dxa"/>
            <w:tcBorders>
              <w:top w:val="single" w:sz="4" w:space="0" w:color="000000"/>
              <w:left w:val="single" w:sz="4" w:space="0" w:color="000000"/>
              <w:bottom w:val="single" w:sz="12" w:space="0" w:color="000000"/>
              <w:right w:val="single" w:sz="4" w:space="0" w:color="000000"/>
            </w:tcBorders>
          </w:tcPr>
          <w:p>
            <w:pPr>
              <w:pStyle w:val="TableParagraph"/>
              <w:spacing w:before="11" w:line="229" w:lineRule="exact"/>
              <w:ind w:left="265"/>
              <w:rPr>
                <w:rFonts w:ascii="Times New Roman"/>
                <w:sz w:val="21"/>
              </w:rPr>
            </w:pPr>
            <w:r>
              <w:rPr>
                <w:rFonts w:ascii="Times New Roman"/>
                <w:sz w:val="21"/>
              </w:rPr>
              <w:t>16184</w:t>
            </w:r>
          </w:p>
        </w:tc>
        <w:tc>
          <w:tcPr>
            <w:tcW w:w="1225" w:type="dxa"/>
            <w:tcBorders>
              <w:top w:val="single" w:sz="4" w:space="0" w:color="000000"/>
              <w:left w:val="single" w:sz="4" w:space="0" w:color="000000"/>
              <w:bottom w:val="single" w:sz="12" w:space="0" w:color="000000"/>
              <w:right w:val="single" w:sz="4" w:space="0" w:color="000000"/>
            </w:tcBorders>
          </w:tcPr>
          <w:p>
            <w:pPr>
              <w:pStyle w:val="TableParagraph"/>
              <w:spacing w:before="11" w:line="229" w:lineRule="exact"/>
              <w:ind w:left="353"/>
              <w:rPr>
                <w:rFonts w:ascii="Times New Roman"/>
                <w:sz w:val="21"/>
              </w:rPr>
            </w:pPr>
            <w:r>
              <w:rPr>
                <w:rFonts w:ascii="Times New Roman"/>
                <w:sz w:val="21"/>
              </w:rPr>
              <w:t>73416</w:t>
            </w:r>
          </w:p>
        </w:tc>
        <w:tc>
          <w:tcPr>
            <w:tcW w:w="971" w:type="dxa"/>
            <w:tcBorders>
              <w:top w:val="single" w:sz="4" w:space="0" w:color="000000"/>
              <w:left w:val="single" w:sz="4" w:space="0" w:color="000000"/>
              <w:bottom w:val="single" w:sz="12" w:space="0" w:color="000000"/>
              <w:right w:val="single" w:sz="4" w:space="0" w:color="000000"/>
            </w:tcBorders>
          </w:tcPr>
          <w:p>
            <w:pPr>
              <w:pStyle w:val="TableParagraph"/>
              <w:spacing w:before="11" w:line="229" w:lineRule="exact"/>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12" w:space="0" w:color="000000"/>
              <w:right w:val="single" w:sz="4" w:space="0" w:color="000000"/>
            </w:tcBorders>
          </w:tcPr>
          <w:p>
            <w:pPr>
              <w:pStyle w:val="TableParagraph"/>
              <w:spacing w:before="11" w:line="229" w:lineRule="exact"/>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12" w:space="0" w:color="000000"/>
              <w:right w:val="single" w:sz="4" w:space="0" w:color="000000"/>
            </w:tcBorders>
          </w:tcPr>
          <w:p>
            <w:pPr>
              <w:pStyle w:val="TableParagraph"/>
              <w:spacing w:before="11" w:line="229" w:lineRule="exact"/>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12" w:space="0" w:color="000000"/>
              <w:right w:val="single" w:sz="4" w:space="0" w:color="000000"/>
            </w:tcBorders>
          </w:tcPr>
          <w:p>
            <w:pPr>
              <w:pStyle w:val="TableParagraph"/>
              <w:spacing w:before="11" w:line="229" w:lineRule="exact"/>
              <w:ind w:left="188" w:right="171"/>
              <w:jc w:val="center"/>
              <w:rPr>
                <w:rFonts w:ascii="Times New Roman"/>
                <w:sz w:val="21"/>
              </w:rPr>
            </w:pPr>
            <w:r>
              <w:rPr>
                <w:rFonts w:ascii="Times New Roman"/>
                <w:sz w:val="21"/>
              </w:rPr>
              <w:t>89600</w:t>
            </w:r>
          </w:p>
        </w:tc>
        <w:tc>
          <w:tcPr>
            <w:tcW w:w="116" w:type="dxa"/>
            <w:tcBorders>
              <w:top w:val="nil"/>
              <w:left w:val="single" w:sz="4" w:space="0" w:color="000000"/>
            </w:tcBorders>
          </w:tcPr>
          <w:p>
            <w:pPr>
              <w:pStyle w:val="TableParagraph"/>
              <w:rPr>
                <w:rFonts w:ascii="Times New Roman"/>
                <w:sz w:val="18"/>
              </w:rPr>
            </w:pPr>
          </w:p>
        </w:tc>
      </w:tr>
    </w:tbl>
    <w:p>
      <w:pPr>
        <w:spacing w:after="0"/>
        <w:rPr>
          <w:rFonts w:ascii="Times New Roman"/>
          <w:sz w:val="18"/>
        </w:rPr>
        <w:sectPr>
          <w:headerReference w:type="default" r:id="rId58"/>
          <w:footerReference w:type="default" r:id="rId59"/>
          <w:pgSz w:w="11910" w:h="16840"/>
          <w:pgMar w:top="1340" w:right="1120" w:bottom="1160" w:left="1220" w:header="891" w:footer="969"/>
          <w:pgNumType w:start="27"/>
          <w:cols w:space="708"/>
        </w:sectPr>
      </w:pPr>
    </w:p>
    <w:p>
      <w:pPr>
        <w:pStyle w:val="BodyText"/>
        <w:spacing w:before="1"/>
        <w:rPr>
          <w:rFonts w:ascii="Times New Roman"/>
          <w:sz w:val="7"/>
        </w:rPr>
      </w:pPr>
    </w:p>
    <w:tbl>
      <w:tblPr>
        <w:tblStyle w:val="TableNormal24"/>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113"/>
        <w:gridCol w:w="802"/>
        <w:gridCol w:w="1130"/>
        <w:gridCol w:w="1045"/>
        <w:gridCol w:w="1225"/>
        <w:gridCol w:w="971"/>
        <w:gridCol w:w="1020"/>
        <w:gridCol w:w="959"/>
        <w:gridCol w:w="1043"/>
        <w:gridCol w:w="116"/>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67"/>
          <w:jc w:val="left"/>
        </w:trPr>
        <w:tc>
          <w:tcPr>
            <w:tcW w:w="666" w:type="dxa"/>
            <w:vMerge w:val="restart"/>
            <w:tcBorders>
              <w:right w:val="single" w:sz="4" w:space="0" w:color="000000"/>
            </w:tcBorders>
          </w:tcPr>
          <w:p>
            <w:pPr>
              <w:pStyle w:val="TableParagraph"/>
              <w:rPr>
                <w:rFonts w:ascii="Times New Roman"/>
                <w:sz w:val="22"/>
              </w:rPr>
            </w:pPr>
          </w:p>
        </w:tc>
        <w:tc>
          <w:tcPr>
            <w:tcW w:w="113" w:type="dxa"/>
            <w:vMerge w:val="restart"/>
            <w:tcBorders>
              <w:left w:val="single" w:sz="4" w:space="0" w:color="000000"/>
              <w:bottom w:val="nil"/>
              <w:right w:val="single" w:sz="4" w:space="0" w:color="000000"/>
            </w:tcBorders>
          </w:tcPr>
          <w:p>
            <w:pPr>
              <w:pStyle w:val="TableParagraph"/>
              <w:rPr>
                <w:rFonts w:ascii="Times New Roman"/>
                <w:sz w:val="22"/>
              </w:rPr>
            </w:pPr>
          </w:p>
        </w:tc>
        <w:tc>
          <w:tcPr>
            <w:tcW w:w="802" w:type="dxa"/>
            <w:vMerge w:val="restart"/>
            <w:tcBorders>
              <w:left w:val="single" w:sz="4" w:space="0" w:color="000000"/>
              <w:bottom w:val="single" w:sz="4" w:space="0" w:color="000000"/>
              <w:right w:val="single" w:sz="4" w:space="0" w:color="000000"/>
            </w:tcBorders>
          </w:tcPr>
          <w:p>
            <w:pPr>
              <w:pStyle w:val="TableParagraph"/>
              <w:rPr>
                <w:rFonts w:ascii="Times New Roman"/>
                <w:sz w:val="22"/>
              </w:rPr>
            </w:pPr>
          </w:p>
        </w:tc>
        <w:tc>
          <w:tcPr>
            <w:tcW w:w="1130" w:type="dxa"/>
            <w:tcBorders>
              <w:left w:val="single" w:sz="4" w:space="0" w:color="000000"/>
              <w:bottom w:val="single" w:sz="4" w:space="0" w:color="000000"/>
              <w:right w:val="single" w:sz="4" w:space="0" w:color="000000"/>
            </w:tcBorders>
          </w:tcPr>
          <w:p>
            <w:pPr>
              <w:pStyle w:val="TableParagraph"/>
              <w:spacing w:before="1" w:line="245" w:lineRule="exact"/>
              <w:ind w:left="128" w:right="108"/>
              <w:jc w:val="center"/>
              <w:rPr>
                <w:sz w:val="21"/>
              </w:rPr>
            </w:pPr>
            <w:r>
              <w:rPr>
                <w:sz w:val="21"/>
              </w:rPr>
              <w:t>自然方</w:t>
            </w:r>
          </w:p>
        </w:tc>
        <w:tc>
          <w:tcPr>
            <w:tcW w:w="1045" w:type="dxa"/>
            <w:tcBorders>
              <w:left w:val="single" w:sz="4" w:space="0" w:color="000000"/>
              <w:bottom w:val="single" w:sz="4" w:space="0" w:color="000000"/>
              <w:right w:val="single" w:sz="4" w:space="0" w:color="000000"/>
            </w:tcBorders>
          </w:tcPr>
          <w:p>
            <w:pPr>
              <w:pStyle w:val="TableParagraph"/>
              <w:spacing w:before="15" w:line="231" w:lineRule="exact"/>
              <w:ind w:left="245" w:right="225"/>
              <w:jc w:val="center"/>
              <w:rPr>
                <w:rFonts w:ascii="Times New Roman"/>
                <w:sz w:val="21"/>
              </w:rPr>
            </w:pPr>
            <w:r>
              <w:rPr>
                <w:rFonts w:ascii="Times New Roman"/>
                <w:sz w:val="21"/>
              </w:rPr>
              <w:t>19097</w:t>
            </w:r>
          </w:p>
        </w:tc>
        <w:tc>
          <w:tcPr>
            <w:tcW w:w="1225" w:type="dxa"/>
            <w:tcBorders>
              <w:left w:val="single" w:sz="4" w:space="0" w:color="000000"/>
              <w:bottom w:val="single" w:sz="4" w:space="0" w:color="000000"/>
              <w:right w:val="single" w:sz="4" w:space="0" w:color="000000"/>
            </w:tcBorders>
          </w:tcPr>
          <w:p>
            <w:pPr>
              <w:pStyle w:val="TableParagraph"/>
              <w:spacing w:before="15" w:line="231" w:lineRule="exact"/>
              <w:ind w:right="335"/>
              <w:jc w:val="right"/>
              <w:rPr>
                <w:rFonts w:ascii="Times New Roman"/>
                <w:sz w:val="21"/>
              </w:rPr>
            </w:pPr>
            <w:r>
              <w:rPr>
                <w:rFonts w:ascii="Times New Roman"/>
                <w:w w:val="95"/>
                <w:sz w:val="21"/>
              </w:rPr>
              <w:t>86631</w:t>
            </w:r>
          </w:p>
        </w:tc>
        <w:tc>
          <w:tcPr>
            <w:tcW w:w="971" w:type="dxa"/>
            <w:tcBorders>
              <w:left w:val="single" w:sz="4" w:space="0" w:color="000000"/>
              <w:bottom w:val="single" w:sz="4" w:space="0" w:color="000000"/>
              <w:right w:val="single" w:sz="4" w:space="0" w:color="000000"/>
            </w:tcBorders>
          </w:tcPr>
          <w:p>
            <w:pPr>
              <w:pStyle w:val="TableParagraph"/>
              <w:spacing w:before="15" w:line="231" w:lineRule="exact"/>
              <w:ind w:left="207" w:right="189"/>
              <w:jc w:val="center"/>
              <w:rPr>
                <w:rFonts w:ascii="Times New Roman"/>
                <w:sz w:val="21"/>
              </w:rPr>
            </w:pPr>
            <w:r>
              <w:rPr>
                <w:rFonts w:ascii="Times New Roman"/>
                <w:sz w:val="21"/>
              </w:rPr>
              <w:t>78180</w:t>
            </w:r>
          </w:p>
        </w:tc>
        <w:tc>
          <w:tcPr>
            <w:tcW w:w="1020" w:type="dxa"/>
            <w:tcBorders>
              <w:left w:val="single" w:sz="4" w:space="0" w:color="000000"/>
              <w:bottom w:val="single" w:sz="4" w:space="0" w:color="000000"/>
              <w:right w:val="single" w:sz="4" w:space="0" w:color="000000"/>
            </w:tcBorders>
          </w:tcPr>
          <w:p>
            <w:pPr>
              <w:pStyle w:val="TableParagraph"/>
              <w:spacing w:before="15" w:line="231" w:lineRule="exact"/>
              <w:ind w:right="178"/>
              <w:jc w:val="right"/>
              <w:rPr>
                <w:rFonts w:ascii="Times New Roman"/>
                <w:sz w:val="21"/>
              </w:rPr>
            </w:pPr>
            <w:r>
              <w:rPr>
                <w:rFonts w:ascii="Times New Roman"/>
                <w:w w:val="95"/>
                <w:sz w:val="21"/>
              </w:rPr>
              <w:t>144026</w:t>
            </w:r>
          </w:p>
        </w:tc>
        <w:tc>
          <w:tcPr>
            <w:tcW w:w="959" w:type="dxa"/>
            <w:tcBorders>
              <w:left w:val="single" w:sz="4" w:space="0" w:color="000000"/>
              <w:bottom w:val="single" w:sz="4" w:space="0" w:color="000000"/>
              <w:right w:val="single" w:sz="4" w:space="0" w:color="000000"/>
            </w:tcBorders>
          </w:tcPr>
          <w:p>
            <w:pPr>
              <w:pStyle w:val="TableParagraph"/>
              <w:spacing w:before="15" w:line="231" w:lineRule="exact"/>
              <w:ind w:left="200" w:right="182"/>
              <w:jc w:val="center"/>
              <w:rPr>
                <w:rFonts w:ascii="Times New Roman"/>
                <w:sz w:val="21"/>
              </w:rPr>
            </w:pPr>
            <w:r>
              <w:rPr>
                <w:rFonts w:ascii="Times New Roman"/>
                <w:sz w:val="21"/>
              </w:rPr>
              <w:t>91119</w:t>
            </w:r>
          </w:p>
        </w:tc>
        <w:tc>
          <w:tcPr>
            <w:tcW w:w="1043" w:type="dxa"/>
            <w:tcBorders>
              <w:left w:val="single" w:sz="4" w:space="0" w:color="000000"/>
              <w:bottom w:val="single" w:sz="4" w:space="0" w:color="000000"/>
              <w:right w:val="single" w:sz="4" w:space="0" w:color="000000"/>
            </w:tcBorders>
          </w:tcPr>
          <w:p>
            <w:pPr>
              <w:pStyle w:val="TableParagraph"/>
              <w:spacing w:before="15" w:line="231" w:lineRule="exact"/>
              <w:ind w:left="188" w:right="171"/>
              <w:jc w:val="center"/>
              <w:rPr>
                <w:rFonts w:ascii="Times New Roman"/>
                <w:sz w:val="21"/>
              </w:rPr>
            </w:pPr>
            <w:r>
              <w:rPr>
                <w:rFonts w:ascii="Times New Roman"/>
                <w:sz w:val="21"/>
              </w:rPr>
              <w:t>419053</w:t>
            </w:r>
          </w:p>
        </w:tc>
        <w:tc>
          <w:tcPr>
            <w:tcW w:w="116" w:type="dxa"/>
            <w:tcBorders>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02" w:type="dxa"/>
            <w:vMerge/>
            <w:tcBorders>
              <w:top w:val="nil"/>
              <w:left w:val="single" w:sz="4" w:space="0" w:color="000000"/>
              <w:bottom w:val="single" w:sz="4" w:space="0" w:color="000000"/>
              <w:right w:val="single" w:sz="4" w:space="0" w:color="000000"/>
            </w:tcBorders>
          </w:tcPr>
          <w:p>
            <w:pPr>
              <w:rPr>
                <w:sz w:val="2"/>
                <w:szCs w:val="2"/>
              </w:rPr>
            </w:pP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28" w:right="111"/>
              <w:jc w:val="center"/>
              <w:rPr>
                <w:sz w:val="21"/>
              </w:rPr>
            </w:pPr>
            <w:r>
              <w:rPr>
                <w:sz w:val="21"/>
              </w:rPr>
              <w:t>河道挖方</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9" w:line="234"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9" w:line="234"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9" w:line="234" w:lineRule="exact"/>
              <w:ind w:left="207" w:right="189"/>
              <w:jc w:val="center"/>
              <w:rPr>
                <w:rFonts w:ascii="Times New Roman"/>
                <w:sz w:val="21"/>
              </w:rPr>
            </w:pPr>
            <w:r>
              <w:rPr>
                <w:rFonts w:ascii="Times New Roman"/>
                <w:sz w:val="21"/>
              </w:rPr>
              <w:t>67836</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9" w:line="234" w:lineRule="exact"/>
              <w:ind w:right="178"/>
              <w:jc w:val="right"/>
              <w:rPr>
                <w:rFonts w:ascii="Times New Roman"/>
                <w:sz w:val="21"/>
              </w:rPr>
            </w:pPr>
            <w:r>
              <w:rPr>
                <w:rFonts w:ascii="Times New Roman"/>
                <w:w w:val="95"/>
                <w:sz w:val="21"/>
              </w:rPr>
              <w:t>125347</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9" w:line="234" w:lineRule="exact"/>
              <w:ind w:left="200" w:right="182"/>
              <w:jc w:val="center"/>
              <w:rPr>
                <w:rFonts w:ascii="Times New Roman"/>
                <w:sz w:val="21"/>
              </w:rPr>
            </w:pPr>
            <w:r>
              <w:rPr>
                <w:rFonts w:ascii="Times New Roman"/>
                <w:sz w:val="21"/>
              </w:rPr>
              <w:t>79842</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9" w:line="234" w:lineRule="exact"/>
              <w:ind w:left="188" w:right="171"/>
              <w:jc w:val="center"/>
              <w:rPr>
                <w:rFonts w:ascii="Times New Roman"/>
                <w:sz w:val="21"/>
              </w:rPr>
            </w:pPr>
            <w:r>
              <w:rPr>
                <w:rFonts w:ascii="Times New Roman"/>
                <w:sz w:val="21"/>
              </w:rPr>
              <w:t>273025</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230"/>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375"/>
              <w:rPr>
                <w:rFonts w:ascii="Times New Roman"/>
                <w:sz w:val="21"/>
              </w:rPr>
            </w:pPr>
            <w:r>
              <w:rPr>
                <w:rFonts w:ascii="Times New Roman"/>
                <w:sz w:val="21"/>
              </w:rPr>
              <w:t>1+700~4+700</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207" w:right="189"/>
              <w:jc w:val="center"/>
              <w:rPr>
                <w:rFonts w:ascii="Times New Roman"/>
                <w:sz w:val="21"/>
              </w:rPr>
            </w:pPr>
            <w:r>
              <w:rPr>
                <w:rFonts w:ascii="Times New Roman"/>
                <w:sz w:val="21"/>
              </w:rPr>
              <w:t>65836</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88" w:right="171"/>
              <w:jc w:val="center"/>
              <w:rPr>
                <w:rFonts w:ascii="Times New Roman"/>
                <w:sz w:val="21"/>
              </w:rPr>
            </w:pPr>
            <w:r>
              <w:rPr>
                <w:rFonts w:ascii="Times New Roman"/>
                <w:sz w:val="21"/>
              </w:rPr>
              <w:t>65836</w:t>
            </w:r>
          </w:p>
        </w:tc>
        <w:tc>
          <w:tcPr>
            <w:tcW w:w="116" w:type="dxa"/>
            <w:tcBorders>
              <w:top w:val="nil"/>
              <w:left w:val="single" w:sz="4" w:space="0" w:color="000000"/>
              <w:bottom w:val="nil"/>
            </w:tcBorders>
          </w:tcPr>
          <w:p>
            <w:pPr>
              <w:pStyle w:val="TableParagraph"/>
              <w:rPr>
                <w:rFonts w:ascii="Times New Roman"/>
                <w:sz w:val="16"/>
              </w:rPr>
            </w:pPr>
          </w:p>
        </w:tc>
      </w:tr>
      <w:tr>
        <w:tblPrEx>
          <w:tblW w:w="0" w:type="auto"/>
          <w:jc w:val="left"/>
          <w:tblInd w:w="198" w:type="dxa"/>
          <w:tblLayout w:type="fixed"/>
          <w:tblCellMar>
            <w:top w:w="0" w:type="dxa"/>
            <w:left w:w="0" w:type="dxa"/>
            <w:bottom w:w="0" w:type="dxa"/>
            <w:right w:w="0" w:type="dxa"/>
          </w:tblCellMar>
          <w:tblLook w:val="01E0"/>
        </w:tblPrEx>
        <w:trPr>
          <w:trHeight w:val="232"/>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375"/>
              <w:rPr>
                <w:rFonts w:ascii="Times New Roman"/>
                <w:sz w:val="21"/>
              </w:rPr>
            </w:pPr>
            <w:r>
              <w:rPr>
                <w:rFonts w:ascii="Times New Roman"/>
                <w:sz w:val="21"/>
              </w:rPr>
              <w:t>4+700~9+972</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right="180"/>
              <w:jc w:val="right"/>
              <w:rPr>
                <w:rFonts w:ascii="Times New Roman"/>
                <w:sz w:val="21"/>
              </w:rPr>
            </w:pPr>
            <w:r>
              <w:rPr>
                <w:rFonts w:ascii="Times New Roman"/>
                <w:w w:val="95"/>
                <w:sz w:val="21"/>
              </w:rPr>
              <w:t>118147</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90" w:right="170"/>
              <w:jc w:val="center"/>
              <w:rPr>
                <w:rFonts w:ascii="Times New Roman"/>
                <w:sz w:val="21"/>
              </w:rPr>
            </w:pPr>
            <w:r>
              <w:rPr>
                <w:rFonts w:ascii="Times New Roman"/>
                <w:sz w:val="21"/>
              </w:rPr>
              <w:t>118147</w:t>
            </w:r>
          </w:p>
        </w:tc>
        <w:tc>
          <w:tcPr>
            <w:tcW w:w="116" w:type="dxa"/>
            <w:tcBorders>
              <w:top w:val="nil"/>
              <w:left w:val="single" w:sz="4" w:space="0" w:color="000000"/>
              <w:bottom w:val="nil"/>
            </w:tcBorders>
          </w:tcPr>
          <w:p>
            <w:pPr>
              <w:pStyle w:val="TableParagraph"/>
              <w:rPr>
                <w:rFonts w:ascii="Times New Roman"/>
                <w:sz w:val="16"/>
              </w:rPr>
            </w:pPr>
          </w:p>
        </w:tc>
      </w:tr>
      <w:tr>
        <w:tblPrEx>
          <w:tblW w:w="0" w:type="auto"/>
          <w:jc w:val="left"/>
          <w:tblInd w:w="198" w:type="dxa"/>
          <w:tblLayout w:type="fixed"/>
          <w:tblCellMar>
            <w:top w:w="0" w:type="dxa"/>
            <w:left w:w="0" w:type="dxa"/>
            <w:bottom w:w="0" w:type="dxa"/>
            <w:right w:w="0" w:type="dxa"/>
          </w:tblCellMar>
          <w:tblLook w:val="01E0"/>
        </w:tblPrEx>
        <w:trPr>
          <w:trHeight w:val="232"/>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323"/>
              <w:rPr>
                <w:rFonts w:ascii="Times New Roman"/>
                <w:sz w:val="21"/>
              </w:rPr>
            </w:pPr>
            <w:r>
              <w:rPr>
                <w:rFonts w:ascii="Times New Roman"/>
                <w:sz w:val="21"/>
              </w:rPr>
              <w:t>9+972~13+220</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200" w:right="182"/>
              <w:jc w:val="center"/>
              <w:rPr>
                <w:rFonts w:ascii="Times New Roman"/>
                <w:sz w:val="21"/>
              </w:rPr>
            </w:pPr>
            <w:r>
              <w:rPr>
                <w:rFonts w:ascii="Times New Roman"/>
                <w:sz w:val="21"/>
              </w:rPr>
              <w:t>75842</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12" w:lineRule="exact"/>
              <w:ind w:left="188" w:right="171"/>
              <w:jc w:val="center"/>
              <w:rPr>
                <w:rFonts w:ascii="Times New Roman"/>
                <w:sz w:val="21"/>
              </w:rPr>
            </w:pPr>
            <w:r>
              <w:rPr>
                <w:rFonts w:ascii="Times New Roman"/>
                <w:sz w:val="21"/>
              </w:rPr>
              <w:t>75842</w:t>
            </w:r>
          </w:p>
        </w:tc>
        <w:tc>
          <w:tcPr>
            <w:tcW w:w="116" w:type="dxa"/>
            <w:tcBorders>
              <w:top w:val="nil"/>
              <w:left w:val="single" w:sz="4" w:space="0" w:color="000000"/>
              <w:bottom w:val="nil"/>
            </w:tcBorders>
          </w:tcPr>
          <w:p>
            <w:pPr>
              <w:pStyle w:val="TableParagraph"/>
              <w:rPr>
                <w:rFonts w:ascii="Times New Roman"/>
                <w:sz w:val="16"/>
              </w:rPr>
            </w:pP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234"/>
              <w:rPr>
                <w:sz w:val="21"/>
              </w:rPr>
            </w:pPr>
            <w:r>
              <w:rPr>
                <w:sz w:val="21"/>
              </w:rPr>
              <w:t>干支河拉坡土方</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207" w:right="189"/>
              <w:jc w:val="center"/>
              <w:rPr>
                <w:rFonts w:ascii="Times New Roman"/>
                <w:sz w:val="21"/>
              </w:rPr>
            </w:pPr>
            <w:r>
              <w:rPr>
                <w:rFonts w:ascii="Times New Roman"/>
                <w:sz w:val="21"/>
              </w:rPr>
              <w:t>2000</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305"/>
              <w:rPr>
                <w:rFonts w:ascii="Times New Roman"/>
                <w:sz w:val="21"/>
              </w:rPr>
            </w:pPr>
            <w:r>
              <w:rPr>
                <w:rFonts w:ascii="Times New Roman"/>
                <w:sz w:val="21"/>
              </w:rPr>
              <w:t>7200</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200" w:right="182"/>
              <w:jc w:val="center"/>
              <w:rPr>
                <w:rFonts w:ascii="Times New Roman"/>
                <w:sz w:val="21"/>
              </w:rPr>
            </w:pPr>
            <w:r>
              <w:rPr>
                <w:rFonts w:ascii="Times New Roman"/>
                <w:sz w:val="21"/>
              </w:rPr>
              <w:t>4000</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88" w:right="171"/>
              <w:jc w:val="center"/>
              <w:rPr>
                <w:rFonts w:ascii="Times New Roman"/>
                <w:sz w:val="21"/>
              </w:rPr>
            </w:pPr>
            <w:r>
              <w:rPr>
                <w:rFonts w:ascii="Times New Roman"/>
                <w:sz w:val="21"/>
              </w:rPr>
              <w:t>13200</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445"/>
              <w:rPr>
                <w:sz w:val="21"/>
              </w:rPr>
            </w:pPr>
            <w:r>
              <w:rPr>
                <w:sz w:val="21"/>
              </w:rPr>
              <w:t>弃土区清基</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07" w:right="189"/>
              <w:jc w:val="center"/>
              <w:rPr>
                <w:rFonts w:ascii="Times New Roman"/>
                <w:sz w:val="21"/>
              </w:rPr>
            </w:pPr>
            <w:r>
              <w:rPr>
                <w:rFonts w:ascii="Times New Roman"/>
                <w:sz w:val="21"/>
              </w:rPr>
              <w:t>10344</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right="230"/>
              <w:jc w:val="right"/>
              <w:rPr>
                <w:rFonts w:ascii="Times New Roman"/>
                <w:sz w:val="21"/>
              </w:rPr>
            </w:pPr>
            <w:r>
              <w:rPr>
                <w:rFonts w:ascii="Times New Roman"/>
                <w:w w:val="95"/>
                <w:sz w:val="21"/>
              </w:rPr>
              <w:t>18679</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01" w:right="181"/>
              <w:jc w:val="center"/>
              <w:rPr>
                <w:rFonts w:ascii="Times New Roman"/>
                <w:sz w:val="21"/>
              </w:rPr>
            </w:pPr>
            <w:r>
              <w:rPr>
                <w:rFonts w:ascii="Times New Roman"/>
                <w:sz w:val="21"/>
              </w:rPr>
              <w:t>11277</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88" w:right="171"/>
              <w:jc w:val="center"/>
              <w:rPr>
                <w:rFonts w:ascii="Times New Roman"/>
                <w:sz w:val="21"/>
              </w:rPr>
            </w:pPr>
            <w:r>
              <w:rPr>
                <w:rFonts w:ascii="Times New Roman"/>
                <w:sz w:val="21"/>
              </w:rPr>
              <w:t>40300</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263"/>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234"/>
              <w:rPr>
                <w:sz w:val="21"/>
              </w:rPr>
            </w:pPr>
            <w:r>
              <w:rPr>
                <w:sz w:val="21"/>
              </w:rPr>
              <w:t>排水沟开挖土方</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right="385"/>
              <w:jc w:val="right"/>
              <w:rPr>
                <w:rFonts w:ascii="Times New Roman"/>
                <w:sz w:val="21"/>
              </w:rPr>
            </w:pPr>
            <w:r>
              <w:rPr>
                <w:rFonts w:ascii="Times New Roman"/>
                <w:sz w:val="21"/>
              </w:rPr>
              <w:t>3492</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90" w:right="170"/>
              <w:jc w:val="center"/>
              <w:rPr>
                <w:rFonts w:ascii="Times New Roman"/>
                <w:sz w:val="21"/>
              </w:rPr>
            </w:pPr>
            <w:r>
              <w:rPr>
                <w:rFonts w:ascii="Times New Roman"/>
                <w:sz w:val="21"/>
              </w:rPr>
              <w:t>3492</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31"/>
              <w:rPr>
                <w:sz w:val="21"/>
              </w:rPr>
            </w:pPr>
            <w:r>
              <w:rPr>
                <w:sz w:val="21"/>
              </w:rPr>
              <w:t>取土筑排泥场围堰</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right="335"/>
              <w:jc w:val="right"/>
              <w:rPr>
                <w:rFonts w:ascii="Times New Roman"/>
                <w:sz w:val="21"/>
              </w:rPr>
            </w:pPr>
            <w:r>
              <w:rPr>
                <w:rFonts w:ascii="Times New Roman"/>
                <w:w w:val="95"/>
                <w:sz w:val="21"/>
              </w:rPr>
              <w:t>83139</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88" w:right="171"/>
              <w:jc w:val="center"/>
              <w:rPr>
                <w:rFonts w:ascii="Times New Roman"/>
                <w:sz w:val="21"/>
              </w:rPr>
            </w:pPr>
            <w:r>
              <w:rPr>
                <w:rFonts w:ascii="Times New Roman"/>
                <w:sz w:val="21"/>
              </w:rPr>
              <w:t>83439</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535"/>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0" w:right="92"/>
              <w:jc w:val="center"/>
              <w:rPr>
                <w:sz w:val="21"/>
              </w:rPr>
            </w:pPr>
            <w:r>
              <w:rPr>
                <w:sz w:val="21"/>
              </w:rPr>
              <w:t>弃土区取土筑干支</w:t>
            </w:r>
          </w:p>
          <w:p>
            <w:pPr>
              <w:pStyle w:val="TableParagraph"/>
              <w:spacing w:before="4" w:line="246" w:lineRule="exact"/>
              <w:ind w:left="107" w:right="92"/>
              <w:jc w:val="center"/>
              <w:rPr>
                <w:sz w:val="21"/>
              </w:rPr>
            </w:pPr>
            <w:r>
              <w:rPr>
                <w:sz w:val="21"/>
              </w:rPr>
              <w:t>河坝</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146"/>
              <w:ind w:left="245" w:right="225"/>
              <w:jc w:val="center"/>
              <w:rPr>
                <w:rFonts w:ascii="Times New Roman"/>
                <w:sz w:val="21"/>
              </w:rPr>
            </w:pPr>
            <w:r>
              <w:rPr>
                <w:rFonts w:ascii="Times New Roman"/>
                <w:sz w:val="21"/>
              </w:rPr>
              <w:t>19097</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146"/>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146"/>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146"/>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146"/>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146"/>
              <w:ind w:left="188" w:right="171"/>
              <w:jc w:val="center"/>
              <w:rPr>
                <w:rFonts w:ascii="Times New Roman"/>
                <w:sz w:val="21"/>
              </w:rPr>
            </w:pPr>
            <w:r>
              <w:rPr>
                <w:rFonts w:ascii="Times New Roman"/>
                <w:sz w:val="21"/>
              </w:rPr>
              <w:t>19097</w:t>
            </w:r>
          </w:p>
        </w:tc>
        <w:tc>
          <w:tcPr>
            <w:tcW w:w="116" w:type="dxa"/>
            <w:tcBorders>
              <w:top w:val="nil"/>
              <w:left w:val="single" w:sz="4" w:space="0" w:color="000000"/>
              <w:bottom w:val="nil"/>
            </w:tcBorders>
          </w:tcPr>
          <w:p>
            <w:pPr>
              <w:pStyle w:val="TableParagraph"/>
              <w:rPr>
                <w:rFonts w:ascii="Times New Roman"/>
                <w:sz w:val="22"/>
              </w:rPr>
            </w:pPr>
          </w:p>
        </w:tc>
      </w:tr>
      <w:tr>
        <w:tblPrEx>
          <w:tblW w:w="0" w:type="auto"/>
          <w:jc w:val="left"/>
          <w:tblInd w:w="198" w:type="dxa"/>
          <w:tblLayout w:type="fixed"/>
          <w:tblCellMar>
            <w:top w:w="0" w:type="dxa"/>
            <w:left w:w="0" w:type="dxa"/>
            <w:bottom w:w="0" w:type="dxa"/>
            <w:right w:w="0" w:type="dxa"/>
          </w:tblCellMar>
          <w:tblLook w:val="01E0"/>
        </w:tblPrEx>
        <w:trPr>
          <w:trHeight w:val="262"/>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02"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96" w:right="176"/>
              <w:jc w:val="center"/>
              <w:rPr>
                <w:sz w:val="21"/>
              </w:rPr>
            </w:pPr>
            <w:r>
              <w:rPr>
                <w:sz w:val="21"/>
              </w:rPr>
              <w:t>干支河拆</w:t>
            </w:r>
          </w:p>
          <w:p>
            <w:pPr>
              <w:pStyle w:val="TableParagraph"/>
              <w:spacing w:line="247" w:lineRule="exact"/>
              <w:ind w:left="20"/>
              <w:jc w:val="center"/>
              <w:rPr>
                <w:sz w:val="21"/>
              </w:rPr>
            </w:pPr>
            <w:r>
              <w:rPr>
                <w:w w:val="99"/>
                <w:sz w:val="21"/>
              </w:rPr>
              <w:t>坝</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28" w:right="108"/>
              <w:jc w:val="center"/>
              <w:rPr>
                <w:sz w:val="21"/>
              </w:rPr>
            </w:pPr>
            <w:r>
              <w:rPr>
                <w:sz w:val="21"/>
              </w:rPr>
              <w:t>水上方</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0"/>
              <w:jc w:val="center"/>
              <w:rPr>
                <w:rFonts w:ascii="Times New Roman"/>
                <w:sz w:val="21"/>
              </w:rPr>
            </w:pPr>
            <w:r>
              <w:rPr>
                <w:rFonts w:ascii="Times New Roman"/>
                <w:w w:val="99"/>
                <w:sz w:val="21"/>
              </w:rPr>
              <w:t>/</w:t>
            </w:r>
          </w:p>
        </w:tc>
        <w:tc>
          <w:tcPr>
            <w:tcW w:w="295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196" w:right="1177"/>
              <w:jc w:val="center"/>
              <w:rPr>
                <w:rFonts w:ascii="Times New Roman"/>
                <w:sz w:val="21"/>
              </w:rPr>
            </w:pPr>
            <w:r>
              <w:rPr>
                <w:rFonts w:ascii="Times New Roman"/>
                <w:sz w:val="21"/>
              </w:rPr>
              <w:t>6111</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90" w:right="170"/>
              <w:jc w:val="center"/>
              <w:rPr>
                <w:rFonts w:ascii="Times New Roman"/>
                <w:sz w:val="21"/>
              </w:rPr>
            </w:pPr>
            <w:r>
              <w:rPr>
                <w:rFonts w:ascii="Times New Roman"/>
                <w:sz w:val="21"/>
              </w:rPr>
              <w:t>6111</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525"/>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02" w:type="dxa"/>
            <w:vMerge/>
            <w:tcBorders>
              <w:top w:val="nil"/>
              <w:left w:val="single" w:sz="4" w:space="0" w:color="000000"/>
              <w:bottom w:val="single" w:sz="4" w:space="0" w:color="000000"/>
              <w:right w:val="single" w:sz="4" w:space="0" w:color="000000"/>
            </w:tcBorders>
          </w:tcPr>
          <w:p>
            <w:pPr>
              <w:rPr>
                <w:sz w:val="2"/>
                <w:szCs w:val="2"/>
              </w:rPr>
            </w:pP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125"/>
              <w:ind w:left="128" w:right="108"/>
              <w:jc w:val="center"/>
              <w:rPr>
                <w:sz w:val="21"/>
              </w:rPr>
            </w:pPr>
            <w:r>
              <w:rPr>
                <w:sz w:val="21"/>
              </w:rPr>
              <w:t>水下方</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142"/>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142"/>
              <w:ind w:left="20"/>
              <w:jc w:val="center"/>
              <w:rPr>
                <w:rFonts w:ascii="Times New Roman"/>
                <w:sz w:val="21"/>
              </w:rPr>
            </w:pPr>
            <w:r>
              <w:rPr>
                <w:rFonts w:ascii="Times New Roman"/>
                <w:w w:val="99"/>
                <w:sz w:val="21"/>
              </w:rPr>
              <w:t>/</w:t>
            </w:r>
          </w:p>
        </w:tc>
        <w:tc>
          <w:tcPr>
            <w:tcW w:w="295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42"/>
              <w:ind w:left="1196" w:right="1179"/>
              <w:jc w:val="center"/>
              <w:rPr>
                <w:rFonts w:ascii="Times New Roman"/>
                <w:sz w:val="21"/>
              </w:rPr>
            </w:pPr>
            <w:r>
              <w:rPr>
                <w:rFonts w:ascii="Times New Roman"/>
                <w:sz w:val="21"/>
              </w:rPr>
              <w:t>12986</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142"/>
              <w:ind w:left="188" w:right="171"/>
              <w:jc w:val="center"/>
              <w:rPr>
                <w:rFonts w:ascii="Times New Roman"/>
                <w:sz w:val="21"/>
              </w:rPr>
            </w:pPr>
            <w:r>
              <w:rPr>
                <w:rFonts w:ascii="Times New Roman"/>
                <w:sz w:val="21"/>
              </w:rPr>
              <w:t>12986</w:t>
            </w:r>
          </w:p>
        </w:tc>
        <w:tc>
          <w:tcPr>
            <w:tcW w:w="116" w:type="dxa"/>
            <w:tcBorders>
              <w:top w:val="nil"/>
              <w:left w:val="single" w:sz="4" w:space="0" w:color="000000"/>
              <w:bottom w:val="nil"/>
            </w:tcBorders>
          </w:tcPr>
          <w:p>
            <w:pPr>
              <w:pStyle w:val="TableParagraph"/>
              <w:rPr>
                <w:rFonts w:ascii="Times New Roman"/>
                <w:sz w:val="22"/>
              </w:rPr>
            </w:pPr>
          </w:p>
        </w:tc>
      </w:tr>
      <w:tr>
        <w:tblPrEx>
          <w:tblW w:w="0" w:type="auto"/>
          <w:jc w:val="left"/>
          <w:tblInd w:w="198" w:type="dxa"/>
          <w:tblLayout w:type="fixed"/>
          <w:tblCellMar>
            <w:top w:w="0" w:type="dxa"/>
            <w:left w:w="0" w:type="dxa"/>
            <w:bottom w:w="0" w:type="dxa"/>
            <w:right w:w="0" w:type="dxa"/>
          </w:tblCellMar>
          <w:tblLook w:val="01E0"/>
        </w:tblPrEx>
        <w:trPr>
          <w:trHeight w:val="261"/>
          <w:jc w:val="left"/>
        </w:trPr>
        <w:tc>
          <w:tcPr>
            <w:tcW w:w="66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93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7" w:right="92"/>
              <w:jc w:val="center"/>
              <w:rPr>
                <w:sz w:val="21"/>
              </w:rPr>
            </w:pPr>
            <w:r>
              <w:rPr>
                <w:sz w:val="21"/>
              </w:rPr>
              <w:t>合计</w:t>
            </w:r>
          </w:p>
        </w:tc>
        <w:tc>
          <w:tcPr>
            <w:tcW w:w="104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9"/>
              <w:jc w:val="center"/>
              <w:rPr>
                <w:rFonts w:ascii="Times New Roman"/>
                <w:sz w:val="21"/>
              </w:rPr>
            </w:pPr>
            <w:r>
              <w:rPr>
                <w:rFonts w:ascii="Times New Roman"/>
                <w:w w:val="99"/>
                <w:sz w:val="21"/>
              </w:rPr>
              <w:t>/</w:t>
            </w:r>
          </w:p>
        </w:tc>
        <w:tc>
          <w:tcPr>
            <w:tcW w:w="1225"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20"/>
              <w:jc w:val="center"/>
              <w:rPr>
                <w:rFonts w:ascii="Times New Roman"/>
                <w:sz w:val="21"/>
              </w:rPr>
            </w:pPr>
            <w:r>
              <w:rPr>
                <w:rFonts w:ascii="Times New Roman"/>
                <w:w w:val="99"/>
                <w:sz w:val="21"/>
              </w:rPr>
              <w:t>/</w:t>
            </w:r>
          </w:p>
        </w:tc>
        <w:tc>
          <w:tcPr>
            <w:tcW w:w="971"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7"/>
              <w:jc w:val="center"/>
              <w:rPr>
                <w:rFonts w:ascii="Times New Roman"/>
                <w:sz w:val="21"/>
              </w:rPr>
            </w:pPr>
            <w:r>
              <w:rPr>
                <w:rFonts w:ascii="Times New Roman"/>
                <w:w w:val="99"/>
                <w:sz w:val="21"/>
              </w:rPr>
              <w:t>/</w:t>
            </w:r>
          </w:p>
        </w:tc>
        <w:tc>
          <w:tcPr>
            <w:tcW w:w="1020"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8"/>
              <w:jc w:val="center"/>
              <w:rPr>
                <w:rFonts w:ascii="Times New Roman"/>
                <w:sz w:val="21"/>
              </w:rPr>
            </w:pPr>
            <w:r>
              <w:rPr>
                <w:rFonts w:ascii="Times New Roman"/>
                <w:w w:val="99"/>
                <w:sz w:val="21"/>
              </w:rPr>
              <w:t>/</w:t>
            </w:r>
          </w:p>
        </w:tc>
        <w:tc>
          <w:tcPr>
            <w:tcW w:w="959"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7"/>
              <w:jc w:val="center"/>
              <w:rPr>
                <w:rFonts w:ascii="Times New Roman"/>
                <w:sz w:val="21"/>
              </w:rPr>
            </w:pPr>
            <w:r>
              <w:rPr>
                <w:rFonts w:ascii="Times New Roman"/>
                <w:w w:val="99"/>
                <w:sz w:val="21"/>
              </w:rPr>
              <w:t>/</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88" w:right="171"/>
              <w:jc w:val="center"/>
              <w:rPr>
                <w:rFonts w:ascii="Times New Roman"/>
                <w:sz w:val="21"/>
              </w:rPr>
            </w:pPr>
            <w:r>
              <w:rPr>
                <w:rFonts w:ascii="Times New Roman"/>
                <w:sz w:val="21"/>
              </w:rPr>
              <w:t>419053</w:t>
            </w:r>
          </w:p>
        </w:tc>
        <w:tc>
          <w:tcPr>
            <w:tcW w:w="116" w:type="dxa"/>
            <w:tcBorders>
              <w:top w:val="nil"/>
              <w:left w:val="single" w:sz="4" w:space="0" w:color="000000"/>
              <w:bottom w:val="nil"/>
            </w:tcBorders>
          </w:tcPr>
          <w:p>
            <w:pPr>
              <w:pStyle w:val="TableParagraph"/>
              <w:rPr>
                <w:rFonts w:ascii="Times New Roman"/>
                <w:sz w:val="18"/>
              </w:rPr>
            </w:pPr>
          </w:p>
        </w:tc>
      </w:tr>
      <w:tr>
        <w:tblPrEx>
          <w:tblW w:w="0" w:type="auto"/>
          <w:jc w:val="left"/>
          <w:tblInd w:w="198" w:type="dxa"/>
          <w:tblLayout w:type="fixed"/>
          <w:tblCellMar>
            <w:top w:w="0" w:type="dxa"/>
            <w:left w:w="0" w:type="dxa"/>
            <w:bottom w:w="0" w:type="dxa"/>
            <w:right w:w="0" w:type="dxa"/>
          </w:tblCellMar>
          <w:tblLook w:val="01E0"/>
        </w:tblPrEx>
        <w:trPr>
          <w:trHeight w:val="9796"/>
          <w:jc w:val="left"/>
        </w:trPr>
        <w:tc>
          <w:tcPr>
            <w:tcW w:w="666" w:type="dxa"/>
            <w:vMerge/>
            <w:tcBorders>
              <w:top w:val="nil"/>
              <w:right w:val="single" w:sz="4" w:space="0" w:color="000000"/>
            </w:tcBorders>
          </w:tcPr>
          <w:p>
            <w:pPr>
              <w:rPr>
                <w:sz w:val="2"/>
                <w:szCs w:val="2"/>
              </w:rPr>
            </w:pPr>
          </w:p>
        </w:tc>
        <w:tc>
          <w:tcPr>
            <w:tcW w:w="8424" w:type="dxa"/>
            <w:gridSpan w:val="10"/>
            <w:tcBorders>
              <w:top w:val="single" w:sz="4" w:space="0" w:color="000000"/>
              <w:left w:val="single" w:sz="4" w:space="0" w:color="000000"/>
            </w:tcBorders>
          </w:tcPr>
          <w:p>
            <w:pPr>
              <w:pStyle w:val="TableParagraph"/>
              <w:spacing w:line="303" w:lineRule="exact"/>
              <w:ind w:left="592"/>
              <w:rPr>
                <w:b/>
                <w:sz w:val="24"/>
              </w:rPr>
            </w:pPr>
            <w:r>
              <w:rPr>
                <w:rFonts w:ascii="Times New Roman" w:eastAsia="Times New Roman"/>
                <w:b/>
                <w:sz w:val="24"/>
              </w:rPr>
              <w:t>3</w:t>
            </w:r>
            <w:r>
              <w:rPr>
                <w:b/>
                <w:sz w:val="24"/>
              </w:rPr>
              <w:t>、河道疏浚工程</w:t>
            </w:r>
          </w:p>
          <w:p>
            <w:pPr>
              <w:pStyle w:val="TableParagraph"/>
              <w:numPr>
                <w:ilvl w:val="0"/>
                <w:numId w:val="17"/>
              </w:numPr>
              <w:tabs>
                <w:tab w:val="left" w:pos="1194"/>
              </w:tabs>
              <w:spacing w:before="160" w:after="0" w:line="240" w:lineRule="auto"/>
              <w:ind w:left="1193" w:right="0" w:hanging="602"/>
              <w:jc w:val="left"/>
              <w:rPr>
                <w:sz w:val="24"/>
              </w:rPr>
            </w:pPr>
            <w:r>
              <w:rPr>
                <w:sz w:val="24"/>
              </w:rPr>
              <w:t>河道疏浚方式</w:t>
            </w:r>
          </w:p>
          <w:p>
            <w:pPr>
              <w:pStyle w:val="TableParagraph"/>
              <w:spacing w:before="158" w:line="364" w:lineRule="auto"/>
              <w:ind w:left="112" w:right="86" w:firstLine="480"/>
              <w:jc w:val="both"/>
              <w:rPr>
                <w:sz w:val="24"/>
              </w:rPr>
            </w:pPr>
            <w:r>
              <w:rPr>
                <w:spacing w:val="-4"/>
                <w:sz w:val="24"/>
              </w:rPr>
              <w:t xml:space="preserve">由于串通河通榆河东段沿线有 </w:t>
            </w:r>
            <w:r>
              <w:rPr>
                <w:rFonts w:ascii="Times New Roman" w:eastAsia="Times New Roman"/>
                <w:sz w:val="24"/>
              </w:rPr>
              <w:t xml:space="preserve">11 </w:t>
            </w:r>
            <w:r>
              <w:rPr>
                <w:spacing w:val="-4"/>
                <w:sz w:val="24"/>
              </w:rPr>
              <w:t xml:space="preserve">座机耕平桥，跨河桥梁净高小于 </w:t>
            </w:r>
            <w:r>
              <w:rPr>
                <w:rFonts w:ascii="Times New Roman" w:eastAsia="Times New Roman"/>
                <w:sz w:val="24"/>
              </w:rPr>
              <w:t>2m</w:t>
            </w:r>
            <w:r>
              <w:rPr>
                <w:sz w:val="24"/>
              </w:rPr>
              <w:t>，挖泥船无法进场，因此通榆河东段不考虑挖泥船施工，本次通榆河东段施工方法为水力冲挖法。</w:t>
            </w:r>
          </w:p>
          <w:p>
            <w:pPr>
              <w:pStyle w:val="TableParagraph"/>
              <w:numPr>
                <w:ilvl w:val="0"/>
                <w:numId w:val="17"/>
              </w:numPr>
              <w:tabs>
                <w:tab w:val="left" w:pos="1194"/>
              </w:tabs>
              <w:spacing w:before="0" w:after="0" w:line="307" w:lineRule="exact"/>
              <w:ind w:left="1193" w:right="0" w:hanging="602"/>
              <w:jc w:val="left"/>
              <w:rPr>
                <w:sz w:val="24"/>
              </w:rPr>
            </w:pPr>
            <w:r>
              <w:rPr>
                <w:sz w:val="24"/>
              </w:rPr>
              <w:t>河道工程土方量</w:t>
            </w:r>
          </w:p>
          <w:p>
            <w:pPr>
              <w:pStyle w:val="TableParagraph"/>
              <w:spacing w:before="161"/>
              <w:ind w:left="592"/>
              <w:rPr>
                <w:sz w:val="24"/>
              </w:rPr>
            </w:pPr>
            <w:r>
              <w:rPr>
                <w:spacing w:val="-4"/>
                <w:sz w:val="24"/>
              </w:rPr>
              <w:t xml:space="preserve">本次工程河道工程正项总挖方为 </w:t>
            </w:r>
            <w:r>
              <w:rPr>
                <w:rFonts w:ascii="Times New Roman" w:eastAsia="Times New Roman"/>
                <w:sz w:val="24"/>
              </w:rPr>
              <w:t xml:space="preserve">29 </w:t>
            </w:r>
            <w:r>
              <w:rPr>
                <w:spacing w:val="-30"/>
                <w:sz w:val="24"/>
              </w:rPr>
              <w:t xml:space="preserve">万 </w:t>
            </w:r>
            <w:r>
              <w:rPr>
                <w:rFonts w:ascii="Times New Roman" w:eastAsia="Times New Roman"/>
                <w:sz w:val="24"/>
              </w:rPr>
              <w:t>m</w:t>
            </w:r>
            <w:r>
              <w:rPr>
                <w:rFonts w:ascii="Times New Roman" w:eastAsia="Times New Roman"/>
                <w:position w:val="8"/>
                <w:sz w:val="15"/>
              </w:rPr>
              <w:t>3</w:t>
            </w:r>
            <w:r>
              <w:rPr>
                <w:spacing w:val="-5"/>
                <w:sz w:val="24"/>
              </w:rPr>
              <w:t xml:space="preserve">。其中河道断面总挖方为 </w:t>
            </w:r>
            <w:r>
              <w:rPr>
                <w:rFonts w:ascii="Times New Roman" w:eastAsia="Times New Roman"/>
                <w:sz w:val="24"/>
              </w:rPr>
              <w:t xml:space="preserve">28.8 </w:t>
            </w:r>
            <w:r>
              <w:rPr>
                <w:sz w:val="24"/>
              </w:rPr>
              <w:t>万</w:t>
            </w:r>
          </w:p>
          <w:p>
            <w:pPr>
              <w:pStyle w:val="TableParagraph"/>
              <w:spacing w:before="158"/>
              <w:ind w:left="112"/>
              <w:rPr>
                <w:sz w:val="24"/>
              </w:rPr>
            </w:pPr>
            <w:r>
              <w:rPr>
                <w:rFonts w:ascii="Times New Roman" w:eastAsia="Times New Roman"/>
                <w:sz w:val="24"/>
              </w:rPr>
              <w:t>m</w:t>
            </w:r>
            <w:r>
              <w:rPr>
                <w:rFonts w:ascii="Times New Roman" w:eastAsia="Times New Roman"/>
                <w:position w:val="8"/>
                <w:sz w:val="15"/>
              </w:rPr>
              <w:t>3</w:t>
            </w:r>
            <w:r>
              <w:rPr>
                <w:sz w:val="24"/>
              </w:rPr>
              <w:t xml:space="preserve">，支河拉坡土方 </w:t>
            </w:r>
            <w:r>
              <w:rPr>
                <w:rFonts w:ascii="Times New Roman" w:eastAsia="Times New Roman"/>
                <w:sz w:val="24"/>
              </w:rPr>
              <w:t xml:space="preserve">1.32 </w:t>
            </w:r>
            <w:r>
              <w:rPr>
                <w:sz w:val="24"/>
              </w:rPr>
              <w:t xml:space="preserve">万 </w:t>
            </w:r>
            <w:r>
              <w:rPr>
                <w:rFonts w:ascii="Times New Roman" w:eastAsia="Times New Roman"/>
                <w:sz w:val="24"/>
              </w:rPr>
              <w:t>m</w:t>
            </w:r>
            <w:r>
              <w:rPr>
                <w:rFonts w:ascii="Times New Roman" w:eastAsia="Times New Roman"/>
                <w:position w:val="8"/>
                <w:sz w:val="15"/>
              </w:rPr>
              <w:t>3</w:t>
            </w:r>
            <w:r>
              <w:rPr>
                <w:sz w:val="24"/>
              </w:rPr>
              <w:t>。</w:t>
            </w:r>
          </w:p>
          <w:p>
            <w:pPr>
              <w:pStyle w:val="TableParagraph"/>
              <w:numPr>
                <w:ilvl w:val="0"/>
                <w:numId w:val="17"/>
              </w:numPr>
              <w:tabs>
                <w:tab w:val="left" w:pos="1194"/>
              </w:tabs>
              <w:spacing w:before="160" w:after="0" w:line="240" w:lineRule="auto"/>
              <w:ind w:left="1193" w:right="0" w:hanging="602"/>
              <w:jc w:val="left"/>
              <w:rPr>
                <w:sz w:val="24"/>
              </w:rPr>
            </w:pPr>
            <w:r>
              <w:rPr>
                <w:sz w:val="24"/>
              </w:rPr>
              <w:t>弃土区布置及土方调配</w:t>
            </w:r>
          </w:p>
          <w:p>
            <w:pPr>
              <w:pStyle w:val="TableParagraph"/>
              <w:spacing w:before="158" w:line="364" w:lineRule="auto"/>
              <w:ind w:left="112" w:right="86" w:firstLine="480"/>
              <w:jc w:val="both"/>
              <w:rPr>
                <w:sz w:val="24"/>
              </w:rPr>
            </w:pPr>
            <w:r>
              <w:rPr>
                <w:sz w:val="24"/>
              </w:rPr>
              <w:t>根据串通河沿线基本农田分布情况，按照避开基本农田的原则，优先考虑一般空地或一般农用地，然后考虑沿线蟹塘或鱼塘，结合河段土方开挖工程量</w:t>
            </w:r>
            <w:r>
              <w:rPr>
                <w:spacing w:val="-3"/>
                <w:sz w:val="24"/>
              </w:rPr>
              <w:t xml:space="preserve">进行弃土区布置及土方调配，在沿线布置 </w:t>
            </w:r>
            <w:r>
              <w:rPr>
                <w:rFonts w:ascii="Times New Roman" w:eastAsia="Times New Roman"/>
                <w:sz w:val="24"/>
              </w:rPr>
              <w:t xml:space="preserve">3 </w:t>
            </w:r>
            <w:r>
              <w:rPr>
                <w:sz w:val="24"/>
              </w:rPr>
              <w:t>个排泥场。河道挖方弃土排高按照</w:t>
            </w:r>
            <w:r>
              <w:rPr>
                <w:spacing w:val="-8"/>
                <w:sz w:val="24"/>
              </w:rPr>
              <w:t xml:space="preserve">平均开挖高程 </w:t>
            </w:r>
            <w:r>
              <w:rPr>
                <w:rFonts w:ascii="Times New Roman" w:eastAsia="Times New Roman"/>
                <w:sz w:val="24"/>
              </w:rPr>
              <w:t>1.0m</w:t>
            </w:r>
            <w:r>
              <w:rPr>
                <w:spacing w:val="-7"/>
                <w:sz w:val="24"/>
              </w:rPr>
              <w:t xml:space="preserve">，平均地面高程 </w:t>
            </w:r>
            <w:r>
              <w:rPr>
                <w:rFonts w:ascii="Times New Roman" w:eastAsia="Times New Roman"/>
                <w:sz w:val="24"/>
              </w:rPr>
              <w:t>2.0m</w:t>
            </w:r>
            <w:r>
              <w:rPr>
                <w:spacing w:val="-7"/>
                <w:sz w:val="24"/>
              </w:rPr>
              <w:t xml:space="preserve">，平均围堰高程 </w:t>
            </w:r>
            <w:r>
              <w:rPr>
                <w:rFonts w:ascii="Times New Roman" w:eastAsia="Times New Roman"/>
                <w:sz w:val="24"/>
              </w:rPr>
              <w:t xml:space="preserve">3.0m </w:t>
            </w:r>
            <w:r>
              <w:rPr>
                <w:spacing w:val="-2"/>
                <w:sz w:val="24"/>
              </w:rPr>
              <w:t>计算，平均排高</w:t>
            </w:r>
            <w:r>
              <w:rPr>
                <w:spacing w:val="-30"/>
                <w:sz w:val="24"/>
              </w:rPr>
              <w:t xml:space="preserve">为 </w:t>
            </w:r>
            <w:r>
              <w:rPr>
                <w:rFonts w:ascii="Times New Roman" w:eastAsia="Times New Roman"/>
                <w:sz w:val="24"/>
              </w:rPr>
              <w:t>6m</w:t>
            </w:r>
            <w:r>
              <w:rPr>
                <w:sz w:val="24"/>
              </w:rPr>
              <w:t>。</w:t>
            </w:r>
          </w:p>
          <w:p>
            <w:pPr>
              <w:pStyle w:val="TableParagraph"/>
              <w:spacing w:line="306" w:lineRule="exact"/>
              <w:ind w:left="592"/>
              <w:rPr>
                <w:b/>
                <w:sz w:val="24"/>
              </w:rPr>
            </w:pPr>
            <w:r>
              <w:rPr>
                <w:rFonts w:ascii="Times New Roman" w:eastAsia="Times New Roman"/>
                <w:b/>
                <w:sz w:val="24"/>
              </w:rPr>
              <w:t>4</w:t>
            </w:r>
            <w:r>
              <w:rPr>
                <w:b/>
                <w:sz w:val="24"/>
              </w:rPr>
              <w:t>、护岸工程</w:t>
            </w:r>
          </w:p>
          <w:p>
            <w:pPr>
              <w:pStyle w:val="TableParagraph"/>
              <w:spacing w:before="159"/>
              <w:ind w:left="592"/>
              <w:rPr>
                <w:sz w:val="24"/>
              </w:rPr>
            </w:pPr>
            <w:r>
              <w:rPr>
                <w:sz w:val="24"/>
              </w:rPr>
              <w:t>（</w:t>
            </w:r>
            <w:r>
              <w:rPr>
                <w:rFonts w:ascii="Times New Roman" w:eastAsia="Times New Roman"/>
                <w:sz w:val="24"/>
              </w:rPr>
              <w:t>1</w:t>
            </w:r>
            <w:r>
              <w:rPr>
                <w:sz w:val="24"/>
              </w:rPr>
              <w:t>）石笼护岸工程施工</w:t>
            </w:r>
          </w:p>
          <w:p>
            <w:pPr>
              <w:pStyle w:val="TableParagraph"/>
              <w:spacing w:before="160" w:line="362" w:lineRule="auto"/>
              <w:ind w:left="112" w:right="86" w:firstLine="480"/>
              <w:rPr>
                <w:sz w:val="24"/>
              </w:rPr>
            </w:pPr>
            <w:r>
              <w:rPr>
                <w:sz w:val="24"/>
              </w:rPr>
              <w:t>本次拟建石笼护岸均位于串通河通榆河以东，河道为打坝断流施工，石笼施工采用抽水后干法施工。</w:t>
            </w:r>
          </w:p>
          <w:p>
            <w:pPr>
              <w:pStyle w:val="TableParagraph"/>
              <w:spacing w:before="5" w:line="362" w:lineRule="auto"/>
              <w:ind w:left="112" w:right="-44" w:firstLine="480"/>
              <w:rPr>
                <w:sz w:val="24"/>
              </w:rPr>
            </w:pPr>
            <w:r>
              <w:rPr>
                <w:sz w:val="24"/>
              </w:rPr>
              <w:t>生态格网石笼护坡施工时应根据设计要求的护坡网箱入土深度和轮廓线长</w:t>
            </w:r>
            <w:r>
              <w:rPr>
                <w:spacing w:val="-9"/>
                <w:sz w:val="24"/>
              </w:rPr>
              <w:t>度及宽度，开挖基槽，并在护坡下面铺设好土工布后进行格宾格网护坡的施工，</w:t>
            </w:r>
          </w:p>
          <w:p>
            <w:pPr>
              <w:pStyle w:val="TableParagraph"/>
              <w:spacing w:before="5"/>
              <w:ind w:left="112"/>
              <w:rPr>
                <w:sz w:val="24"/>
              </w:rPr>
            </w:pPr>
            <w:r>
              <w:rPr>
                <w:sz w:val="24"/>
              </w:rPr>
              <w:t>施工时保证格网石笼护坡的基底土质及其密实度。</w:t>
            </w:r>
          </w:p>
        </w:tc>
      </w:tr>
    </w:tbl>
    <w:p>
      <w:pPr>
        <w:spacing w:after="0"/>
        <w:rPr>
          <w:sz w:val="24"/>
        </w:rPr>
        <w:sectPr>
          <w:headerReference w:type="default" r:id="rId60"/>
          <w:footerReference w:type="default" r:id="rId61"/>
          <w:pgSz w:w="11910" w:h="16840"/>
          <w:pgMar w:top="1340" w:right="1120" w:bottom="1160" w:left="1220" w:header="891" w:footer="969"/>
          <w:pgNumType w:start="28"/>
          <w:cols w:space="708"/>
        </w:sectPr>
      </w:pPr>
    </w:p>
    <w:p>
      <w:pPr>
        <w:pStyle w:val="BodyText"/>
        <w:spacing w:before="1"/>
        <w:rPr>
          <w:rFonts w:ascii="Times New Roman"/>
          <w:sz w:val="7"/>
        </w:rPr>
      </w:pPr>
    </w:p>
    <w:tbl>
      <w:tblPr>
        <w:tblStyle w:val="TableNormal25"/>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3527"/>
          <w:jc w:val="left"/>
        </w:trPr>
        <w:tc>
          <w:tcPr>
            <w:tcW w:w="666" w:type="dxa"/>
            <w:tcBorders>
              <w:right w:val="single" w:sz="4" w:space="0" w:color="000000"/>
            </w:tcBorders>
          </w:tcPr>
          <w:p>
            <w:pPr>
              <w:pStyle w:val="TableParagraph"/>
              <w:rPr>
                <w:rFonts w:ascii="Times New Roman"/>
                <w:sz w:val="24"/>
              </w:rPr>
            </w:pPr>
          </w:p>
        </w:tc>
        <w:tc>
          <w:tcPr>
            <w:tcW w:w="8424" w:type="dxa"/>
            <w:tcBorders>
              <w:left w:val="single" w:sz="4" w:space="0" w:color="000000"/>
            </w:tcBorders>
          </w:tcPr>
          <w:p>
            <w:pPr>
              <w:pStyle w:val="TableParagraph"/>
              <w:spacing w:line="301" w:lineRule="exact"/>
              <w:ind w:left="592"/>
              <w:rPr>
                <w:sz w:val="24"/>
              </w:rPr>
            </w:pPr>
            <w:r>
              <w:rPr>
                <w:sz w:val="24"/>
              </w:rPr>
              <w:t>具体施工如下：坡面平整、密实，清除坡面杂物</w:t>
            </w:r>
            <w:r>
              <w:rPr>
                <w:rFonts w:ascii="Times New Roman" w:eastAsia="Times New Roman" w:hAnsi="Times New Roman"/>
                <w:sz w:val="24"/>
              </w:rPr>
              <w:t>→</w:t>
            </w:r>
            <w:r>
              <w:rPr>
                <w:sz w:val="24"/>
              </w:rPr>
              <w:t>铺设碎石（碎砖）垫层</w:t>
            </w:r>
          </w:p>
          <w:p>
            <w:pPr>
              <w:pStyle w:val="TableParagraph"/>
              <w:spacing w:before="158" w:line="364" w:lineRule="auto"/>
              <w:ind w:left="112" w:right="86"/>
              <w:jc w:val="both"/>
              <w:rPr>
                <w:sz w:val="24"/>
              </w:rPr>
            </w:pPr>
            <w:r>
              <w:rPr>
                <w:rFonts w:ascii="Times New Roman" w:eastAsia="Times New Roman" w:hAnsi="Times New Roman"/>
                <w:sz w:val="24"/>
              </w:rPr>
              <w:t>→</w:t>
            </w:r>
            <w:r>
              <w:rPr>
                <w:sz w:val="24"/>
              </w:rPr>
              <w:t>铺设土工布</w:t>
            </w:r>
            <w:r>
              <w:rPr>
                <w:rFonts w:ascii="Times New Roman" w:eastAsia="Times New Roman" w:hAnsi="Times New Roman"/>
                <w:sz w:val="24"/>
              </w:rPr>
              <w:t>→</w:t>
            </w:r>
            <w:r>
              <w:rPr>
                <w:sz w:val="24"/>
              </w:rPr>
              <w:t>组装石笼网</w:t>
            </w:r>
            <w:r>
              <w:rPr>
                <w:rFonts w:ascii="Times New Roman" w:eastAsia="Times New Roman" w:hAnsi="Times New Roman"/>
                <w:sz w:val="24"/>
              </w:rPr>
              <w:t>→</w:t>
            </w:r>
            <w:r>
              <w:rPr>
                <w:sz w:val="24"/>
              </w:rPr>
              <w:t>填充石料施工</w:t>
            </w:r>
            <w:r>
              <w:rPr>
                <w:rFonts w:ascii="Times New Roman" w:eastAsia="Times New Roman" w:hAnsi="Times New Roman"/>
                <w:sz w:val="24"/>
              </w:rPr>
              <w:t>→</w:t>
            </w:r>
            <w:r>
              <w:rPr>
                <w:sz w:val="24"/>
              </w:rPr>
              <w:t>箱体封盖施工。在施工过程中应符合下列要求：铺设石笼时，应对坡面顶部顺直度进行控制，可采用模板或者钢管固定，逐一组装网片、端网片及隔片，隔片应平行于水流方向。布置连接好石笼网箱后，从底部开始进行石料填充。</w:t>
            </w:r>
          </w:p>
          <w:p>
            <w:pPr>
              <w:pStyle w:val="TableParagraph"/>
              <w:numPr>
                <w:ilvl w:val="0"/>
                <w:numId w:val="39"/>
              </w:numPr>
              <w:tabs>
                <w:tab w:val="left" w:pos="1194"/>
              </w:tabs>
              <w:spacing w:before="0" w:after="0" w:line="305" w:lineRule="exact"/>
              <w:ind w:left="1193" w:right="0" w:hanging="602"/>
              <w:jc w:val="left"/>
              <w:rPr>
                <w:sz w:val="24"/>
              </w:rPr>
            </w:pPr>
            <w:r>
              <w:rPr>
                <w:rFonts w:ascii="Times New Roman" w:eastAsia="Times New Roman"/>
                <w:sz w:val="24"/>
              </w:rPr>
              <w:t xml:space="preserve">C30 </w:t>
            </w:r>
            <w:r>
              <w:rPr>
                <w:sz w:val="24"/>
              </w:rPr>
              <w:t>仿木桩护岸工程施工</w:t>
            </w:r>
          </w:p>
          <w:p>
            <w:pPr>
              <w:pStyle w:val="TableParagraph"/>
              <w:spacing w:before="160" w:line="362" w:lineRule="auto"/>
              <w:ind w:left="112" w:right="21" w:firstLine="480"/>
              <w:rPr>
                <w:sz w:val="24"/>
              </w:rPr>
            </w:pPr>
            <w:r>
              <w:rPr>
                <w:sz w:val="24"/>
              </w:rPr>
              <w:t xml:space="preserve">本次拟建 </w:t>
            </w:r>
            <w:r>
              <w:rPr>
                <w:rFonts w:ascii="Times New Roman" w:eastAsia="Times New Roman"/>
                <w:sz w:val="24"/>
              </w:rPr>
              <w:t xml:space="preserve">C30 </w:t>
            </w:r>
            <w:r>
              <w:rPr>
                <w:sz w:val="24"/>
              </w:rPr>
              <w:t>仿木桩位于串通河东段射阜线位置，河道为打坝断流施工， 仿木桩采用抽水后干法施工。</w:t>
            </w:r>
          </w:p>
          <w:p>
            <w:pPr>
              <w:pStyle w:val="TableParagraph"/>
              <w:spacing w:before="5" w:line="364" w:lineRule="auto"/>
              <w:ind w:left="112" w:right="-44" w:firstLine="480"/>
              <w:rPr>
                <w:sz w:val="24"/>
              </w:rPr>
            </w:pPr>
            <w:r>
              <w:rPr>
                <w:sz w:val="24"/>
              </w:rPr>
              <w:t>仿木桩护岸施工采用锤击法施工，主要施工程序：前期放样</w:t>
            </w:r>
            <w:r>
              <w:rPr>
                <w:rFonts w:ascii="Times New Roman" w:eastAsia="Times New Roman" w:hAnsi="Times New Roman"/>
                <w:sz w:val="24"/>
              </w:rPr>
              <w:t>→</w:t>
            </w:r>
            <w:r>
              <w:rPr>
                <w:sz w:val="24"/>
              </w:rPr>
              <w:t>清障</w:t>
            </w:r>
            <w:r>
              <w:rPr>
                <w:rFonts w:ascii="Times New Roman" w:eastAsia="Times New Roman" w:hAnsi="Times New Roman"/>
                <w:sz w:val="24"/>
              </w:rPr>
              <w:t>→</w:t>
            </w:r>
            <w:r>
              <w:rPr>
                <w:sz w:val="24"/>
              </w:rPr>
              <w:t>施工放样</w:t>
            </w:r>
            <w:r>
              <w:rPr>
                <w:rFonts w:ascii="Times New Roman" w:eastAsia="Times New Roman" w:hAnsi="Times New Roman"/>
                <w:sz w:val="24"/>
              </w:rPr>
              <w:t>→</w:t>
            </w:r>
            <w:r>
              <w:rPr>
                <w:sz w:val="24"/>
              </w:rPr>
              <w:t>施工受力桩</w:t>
            </w:r>
            <w:r>
              <w:rPr>
                <w:rFonts w:ascii="Times New Roman" w:eastAsia="Times New Roman" w:hAnsi="Times New Roman"/>
                <w:sz w:val="24"/>
              </w:rPr>
              <w:t>→</w:t>
            </w:r>
            <w:r>
              <w:rPr>
                <w:sz w:val="24"/>
              </w:rPr>
              <w:t>施工连接板</w:t>
            </w:r>
            <w:r>
              <w:rPr>
                <w:rFonts w:ascii="Times New Roman" w:eastAsia="Times New Roman" w:hAnsi="Times New Roman"/>
                <w:sz w:val="24"/>
              </w:rPr>
              <w:t>→</w:t>
            </w:r>
            <w:r>
              <w:rPr>
                <w:sz w:val="24"/>
              </w:rPr>
              <w:t>浇筑冠梁</w:t>
            </w:r>
            <w:r>
              <w:rPr>
                <w:rFonts w:ascii="Times New Roman" w:eastAsia="Times New Roman" w:hAnsi="Times New Roman"/>
                <w:sz w:val="24"/>
              </w:rPr>
              <w:t>→</w:t>
            </w:r>
            <w:r>
              <w:rPr>
                <w:sz w:val="24"/>
              </w:rPr>
              <w:t>后部回填</w:t>
            </w:r>
            <w:r>
              <w:rPr>
                <w:rFonts w:ascii="Times New Roman" w:eastAsia="Times New Roman" w:hAnsi="Times New Roman"/>
                <w:sz w:val="24"/>
              </w:rPr>
              <w:t>→</w:t>
            </w:r>
            <w:r>
              <w:rPr>
                <w:sz w:val="24"/>
              </w:rPr>
              <w:t>收尾。打桩前，按设计要求进行桩定位放线，确定桩位，复核核定位无误后，安置组合生态桩定位</w:t>
            </w:r>
            <w:r>
              <w:rPr>
                <w:spacing w:val="-14"/>
                <w:sz w:val="24"/>
              </w:rPr>
              <w:t xml:space="preserve">架，定位导向架长度一般可以一次施工 </w:t>
            </w:r>
            <w:r>
              <w:rPr>
                <w:rFonts w:ascii="Times New Roman" w:eastAsia="Times New Roman" w:hAnsi="Times New Roman"/>
                <w:sz w:val="24"/>
              </w:rPr>
              <w:t>3</w:t>
            </w:r>
            <w:r>
              <w:rPr>
                <w:sz w:val="24"/>
              </w:rPr>
              <w:t>～</w:t>
            </w:r>
            <w:r>
              <w:rPr>
                <w:rFonts w:ascii="Times New Roman" w:eastAsia="Times New Roman" w:hAnsi="Times New Roman"/>
                <w:sz w:val="24"/>
              </w:rPr>
              <w:t xml:space="preserve">5 </w:t>
            </w:r>
            <w:r>
              <w:rPr>
                <w:spacing w:val="-11"/>
                <w:sz w:val="24"/>
              </w:rPr>
              <w:t>根桩。定位导向架的重量不能过轻， 大重量可以增加定位导向架的稳定性。打桩时运输船先行紧靠锤击桩工程船， 利用工程船吊车将桩吊起，将桩的上端对入桩帽中，下端对入定位导向架，通过水平尺调正主受力桩在两个方向的垂直度后，锤头开始击打桩，直至把桩打入预定深度土层中。</w:t>
            </w:r>
          </w:p>
          <w:p>
            <w:pPr>
              <w:pStyle w:val="TableParagraph"/>
              <w:numPr>
                <w:ilvl w:val="0"/>
                <w:numId w:val="39"/>
              </w:numPr>
              <w:tabs>
                <w:tab w:val="left" w:pos="1194"/>
              </w:tabs>
              <w:spacing w:before="0" w:after="0" w:line="303" w:lineRule="exact"/>
              <w:ind w:left="1193" w:right="0" w:hanging="602"/>
              <w:jc w:val="left"/>
              <w:rPr>
                <w:sz w:val="24"/>
              </w:rPr>
            </w:pPr>
            <w:r>
              <w:rPr>
                <w:sz w:val="24"/>
              </w:rPr>
              <w:t>高分子生态仿木桩护岸工程施工</w:t>
            </w:r>
          </w:p>
          <w:p>
            <w:pPr>
              <w:pStyle w:val="TableParagraph"/>
              <w:spacing w:before="158" w:line="364" w:lineRule="auto"/>
              <w:ind w:left="112" w:right="86" w:firstLine="480"/>
              <w:rPr>
                <w:sz w:val="24"/>
              </w:rPr>
            </w:pPr>
            <w:r>
              <w:rPr>
                <w:sz w:val="24"/>
              </w:rPr>
              <w:t>本次拟建高分子仿木桩位于通榆河东侧，采用打坝断流施工，仿木桩施工采用干法施工。</w:t>
            </w:r>
          </w:p>
          <w:p>
            <w:pPr>
              <w:pStyle w:val="TableParagraph"/>
              <w:spacing w:line="364" w:lineRule="auto"/>
              <w:ind w:left="112" w:right="-44" w:firstLine="480"/>
              <w:rPr>
                <w:sz w:val="24"/>
              </w:rPr>
            </w:pPr>
            <w:r>
              <w:rPr>
                <w:sz w:val="24"/>
              </w:rPr>
              <w:t>由于仿木桩的材质较轻，可以利用人工将桩身立好，打桩机就位时，应对准桩位，由人工将仿木桩的上端对入桩帽中，下端对入定位架中，沉桩时定位</w:t>
            </w:r>
            <w:r>
              <w:rPr>
                <w:spacing w:val="-8"/>
                <w:sz w:val="24"/>
              </w:rPr>
              <w:t xml:space="preserve">偏差应小于 </w:t>
            </w:r>
            <w:r>
              <w:rPr>
                <w:rFonts w:ascii="Times New Roman" w:eastAsia="Times New Roman"/>
                <w:sz w:val="24"/>
              </w:rPr>
              <w:t>30mm</w:t>
            </w:r>
            <w:r>
              <w:rPr>
                <w:sz w:val="24"/>
              </w:rPr>
              <w:t>，保证垂直稳定，桩机操作人员操作压装机将桩身压紧并对准桩位，桩身在立好后一定要保证桩与桩的锁扣槽口在同一条直线上，桩与桩</w:t>
            </w:r>
            <w:r>
              <w:rPr>
                <w:spacing w:val="-6"/>
                <w:sz w:val="24"/>
              </w:rPr>
              <w:t>的间距要满足锁扣的安放要求，利用水平尺调正仿木桩在两个方向的垂直度后， 开始压装，直至把桩施工至桩顶标高，生态仿木桩垂直度校正主要借助两架设</w:t>
            </w:r>
            <w:r>
              <w:rPr>
                <w:spacing w:val="-8"/>
                <w:sz w:val="24"/>
              </w:rPr>
              <w:t xml:space="preserve">立在两岸的经纬仪通过交会进行校正，保证垂直度偏差不大于 </w:t>
            </w:r>
            <w:r>
              <w:rPr>
                <w:rFonts w:ascii="Times New Roman" w:eastAsia="Times New Roman"/>
                <w:sz w:val="24"/>
              </w:rPr>
              <w:t>5H/100</w:t>
            </w:r>
            <w:r>
              <w:rPr>
                <w:spacing w:val="-3"/>
                <w:sz w:val="24"/>
              </w:rPr>
              <w:t>。并做好相应记录，在生态仿木板桩施打过程中不发生倾斜、移动；在沉入过程中，为防止生态仿木桩打设过深，还应不断对其进行高程测量。高程测量主要借助设</w:t>
            </w:r>
          </w:p>
          <w:p>
            <w:pPr>
              <w:pStyle w:val="TableParagraph"/>
              <w:spacing w:line="303" w:lineRule="exact"/>
              <w:ind w:left="112"/>
              <w:rPr>
                <w:sz w:val="24"/>
              </w:rPr>
            </w:pPr>
            <w:r>
              <w:rPr>
                <w:sz w:val="24"/>
              </w:rPr>
              <w:t>立在岸上的水准仪对桩顶位置进行精确观测，并准确记录。待第一根桩打设完</w:t>
            </w:r>
          </w:p>
        </w:tc>
      </w:tr>
    </w:tbl>
    <w:p>
      <w:pPr>
        <w:spacing w:after="0" w:line="303" w:lineRule="exact"/>
        <w:rPr>
          <w:sz w:val="24"/>
        </w:rPr>
        <w:sectPr>
          <w:headerReference w:type="default" r:id="rId62"/>
          <w:footerReference w:type="default" r:id="rId63"/>
          <w:pgSz w:w="11910" w:h="16840"/>
          <w:pgMar w:top="1340" w:right="1120" w:bottom="1160" w:left="1220" w:header="891" w:footer="969"/>
          <w:pgNumType w:start="29"/>
          <w:cols w:space="708"/>
        </w:sectPr>
      </w:pPr>
    </w:p>
    <w:p>
      <w:pPr>
        <w:pStyle w:val="BodyText"/>
        <w:spacing w:before="1"/>
        <w:rPr>
          <w:rFonts w:ascii="Times New Roman"/>
          <w:sz w:val="7"/>
        </w:rPr>
      </w:pPr>
    </w:p>
    <w:tbl>
      <w:tblPr>
        <w:tblStyle w:val="TableNormal26"/>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3527"/>
          <w:jc w:val="left"/>
        </w:trPr>
        <w:tc>
          <w:tcPr>
            <w:tcW w:w="666" w:type="dxa"/>
            <w:tcBorders>
              <w:right w:val="single" w:sz="4" w:space="0" w:color="000000"/>
            </w:tcBorders>
          </w:tcPr>
          <w:p>
            <w:pPr>
              <w:pStyle w:val="TableParagraph"/>
              <w:rPr>
                <w:rFonts w:ascii="Times New Roman"/>
                <w:sz w:val="24"/>
              </w:rPr>
            </w:pPr>
          </w:p>
        </w:tc>
        <w:tc>
          <w:tcPr>
            <w:tcW w:w="8424" w:type="dxa"/>
            <w:tcBorders>
              <w:left w:val="single" w:sz="4" w:space="0" w:color="000000"/>
            </w:tcBorders>
          </w:tcPr>
          <w:p>
            <w:pPr>
              <w:pStyle w:val="TableParagraph"/>
              <w:spacing w:line="364" w:lineRule="auto"/>
              <w:ind w:left="112" w:right="83"/>
              <w:jc w:val="both"/>
              <w:rPr>
                <w:sz w:val="24"/>
              </w:rPr>
            </w:pPr>
            <w:r>
              <w:rPr>
                <w:sz w:val="24"/>
              </w:rPr>
              <w:t>毕，辅助人员必须严格把控桩与桩之间锁扣连接吻合后，及时指挥压装操作人员进行沉桩施工，初始压装时应调低压装速率，确保桩与桩之间锁扣连接正常进入土层后，恢复正常压桩速度，压桩至控制线时应继续调低压装速率，确保</w:t>
            </w:r>
            <w:r>
              <w:rPr>
                <w:spacing w:val="-8"/>
                <w:sz w:val="24"/>
              </w:rPr>
              <w:t xml:space="preserve">标高误差控制在 </w:t>
            </w:r>
            <w:r>
              <w:rPr>
                <w:rFonts w:ascii="Times New Roman" w:eastAsia="Times New Roman"/>
                <w:sz w:val="24"/>
              </w:rPr>
              <w:t xml:space="preserve">2cm </w:t>
            </w:r>
            <w:r>
              <w:rPr>
                <w:spacing w:val="-1"/>
                <w:sz w:val="24"/>
              </w:rPr>
              <w:t>之内，依次进行第二根桩、第三根桩的打设，直至结束。</w:t>
            </w:r>
          </w:p>
          <w:p>
            <w:pPr>
              <w:pStyle w:val="TableParagraph"/>
              <w:spacing w:line="303" w:lineRule="exact"/>
              <w:ind w:left="592"/>
              <w:rPr>
                <w:b/>
                <w:sz w:val="24"/>
              </w:rPr>
            </w:pPr>
            <w:r>
              <w:rPr>
                <w:rFonts w:ascii="Times New Roman" w:eastAsia="Times New Roman"/>
                <w:b/>
                <w:sz w:val="24"/>
              </w:rPr>
              <w:t>5</w:t>
            </w:r>
            <w:r>
              <w:rPr>
                <w:b/>
                <w:sz w:val="24"/>
              </w:rPr>
              <w:t>、沿线水工建筑物工程</w:t>
            </w:r>
          </w:p>
          <w:p>
            <w:pPr>
              <w:pStyle w:val="TableParagraph"/>
              <w:spacing w:before="154" w:line="364" w:lineRule="auto"/>
              <w:ind w:left="112" w:right="86" w:firstLine="480"/>
              <w:jc w:val="both"/>
              <w:rPr>
                <w:sz w:val="24"/>
              </w:rPr>
            </w:pPr>
            <w:r>
              <w:rPr>
                <w:sz w:val="24"/>
              </w:rPr>
              <w:t>新、拆建建筑物工程施工顺序为：施打上下游施工围堰</w:t>
            </w:r>
            <w:r>
              <w:rPr>
                <w:rFonts w:ascii="Times New Roman" w:eastAsia="Times New Roman" w:hAnsi="Times New Roman"/>
                <w:sz w:val="24"/>
              </w:rPr>
              <w:t>→</w:t>
            </w:r>
            <w:r>
              <w:rPr>
                <w:sz w:val="24"/>
              </w:rPr>
              <w:t>河槽积水排除</w:t>
            </w:r>
            <w:r>
              <w:rPr>
                <w:rFonts w:ascii="Times New Roman" w:eastAsia="Times New Roman" w:hAnsi="Times New Roman"/>
                <w:sz w:val="24"/>
              </w:rPr>
              <w:t xml:space="preserve">→ </w:t>
            </w:r>
            <w:r>
              <w:rPr>
                <w:sz w:val="24"/>
              </w:rPr>
              <w:t>拆除老建筑物</w:t>
            </w:r>
            <w:r>
              <w:rPr>
                <w:rFonts w:ascii="Times New Roman" w:eastAsia="Times New Roman" w:hAnsi="Times New Roman"/>
                <w:sz w:val="24"/>
              </w:rPr>
              <w:t>→</w:t>
            </w:r>
            <w:r>
              <w:rPr>
                <w:sz w:val="24"/>
              </w:rPr>
              <w:t>基坑土方开挖</w:t>
            </w:r>
            <w:r>
              <w:rPr>
                <w:rFonts w:ascii="Times New Roman" w:eastAsia="Times New Roman" w:hAnsi="Times New Roman"/>
                <w:sz w:val="24"/>
              </w:rPr>
              <w:t>→</w:t>
            </w:r>
            <w:r>
              <w:rPr>
                <w:sz w:val="24"/>
              </w:rPr>
              <w:t>建筑物工程施工</w:t>
            </w:r>
            <w:r>
              <w:rPr>
                <w:rFonts w:ascii="Times New Roman" w:eastAsia="Times New Roman" w:hAnsi="Times New Roman"/>
                <w:sz w:val="24"/>
              </w:rPr>
              <w:t>→</w:t>
            </w:r>
            <w:r>
              <w:rPr>
                <w:sz w:val="24"/>
              </w:rPr>
              <w:t>土方回填</w:t>
            </w:r>
            <w:r>
              <w:rPr>
                <w:rFonts w:ascii="Times New Roman" w:eastAsia="Times New Roman" w:hAnsi="Times New Roman"/>
                <w:sz w:val="24"/>
              </w:rPr>
              <w:t>→</w:t>
            </w:r>
            <w:r>
              <w:rPr>
                <w:sz w:val="24"/>
              </w:rPr>
              <w:t>围堰拆除。在施工主体工程的过程中同步实施上下游引河开挖，工程的上下游防护在施工过程中穿插进行。</w:t>
            </w:r>
          </w:p>
          <w:p>
            <w:pPr>
              <w:pStyle w:val="TableParagraph"/>
              <w:spacing w:line="305" w:lineRule="exact"/>
              <w:ind w:left="592"/>
              <w:rPr>
                <w:sz w:val="24"/>
              </w:rPr>
            </w:pPr>
            <w:r>
              <w:rPr>
                <w:sz w:val="24"/>
              </w:rPr>
              <w:t>（</w:t>
            </w:r>
            <w:r>
              <w:rPr>
                <w:rFonts w:ascii="Times New Roman" w:eastAsia="Times New Roman"/>
                <w:sz w:val="24"/>
              </w:rPr>
              <w:t>1</w:t>
            </w:r>
            <w:r>
              <w:rPr>
                <w:sz w:val="24"/>
              </w:rPr>
              <w:t>）土方工程施工</w:t>
            </w:r>
          </w:p>
          <w:p>
            <w:pPr>
              <w:pStyle w:val="TableParagraph"/>
              <w:spacing w:before="160"/>
              <w:ind w:left="532"/>
              <w:rPr>
                <w:sz w:val="24"/>
              </w:rPr>
            </w:pPr>
            <w:r>
              <w:rPr>
                <w:sz w:val="21"/>
              </w:rPr>
              <w:t>①</w:t>
            </w:r>
            <w:r>
              <w:rPr>
                <w:sz w:val="24"/>
              </w:rPr>
              <w:t>土方开挖</w:t>
            </w:r>
          </w:p>
          <w:p>
            <w:pPr>
              <w:pStyle w:val="TableParagraph"/>
              <w:spacing w:before="158" w:line="364" w:lineRule="auto"/>
              <w:ind w:left="112" w:right="7" w:firstLine="480"/>
              <w:rPr>
                <w:sz w:val="24"/>
              </w:rPr>
            </w:pPr>
            <w:r>
              <w:rPr>
                <w:sz w:val="24"/>
              </w:rPr>
              <w:t>由于本工程为在现状河槽内拆建闸站，土方工程量较小，故基坑土方开挖</w:t>
            </w:r>
            <w:r>
              <w:rPr>
                <w:spacing w:val="-3"/>
                <w:sz w:val="24"/>
              </w:rPr>
              <w:t xml:space="preserve">采用机械挖土方式进行，闸塘开挖时要保留建筑物基础以上 </w:t>
            </w:r>
            <w:r>
              <w:rPr>
                <w:rFonts w:ascii="Times New Roman" w:eastAsia="Times New Roman"/>
                <w:sz w:val="24"/>
              </w:rPr>
              <w:t xml:space="preserve">0.5m </w:t>
            </w:r>
            <w:r>
              <w:rPr>
                <w:spacing w:val="-3"/>
                <w:sz w:val="24"/>
              </w:rPr>
              <w:t xml:space="preserve">作为保护层， </w:t>
            </w:r>
            <w:r>
              <w:rPr>
                <w:sz w:val="24"/>
              </w:rPr>
              <w:t>留待人工开挖，以免扰动地基。</w:t>
            </w:r>
          </w:p>
          <w:p>
            <w:pPr>
              <w:pStyle w:val="TableParagraph"/>
              <w:spacing w:line="307" w:lineRule="exact"/>
              <w:ind w:left="532"/>
              <w:rPr>
                <w:sz w:val="24"/>
              </w:rPr>
            </w:pPr>
            <w:r>
              <w:rPr>
                <w:sz w:val="21"/>
              </w:rPr>
              <w:t>②</w:t>
            </w:r>
            <w:r>
              <w:rPr>
                <w:sz w:val="24"/>
              </w:rPr>
              <w:t>土方回填</w:t>
            </w:r>
          </w:p>
          <w:p>
            <w:pPr>
              <w:pStyle w:val="TableParagraph"/>
              <w:spacing w:before="158" w:line="364" w:lineRule="auto"/>
              <w:ind w:left="112" w:right="86" w:firstLine="480"/>
              <w:jc w:val="both"/>
              <w:rPr>
                <w:sz w:val="24"/>
              </w:rPr>
            </w:pPr>
            <w:r>
              <w:rPr>
                <w:sz w:val="24"/>
              </w:rPr>
              <w:t xml:space="preserve">包括站身基坑土方回填、翼墙墙后两侧土方回填及封闭堤防填筑等。回填土料来源为临时取土区，施工方法为：除闸身及翼墙墙后 </w:t>
            </w:r>
            <w:r>
              <w:rPr>
                <w:rFonts w:ascii="Times New Roman" w:eastAsia="Times New Roman"/>
                <w:sz w:val="24"/>
              </w:rPr>
              <w:t xml:space="preserve">2m </w:t>
            </w:r>
            <w:r>
              <w:rPr>
                <w:sz w:val="24"/>
              </w:rPr>
              <w:t>范围采用人工回填并夯实外，其他部位均采用机械回填并压实。</w:t>
            </w:r>
          </w:p>
          <w:p>
            <w:pPr>
              <w:pStyle w:val="TableParagraph"/>
              <w:spacing w:line="307" w:lineRule="exact"/>
              <w:ind w:left="592"/>
              <w:rPr>
                <w:sz w:val="24"/>
              </w:rPr>
            </w:pPr>
            <w:r>
              <w:rPr>
                <w:sz w:val="24"/>
              </w:rPr>
              <w:t>（</w:t>
            </w:r>
            <w:r>
              <w:rPr>
                <w:rFonts w:ascii="Times New Roman" w:eastAsia="Times New Roman"/>
                <w:sz w:val="24"/>
              </w:rPr>
              <w:t>3</w:t>
            </w:r>
            <w:r>
              <w:rPr>
                <w:sz w:val="24"/>
              </w:rPr>
              <w:t>）基础工程施工</w:t>
            </w:r>
          </w:p>
          <w:p>
            <w:pPr>
              <w:pStyle w:val="TableParagraph"/>
              <w:spacing w:before="158" w:line="364" w:lineRule="auto"/>
              <w:ind w:left="112" w:right="-44" w:firstLine="480"/>
              <w:rPr>
                <w:sz w:val="24"/>
              </w:rPr>
            </w:pPr>
            <w:r>
              <w:rPr>
                <w:sz w:val="24"/>
              </w:rPr>
              <w:t>本项目拆建建筑物主要采用方桩复合地基或换填水泥土进行地基处理。换填水泥土施工：水泥土基础施工时，要求基坑充分排水，分层铺筑土料，土块</w:t>
            </w:r>
            <w:r>
              <w:rPr>
                <w:spacing w:val="-7"/>
                <w:sz w:val="24"/>
              </w:rPr>
              <w:t xml:space="preserve">尽可能粉碎，最大尺寸不大于 </w:t>
            </w:r>
            <w:r>
              <w:rPr>
                <w:rFonts w:ascii="Times New Roman" w:eastAsia="Times New Roman"/>
                <w:sz w:val="24"/>
              </w:rPr>
              <w:t>15mm</w:t>
            </w:r>
            <w:r>
              <w:rPr>
                <w:spacing w:val="-6"/>
                <w:sz w:val="24"/>
              </w:rPr>
              <w:t xml:space="preserve">，每层压实厚度不超过 </w:t>
            </w:r>
            <w:r>
              <w:rPr>
                <w:rFonts w:ascii="Times New Roman" w:eastAsia="Times New Roman"/>
                <w:sz w:val="24"/>
              </w:rPr>
              <w:t>30cm</w:t>
            </w:r>
            <w:r>
              <w:rPr>
                <w:sz w:val="24"/>
              </w:rPr>
              <w:t>，同时要做到</w:t>
            </w:r>
            <w:r>
              <w:rPr>
                <w:spacing w:val="-8"/>
                <w:sz w:val="24"/>
              </w:rPr>
              <w:t>配料准确，拌和均匀，碾压密实，保湿养生，确保水泥土的强度满足设计要求。施工方法采用人工配合推土机铺土，拖拉机带铧犁拌和，履带拖拉机碾压。</w:t>
            </w:r>
          </w:p>
          <w:p>
            <w:pPr>
              <w:pStyle w:val="TableParagraph"/>
              <w:spacing w:line="364" w:lineRule="auto"/>
              <w:ind w:left="112" w:right="-15" w:firstLine="480"/>
              <w:rPr>
                <w:sz w:val="24"/>
              </w:rPr>
            </w:pPr>
            <w:r>
              <w:rPr>
                <w:spacing w:val="-11"/>
                <w:sz w:val="24"/>
              </w:rPr>
              <w:t xml:space="preserve">预制方桩施工：部分建筑物采用方桩复合基础，桩采用 </w:t>
            </w:r>
            <w:r>
              <w:rPr>
                <w:rFonts w:ascii="Times New Roman" w:eastAsia="Times New Roman" w:hAnsi="Times New Roman"/>
                <w:sz w:val="24"/>
              </w:rPr>
              <w:t xml:space="preserve">30cm×30cm </w:t>
            </w:r>
            <w:r>
              <w:rPr>
                <w:sz w:val="24"/>
              </w:rPr>
              <w:t>钢筋砼</w:t>
            </w:r>
            <w:r>
              <w:rPr>
                <w:spacing w:val="-4"/>
                <w:sz w:val="24"/>
              </w:rPr>
              <w:t xml:space="preserve">预制方桩。方桩采用工厂预制，待砼达到 </w:t>
            </w:r>
            <w:r>
              <w:rPr>
                <w:rFonts w:ascii="Times New Roman" w:eastAsia="Times New Roman" w:hAnsi="Times New Roman"/>
                <w:sz w:val="24"/>
              </w:rPr>
              <w:t>100%</w:t>
            </w:r>
            <w:r>
              <w:rPr>
                <w:sz w:val="24"/>
              </w:rPr>
              <w:t>设计强度时，方可搬运和打桩。方桩施工可采用锤击法施工。</w:t>
            </w:r>
          </w:p>
          <w:p>
            <w:pPr>
              <w:pStyle w:val="TableParagraph"/>
              <w:spacing w:line="307" w:lineRule="exact"/>
              <w:ind w:left="592"/>
              <w:rPr>
                <w:sz w:val="24"/>
              </w:rPr>
            </w:pPr>
            <w:r>
              <w:rPr>
                <w:sz w:val="24"/>
              </w:rPr>
              <w:t>（</w:t>
            </w:r>
            <w:r>
              <w:rPr>
                <w:rFonts w:ascii="Times New Roman" w:eastAsia="Times New Roman"/>
                <w:sz w:val="24"/>
              </w:rPr>
              <w:t>3</w:t>
            </w:r>
            <w:r>
              <w:rPr>
                <w:sz w:val="24"/>
              </w:rPr>
              <w:t>）砼工程施工</w:t>
            </w:r>
          </w:p>
          <w:p>
            <w:pPr>
              <w:pStyle w:val="TableParagraph"/>
              <w:spacing w:before="157"/>
              <w:ind w:left="592" w:right="-44"/>
              <w:rPr>
                <w:sz w:val="24"/>
              </w:rPr>
            </w:pPr>
            <w:r>
              <w:rPr>
                <w:spacing w:val="-4"/>
                <w:sz w:val="24"/>
              </w:rPr>
              <w:t>砼及钢筋砼工程主要集中在建筑物工程。本工程沿线道路通畅，交通便利，</w:t>
            </w:r>
          </w:p>
        </w:tc>
      </w:tr>
    </w:tbl>
    <w:p>
      <w:pPr>
        <w:spacing w:after="0"/>
        <w:rPr>
          <w:sz w:val="24"/>
        </w:rPr>
        <w:sectPr>
          <w:headerReference w:type="default" r:id="rId64"/>
          <w:footerReference w:type="default" r:id="rId65"/>
          <w:pgSz w:w="11910" w:h="16840"/>
          <w:pgMar w:top="1340" w:right="1120" w:bottom="1160" w:left="1220" w:header="891" w:footer="969"/>
          <w:pgNumType w:start="30"/>
          <w:cols w:space="708"/>
        </w:sectPr>
      </w:pPr>
    </w:p>
    <w:p>
      <w:pPr>
        <w:pStyle w:val="BodyText"/>
        <w:spacing w:before="1"/>
        <w:rPr>
          <w:rFonts w:ascii="Times New Roman"/>
          <w:sz w:val="7"/>
        </w:rPr>
      </w:pPr>
    </w:p>
    <w:tbl>
      <w:tblPr>
        <w:tblStyle w:val="TableNormal27"/>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3527"/>
          <w:jc w:val="left"/>
        </w:trPr>
        <w:tc>
          <w:tcPr>
            <w:tcW w:w="666" w:type="dxa"/>
            <w:tcBorders>
              <w:right w:val="single" w:sz="4" w:space="0" w:color="000000"/>
            </w:tcBorders>
          </w:tcPr>
          <w:p>
            <w:pPr>
              <w:pStyle w:val="TableParagraph"/>
              <w:rPr>
                <w:rFonts w:ascii="Times New Roman"/>
                <w:sz w:val="24"/>
              </w:rPr>
            </w:pPr>
          </w:p>
        </w:tc>
        <w:tc>
          <w:tcPr>
            <w:tcW w:w="8424" w:type="dxa"/>
            <w:tcBorders>
              <w:left w:val="single" w:sz="4" w:space="0" w:color="000000"/>
            </w:tcBorders>
          </w:tcPr>
          <w:p>
            <w:pPr>
              <w:pStyle w:val="TableParagraph"/>
              <w:spacing w:line="301" w:lineRule="exact"/>
              <w:ind w:left="112"/>
              <w:rPr>
                <w:sz w:val="24"/>
              </w:rPr>
            </w:pPr>
            <w:r>
              <w:rPr>
                <w:sz w:val="24"/>
              </w:rPr>
              <w:t>故本工程拟采用商品砼，直接市场择优购买。</w:t>
            </w:r>
          </w:p>
          <w:p>
            <w:pPr>
              <w:pStyle w:val="TableParagraph"/>
              <w:spacing w:before="158" w:line="364" w:lineRule="auto"/>
              <w:ind w:left="112" w:right="-44" w:firstLine="480"/>
              <w:rPr>
                <w:sz w:val="24"/>
              </w:rPr>
            </w:pPr>
            <w:r>
              <w:rPr>
                <w:sz w:val="24"/>
              </w:rPr>
              <w:t>混凝土所用水泥品质应符合国家标准，并应按设计要求和使用条件选用适宜的品种。养护混凝土用水不得含有使水泥非正常凝结和硬化的有害杂质。混</w:t>
            </w:r>
            <w:r>
              <w:rPr>
                <w:spacing w:val="-6"/>
                <w:sz w:val="24"/>
              </w:rPr>
              <w:t>凝土运输应符合下列要求：以最少的转运次数，将拌成的混凝土送至浇筑仓内， 在常温下运输的延续时间，不宜超过半小时，如混凝土产生初凝，应作专门处</w:t>
            </w:r>
            <w:r>
              <w:rPr>
                <w:spacing w:val="-9"/>
                <w:sz w:val="24"/>
              </w:rPr>
              <w:t xml:space="preserve">理；混凝土的自由下落高度，不宜大于 </w:t>
            </w:r>
            <w:r>
              <w:rPr>
                <w:rFonts w:ascii="Times New Roman" w:eastAsia="Times New Roman"/>
                <w:spacing w:val="-6"/>
                <w:sz w:val="24"/>
              </w:rPr>
              <w:t>2m</w:t>
            </w:r>
            <w:r>
              <w:rPr>
                <w:spacing w:val="-6"/>
                <w:sz w:val="24"/>
              </w:rPr>
              <w:t>，超过时，应采用溜管、串筒或其他缓降措施。</w:t>
            </w:r>
          </w:p>
          <w:p>
            <w:pPr>
              <w:pStyle w:val="TableParagraph"/>
              <w:spacing w:line="364" w:lineRule="auto"/>
              <w:ind w:left="112" w:right="86" w:firstLine="480"/>
              <w:rPr>
                <w:sz w:val="24"/>
              </w:rPr>
            </w:pPr>
            <w:r>
              <w:rPr>
                <w:sz w:val="24"/>
              </w:rPr>
              <w:t>浇筑前，应详细检查仓库内清理、模板、钢筋、预埋件、永久缝及浇筑准备工作等，并做好记录，经验收合格后方可浇筑。</w:t>
            </w:r>
          </w:p>
          <w:p>
            <w:pPr>
              <w:pStyle w:val="TableParagraph"/>
              <w:spacing w:line="364" w:lineRule="auto"/>
              <w:ind w:left="112" w:right="86" w:firstLine="480"/>
              <w:jc w:val="both"/>
              <w:rPr>
                <w:sz w:val="24"/>
              </w:rPr>
            </w:pPr>
            <w:r>
              <w:rPr>
                <w:sz w:val="24"/>
              </w:rPr>
              <w:t>混凝土应随浇随平，不得使用振捣器平仓，有粗骨料堆叠时，应将其均匀地颁布于砂浆较多处，严禁用砂浆覆盖。振捣器捣固混凝土时，应按一定顺序</w:t>
            </w:r>
            <w:r>
              <w:rPr>
                <w:spacing w:val="-2"/>
                <w:sz w:val="24"/>
              </w:rPr>
              <w:t xml:space="preserve">振捣，防止漏振、重振，移动间距应不大于振捣器有效半径的 </w:t>
            </w:r>
            <w:r>
              <w:rPr>
                <w:rFonts w:ascii="Times New Roman" w:eastAsia="Times New Roman"/>
                <w:sz w:val="24"/>
              </w:rPr>
              <w:t xml:space="preserve">1.5 </w:t>
            </w:r>
            <w:r>
              <w:rPr>
                <w:sz w:val="24"/>
              </w:rPr>
              <w:t>倍；振捣器</w:t>
            </w:r>
            <w:r>
              <w:rPr>
                <w:spacing w:val="-1"/>
                <w:sz w:val="24"/>
              </w:rPr>
              <w:t xml:space="preserve">机头宜垂直插入并深入下层混凝土中 </w:t>
            </w:r>
            <w:r>
              <w:rPr>
                <w:rFonts w:ascii="Times New Roman" w:eastAsia="Times New Roman"/>
                <w:sz w:val="24"/>
              </w:rPr>
              <w:t xml:space="preserve">5cm </w:t>
            </w:r>
            <w:r>
              <w:rPr>
                <w:spacing w:val="-9"/>
                <w:sz w:val="24"/>
              </w:rPr>
              <w:t>左右，振捣至混凝土无显著下沉、不</w:t>
            </w:r>
            <w:r>
              <w:rPr>
                <w:sz w:val="24"/>
              </w:rPr>
              <w:t>出现气泡、表面泛浆并不产生离析后徐徐提出，不留空洞；振捣器头至模板的距离应约等于其有效半径的一半，并不得触动钢筋、止水片及预埋件等。</w:t>
            </w:r>
          </w:p>
          <w:p>
            <w:pPr>
              <w:pStyle w:val="TableParagraph"/>
              <w:spacing w:line="364" w:lineRule="auto"/>
              <w:ind w:left="112" w:right="-44" w:firstLine="480"/>
              <w:rPr>
                <w:sz w:val="24"/>
              </w:rPr>
            </w:pPr>
            <w:r>
              <w:rPr>
                <w:spacing w:val="-7"/>
                <w:sz w:val="24"/>
              </w:rPr>
              <w:t xml:space="preserve">混凝土连续湿润养护时间，在常温下应不少于 </w:t>
            </w:r>
            <w:r>
              <w:rPr>
                <w:rFonts w:ascii="Times New Roman" w:eastAsia="Times New Roman"/>
                <w:sz w:val="24"/>
              </w:rPr>
              <w:t xml:space="preserve">10 </w:t>
            </w:r>
            <w:r>
              <w:rPr>
                <w:spacing w:val="-6"/>
                <w:sz w:val="24"/>
              </w:rPr>
              <w:t>天，有温控防裂要求的部</w:t>
            </w:r>
            <w:r>
              <w:rPr>
                <w:spacing w:val="-9"/>
                <w:sz w:val="24"/>
              </w:rPr>
              <w:t xml:space="preserve">位，养护时间宜适当延长。混凝土振捣采用 </w:t>
            </w:r>
            <w:r>
              <w:rPr>
                <w:rFonts w:ascii="Times New Roman" w:eastAsia="Times New Roman"/>
                <w:sz w:val="24"/>
              </w:rPr>
              <w:t>2.2kW</w:t>
            </w:r>
            <w:r>
              <w:rPr>
                <w:rFonts w:ascii="Times New Roman" w:eastAsia="Times New Roman"/>
                <w:spacing w:val="1"/>
                <w:sz w:val="24"/>
              </w:rPr>
              <w:t xml:space="preserve"> </w:t>
            </w:r>
            <w:r>
              <w:rPr>
                <w:sz w:val="24"/>
              </w:rPr>
              <w:t>插入式振捣器。分坯浇捣厚</w:t>
            </w:r>
            <w:r>
              <w:rPr>
                <w:spacing w:val="-30"/>
                <w:sz w:val="24"/>
              </w:rPr>
              <w:t xml:space="preserve">度 </w:t>
            </w:r>
            <w:r>
              <w:rPr>
                <w:rFonts w:ascii="Times New Roman" w:eastAsia="Times New Roman"/>
                <w:spacing w:val="-4"/>
                <w:sz w:val="24"/>
              </w:rPr>
              <w:t>0.3</w:t>
            </w:r>
            <w:r>
              <w:rPr>
                <w:spacing w:val="-4"/>
                <w:sz w:val="24"/>
              </w:rPr>
              <w:t>～</w:t>
            </w:r>
            <w:r>
              <w:rPr>
                <w:rFonts w:ascii="Times New Roman" w:eastAsia="Times New Roman"/>
                <w:spacing w:val="-4"/>
                <w:sz w:val="24"/>
              </w:rPr>
              <w:t>0.4m</w:t>
            </w:r>
            <w:r>
              <w:rPr>
                <w:spacing w:val="-11"/>
                <w:sz w:val="24"/>
              </w:rPr>
              <w:t xml:space="preserve">，振捣点间距 </w:t>
            </w:r>
            <w:r>
              <w:rPr>
                <w:rFonts w:ascii="Times New Roman" w:eastAsia="Times New Roman"/>
                <w:spacing w:val="-7"/>
                <w:sz w:val="24"/>
              </w:rPr>
              <w:t>0.45m</w:t>
            </w:r>
            <w:r>
              <w:rPr>
                <w:spacing w:val="-10"/>
                <w:sz w:val="24"/>
              </w:rPr>
              <w:t>，按梅花型交错排列。振捣时，不要碰到模板、</w:t>
            </w:r>
            <w:r>
              <w:rPr>
                <w:spacing w:val="-12"/>
                <w:sz w:val="24"/>
              </w:rPr>
              <w:t xml:space="preserve">钢筋以及预进埋件，但离模板的距离也不应小于 </w:t>
            </w:r>
            <w:r>
              <w:rPr>
                <w:rFonts w:ascii="Times New Roman" w:eastAsia="Times New Roman"/>
                <w:sz w:val="24"/>
              </w:rPr>
              <w:t>0.3m</w:t>
            </w:r>
            <w:r>
              <w:rPr>
                <w:sz w:val="24"/>
              </w:rPr>
              <w:t>，以免因漏振使混凝土表</w:t>
            </w:r>
            <w:r>
              <w:rPr>
                <w:spacing w:val="-3"/>
                <w:sz w:val="24"/>
              </w:rPr>
              <w:t xml:space="preserve">面出现蜂窝麻面。混凝土浇筑后，洒水养护时间 </w:t>
            </w:r>
            <w:r>
              <w:rPr>
                <w:rFonts w:ascii="Times New Roman" w:eastAsia="Times New Roman"/>
                <w:sz w:val="24"/>
              </w:rPr>
              <w:t>2</w:t>
            </w:r>
            <w:r>
              <w:rPr>
                <w:sz w:val="24"/>
              </w:rPr>
              <w:t>～</w:t>
            </w:r>
            <w:r>
              <w:rPr>
                <w:rFonts w:ascii="Times New Roman" w:eastAsia="Times New Roman"/>
                <w:sz w:val="24"/>
              </w:rPr>
              <w:t xml:space="preserve">3 </w:t>
            </w:r>
            <w:r>
              <w:rPr>
                <w:sz w:val="24"/>
              </w:rPr>
              <w:t>周。</w:t>
            </w:r>
          </w:p>
          <w:p>
            <w:pPr>
              <w:pStyle w:val="TableParagraph"/>
              <w:spacing w:line="306" w:lineRule="exact"/>
              <w:ind w:left="592"/>
              <w:rPr>
                <w:sz w:val="24"/>
              </w:rPr>
            </w:pPr>
            <w:r>
              <w:rPr>
                <w:sz w:val="24"/>
              </w:rPr>
              <w:t>（</w:t>
            </w:r>
            <w:r>
              <w:rPr>
                <w:rFonts w:ascii="Times New Roman" w:eastAsia="Times New Roman"/>
                <w:sz w:val="24"/>
              </w:rPr>
              <w:t>4</w:t>
            </w:r>
            <w:r>
              <w:rPr>
                <w:sz w:val="24"/>
              </w:rPr>
              <w:t>）钢筋制作安装</w:t>
            </w:r>
          </w:p>
          <w:p>
            <w:pPr>
              <w:pStyle w:val="TableParagraph"/>
              <w:spacing w:before="152" w:line="364" w:lineRule="auto"/>
              <w:ind w:left="112" w:right="-44" w:firstLine="480"/>
              <w:rPr>
                <w:sz w:val="24"/>
              </w:rPr>
            </w:pPr>
            <w:r>
              <w:rPr>
                <w:spacing w:val="-5"/>
                <w:sz w:val="24"/>
              </w:rPr>
              <w:t>钢筋混凝土结构所用的钢筋种类、钢号、直径等，应符合设计文件的规定。钢筋的机械性能应符合国家标准的要求。钢筋应有出厂质量保证书，使用前， 应按规定作拉力、延伸率、冷弯试验，并作焊接工艺试验。钢筋需要代换时， 应符合现行水工混凝土结构设计规范的规定。</w:t>
            </w:r>
          </w:p>
          <w:p>
            <w:pPr>
              <w:pStyle w:val="TableParagraph"/>
              <w:spacing w:line="364" w:lineRule="auto"/>
              <w:ind w:left="112" w:right="86" w:firstLine="480"/>
              <w:jc w:val="both"/>
              <w:rPr>
                <w:sz w:val="24"/>
              </w:rPr>
            </w:pPr>
            <w:r>
              <w:rPr>
                <w:sz w:val="24"/>
              </w:rPr>
              <w:t>钢筋的接头应采用闪光对焊，钢筋的交叉连接，宜采用接触点焊。钢筋焊接的焊接工艺和质量验收应按国家规范的规定执行。钢筋安装时，应严格控制保护层厚度，钢筋下面或钢筋与模板间，应设置数量足够、强度高于构件设计</w:t>
            </w:r>
          </w:p>
          <w:p>
            <w:pPr>
              <w:pStyle w:val="TableParagraph"/>
              <w:spacing w:line="307" w:lineRule="exact"/>
              <w:ind w:left="112"/>
              <w:rPr>
                <w:sz w:val="24"/>
              </w:rPr>
            </w:pPr>
            <w:r>
              <w:rPr>
                <w:sz w:val="24"/>
              </w:rPr>
              <w:t>强度、质量合格的混凝土或砂浆垫块，侧面使用的垫块应埋设铁丝，并与钢筋</w:t>
            </w:r>
          </w:p>
        </w:tc>
      </w:tr>
    </w:tbl>
    <w:p>
      <w:pPr>
        <w:spacing w:after="0" w:line="307" w:lineRule="exact"/>
        <w:rPr>
          <w:sz w:val="24"/>
        </w:rPr>
        <w:sectPr>
          <w:headerReference w:type="default" r:id="rId66"/>
          <w:footerReference w:type="default" r:id="rId67"/>
          <w:pgSz w:w="11910" w:h="16840"/>
          <w:pgMar w:top="1340" w:right="1120" w:bottom="1240" w:left="1220" w:header="891" w:footer="969"/>
          <w:pgNumType w:start="31"/>
          <w:cols w:space="708"/>
        </w:sectPr>
      </w:pPr>
    </w:p>
    <w:p>
      <w:pPr>
        <w:pStyle w:val="BodyText"/>
        <w:spacing w:before="1"/>
        <w:rPr>
          <w:rFonts w:ascii="Times New Roman"/>
          <w:sz w:val="7"/>
        </w:rPr>
      </w:pPr>
    </w:p>
    <w:tbl>
      <w:tblPr>
        <w:tblStyle w:val="TableNormal28"/>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3527"/>
          <w:jc w:val="left"/>
        </w:trPr>
        <w:tc>
          <w:tcPr>
            <w:tcW w:w="666" w:type="dxa"/>
            <w:tcBorders>
              <w:right w:val="single" w:sz="4" w:space="0" w:color="000000"/>
            </w:tcBorders>
          </w:tcPr>
          <w:p>
            <w:pPr>
              <w:pStyle w:val="TableParagraph"/>
              <w:rPr>
                <w:rFonts w:ascii="Times New Roman"/>
                <w:sz w:val="24"/>
              </w:rPr>
            </w:pPr>
          </w:p>
        </w:tc>
        <w:tc>
          <w:tcPr>
            <w:tcW w:w="8424" w:type="dxa"/>
            <w:tcBorders>
              <w:left w:val="single" w:sz="4" w:space="0" w:color="000000"/>
            </w:tcBorders>
          </w:tcPr>
          <w:p>
            <w:pPr>
              <w:pStyle w:val="TableParagraph"/>
              <w:spacing w:line="362" w:lineRule="auto"/>
              <w:ind w:left="112" w:right="86"/>
              <w:jc w:val="both"/>
              <w:rPr>
                <w:sz w:val="24"/>
              </w:rPr>
            </w:pPr>
            <w:r>
              <w:rPr>
                <w:sz w:val="24"/>
              </w:rPr>
              <w:t>扎紧，所有垫块互相错开，分散布置。在双层或多层钢筋之间，应用短筋或采取其他有效措施，以保证钢筋位置的准确。绑扎钢筋的铁丝和垫块上的铁丝均应按倒，不得伸入混凝土保护层内。</w:t>
            </w:r>
          </w:p>
          <w:p>
            <w:pPr>
              <w:pStyle w:val="TableParagraph"/>
              <w:numPr>
                <w:ilvl w:val="0"/>
                <w:numId w:val="40"/>
              </w:numPr>
              <w:tabs>
                <w:tab w:val="left" w:pos="1194"/>
              </w:tabs>
              <w:spacing w:before="0" w:after="0" w:line="240" w:lineRule="auto"/>
              <w:ind w:left="1193" w:right="0" w:hanging="602"/>
              <w:jc w:val="left"/>
              <w:rPr>
                <w:sz w:val="24"/>
              </w:rPr>
            </w:pPr>
            <w:r>
              <w:rPr>
                <w:sz w:val="24"/>
              </w:rPr>
              <w:t>金属结构制作安装工程</w:t>
            </w:r>
          </w:p>
          <w:p>
            <w:pPr>
              <w:pStyle w:val="TableParagraph"/>
              <w:spacing w:before="157" w:line="364" w:lineRule="auto"/>
              <w:ind w:left="112" w:right="-44" w:firstLine="480"/>
              <w:rPr>
                <w:sz w:val="24"/>
              </w:rPr>
            </w:pPr>
            <w:r>
              <w:rPr>
                <w:sz w:val="24"/>
              </w:rPr>
              <w:t>金属结构工程主要为工作门、启闭机、栏污栅，均采用在专业工厂制作、现场吊装的施工方法。金属结构埋件采用二期混凝土预埋，埋件安装质量直接</w:t>
            </w:r>
            <w:r>
              <w:rPr>
                <w:spacing w:val="-6"/>
                <w:sz w:val="24"/>
              </w:rPr>
              <w:t>影响到闸门的安装质量，要求安装尺寸准确、固定可靠并符合图纸和规范要求。承包单位在进行金属结构制作之前要及时查验材料质保书并抽样做材料理化性</w:t>
            </w:r>
            <w:r>
              <w:rPr>
                <w:spacing w:val="-8"/>
                <w:sz w:val="24"/>
              </w:rPr>
              <w:t xml:space="preserve">能试验，对一、二类焊缝按规范要求进行超声波探伤检查和 </w:t>
            </w:r>
            <w:r>
              <w:rPr>
                <w:rFonts w:ascii="Times New Roman" w:eastAsia="Times New Roman"/>
                <w:sz w:val="24"/>
              </w:rPr>
              <w:t>X</w:t>
            </w:r>
            <w:r>
              <w:rPr>
                <w:rFonts w:ascii="Times New Roman" w:eastAsia="Times New Roman"/>
                <w:spacing w:val="1"/>
                <w:sz w:val="24"/>
              </w:rPr>
              <w:t xml:space="preserve"> </w:t>
            </w:r>
            <w:r>
              <w:rPr>
                <w:spacing w:val="-1"/>
                <w:sz w:val="24"/>
              </w:rPr>
              <w:t>射线检查，对拼</w:t>
            </w:r>
            <w:r>
              <w:rPr>
                <w:spacing w:val="-5"/>
                <w:sz w:val="24"/>
              </w:rPr>
              <w:t>装焊接完成的金属结构进行外形尺寸和平整度检查，确保金属结构的制作质量。</w:t>
            </w:r>
          </w:p>
          <w:p>
            <w:pPr>
              <w:pStyle w:val="TableParagraph"/>
              <w:numPr>
                <w:ilvl w:val="0"/>
                <w:numId w:val="40"/>
              </w:numPr>
              <w:tabs>
                <w:tab w:val="left" w:pos="1194"/>
              </w:tabs>
              <w:spacing w:before="0" w:after="0" w:line="306" w:lineRule="exact"/>
              <w:ind w:left="1193" w:right="0" w:hanging="602"/>
              <w:jc w:val="left"/>
              <w:rPr>
                <w:sz w:val="24"/>
              </w:rPr>
            </w:pPr>
            <w:r>
              <w:rPr>
                <w:sz w:val="24"/>
              </w:rPr>
              <w:t>机电设备采购安装</w:t>
            </w:r>
          </w:p>
          <w:p>
            <w:pPr>
              <w:pStyle w:val="TableParagraph"/>
              <w:spacing w:before="159" w:line="364" w:lineRule="auto"/>
              <w:ind w:left="112" w:right="-44" w:firstLine="480"/>
              <w:rPr>
                <w:sz w:val="24"/>
              </w:rPr>
            </w:pPr>
            <w:r>
              <w:rPr>
                <w:sz w:val="24"/>
              </w:rPr>
              <w:t>机电设备主要包括电气设备、变电设备、泵站主机泵、辅助设备、起重设备等。机电设备的购置与制作，通过招标方式，选择符合本工程规模和技术要求的、单位信誉和经营状况好的企业承担。采购的机电设备应符合现行国家标准及行业标准，承包商应依据施工图要求进行采购、安装、调试。机电设备及其预埋件的安装，在土建施工中穿插进行。机电设备安装必须按工厂提供的有关说明书和技术规范规定的顺序和要求进行；电气设备安装埋设，均应满足设</w:t>
            </w:r>
            <w:r>
              <w:rPr>
                <w:spacing w:val="-7"/>
                <w:sz w:val="24"/>
              </w:rPr>
              <w:t>计图纸和有关规范的要求。安装时应加强设备生产厂家与土建施工单位的协调， 按土建施工进度要求及时供应各类预埋件。</w:t>
            </w:r>
          </w:p>
          <w:p>
            <w:pPr>
              <w:pStyle w:val="TableParagraph"/>
              <w:numPr>
                <w:ilvl w:val="0"/>
                <w:numId w:val="40"/>
              </w:numPr>
              <w:tabs>
                <w:tab w:val="left" w:pos="1194"/>
              </w:tabs>
              <w:spacing w:before="0" w:after="0" w:line="303" w:lineRule="exact"/>
              <w:ind w:left="1193" w:right="0" w:hanging="602"/>
              <w:jc w:val="left"/>
              <w:rPr>
                <w:sz w:val="24"/>
              </w:rPr>
            </w:pPr>
            <w:r>
              <w:rPr>
                <w:sz w:val="24"/>
              </w:rPr>
              <w:t>拆除工程</w:t>
            </w:r>
          </w:p>
          <w:p>
            <w:pPr>
              <w:pStyle w:val="TableParagraph"/>
              <w:spacing w:before="160" w:line="364" w:lineRule="auto"/>
              <w:ind w:left="112" w:right="-44" w:firstLine="480"/>
              <w:rPr>
                <w:sz w:val="24"/>
              </w:rPr>
            </w:pPr>
            <w:r>
              <w:rPr>
                <w:sz w:val="24"/>
              </w:rPr>
              <w:t>拆除工程主要是受本项目实施的影响而需拆除的水工建筑物。砼预制安装</w:t>
            </w:r>
            <w:r>
              <w:rPr>
                <w:spacing w:val="-6"/>
                <w:sz w:val="24"/>
              </w:rPr>
              <w:t>构件如公路桥、工作桥梁板、楼面等，仍采用吊车拆除；闸</w:t>
            </w:r>
            <w:r>
              <w:rPr>
                <w:sz w:val="24"/>
              </w:rPr>
              <w:t>（站</w:t>
            </w:r>
            <w:r>
              <w:rPr>
                <w:spacing w:val="-10"/>
                <w:sz w:val="24"/>
              </w:rPr>
              <w:t>）</w:t>
            </w:r>
            <w:r>
              <w:rPr>
                <w:spacing w:val="-3"/>
                <w:sz w:val="24"/>
              </w:rPr>
              <w:t>身、岸翼墙、桥台等现浇砼或浆砌块石结构，主要采用液压振动破碎锤分层拆除，配挖掘机和自卸汽车运输；浆砌块石护坡、护底采用风镐拆除，干砌块石护坡、护底可用挖掘机拆除。所拆除的废渣均运至弃渣场。</w:t>
            </w:r>
          </w:p>
          <w:p>
            <w:pPr>
              <w:pStyle w:val="TableParagraph"/>
              <w:spacing w:line="364" w:lineRule="auto"/>
              <w:ind w:left="112" w:right="86" w:firstLine="480"/>
              <w:rPr>
                <w:sz w:val="24"/>
              </w:rPr>
            </w:pPr>
            <w:r>
              <w:rPr>
                <w:sz w:val="24"/>
              </w:rPr>
              <w:t>机电设备、金属结构及启闭机采用人工辅以吊车拆除，所拆设备均用汽车运至指定存放地点。</w:t>
            </w:r>
          </w:p>
          <w:p>
            <w:pPr>
              <w:pStyle w:val="TableParagraph"/>
              <w:ind w:left="592"/>
              <w:rPr>
                <w:b/>
                <w:sz w:val="24"/>
              </w:rPr>
            </w:pPr>
            <w:r>
              <w:rPr>
                <w:rFonts w:ascii="Times New Roman" w:eastAsia="Times New Roman"/>
                <w:b/>
                <w:sz w:val="24"/>
              </w:rPr>
              <w:t>6</w:t>
            </w:r>
            <w:r>
              <w:rPr>
                <w:b/>
                <w:sz w:val="24"/>
              </w:rPr>
              <w:t>、跨河桥梁工程施工</w:t>
            </w:r>
          </w:p>
          <w:p>
            <w:pPr>
              <w:pStyle w:val="TableParagraph"/>
              <w:spacing w:before="155"/>
              <w:ind w:left="592"/>
              <w:rPr>
                <w:sz w:val="24"/>
              </w:rPr>
            </w:pPr>
            <w:r>
              <w:rPr>
                <w:sz w:val="24"/>
              </w:rPr>
              <w:t>（</w:t>
            </w:r>
            <w:r>
              <w:rPr>
                <w:rFonts w:ascii="Times New Roman" w:eastAsia="Times New Roman"/>
                <w:sz w:val="24"/>
              </w:rPr>
              <w:t>1</w:t>
            </w:r>
            <w:r>
              <w:rPr>
                <w:sz w:val="24"/>
              </w:rPr>
              <w:t>）施工程序</w:t>
            </w:r>
          </w:p>
        </w:tc>
      </w:tr>
    </w:tbl>
    <w:p>
      <w:pPr>
        <w:spacing w:after="0"/>
        <w:rPr>
          <w:sz w:val="24"/>
        </w:rPr>
        <w:sectPr>
          <w:headerReference w:type="default" r:id="rId68"/>
          <w:footerReference w:type="default" r:id="rId69"/>
          <w:pgSz w:w="11910" w:h="16840"/>
          <w:pgMar w:top="1340" w:right="1120" w:bottom="1240" w:left="1220" w:header="891" w:footer="969"/>
          <w:pgNumType w:start="32"/>
          <w:cols w:space="708"/>
        </w:sectPr>
      </w:pPr>
    </w:p>
    <w:p>
      <w:pPr>
        <w:pStyle w:val="BodyText"/>
        <w:spacing w:before="1"/>
        <w:rPr>
          <w:rFonts w:ascii="Times New Roman"/>
          <w:sz w:val="7"/>
        </w:rPr>
      </w:pPr>
    </w:p>
    <w:tbl>
      <w:tblPr>
        <w:tblStyle w:val="TableNormal29"/>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66"/>
        <w:gridCol w:w="8424"/>
      </w:tblGrid>
      <w:tr>
        <w:tblPrEx>
          <w:tblW w:w="0" w:type="auto"/>
          <w:jc w:val="left"/>
          <w:tblInd w:w="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3878"/>
          <w:jc w:val="left"/>
        </w:trPr>
        <w:tc>
          <w:tcPr>
            <w:tcW w:w="666" w:type="dxa"/>
            <w:tcBorders>
              <w:right w:val="single" w:sz="4" w:space="0" w:color="000000"/>
            </w:tcBorders>
          </w:tcPr>
          <w:p>
            <w:pPr>
              <w:pStyle w:val="TableParagraph"/>
              <w:rPr>
                <w:rFonts w:ascii="Times New Roman"/>
                <w:sz w:val="24"/>
              </w:rPr>
            </w:pPr>
          </w:p>
        </w:tc>
        <w:tc>
          <w:tcPr>
            <w:tcW w:w="8424" w:type="dxa"/>
            <w:tcBorders>
              <w:left w:val="single" w:sz="4" w:space="0" w:color="000000"/>
            </w:tcBorders>
          </w:tcPr>
          <w:p>
            <w:pPr>
              <w:pStyle w:val="TableParagraph"/>
              <w:spacing w:line="301" w:lineRule="exact"/>
              <w:ind w:left="592"/>
              <w:rPr>
                <w:sz w:val="24"/>
              </w:rPr>
            </w:pPr>
            <w:r>
              <w:rPr>
                <w:sz w:val="24"/>
              </w:rPr>
              <w:t>根据不同桥梁型式，结合不同施工方法，确定桥型施工流程见下图。</w:t>
            </w:r>
          </w:p>
          <w:p>
            <w:pPr>
              <w:pStyle w:val="TableParagraph"/>
              <w:spacing w:before="2"/>
              <w:rPr>
                <w:rFonts w:ascii="Times New Roman"/>
                <w:sz w:val="26"/>
              </w:rPr>
            </w:pPr>
          </w:p>
          <w:p>
            <w:pPr>
              <w:pStyle w:val="TableParagraph"/>
              <w:ind w:left="231"/>
              <w:rPr>
                <w:rFonts w:ascii="Times New Roman"/>
                <w:sz w:val="20"/>
              </w:rPr>
            </w:pPr>
            <w:r>
              <w:rPr>
                <w:rFonts w:ascii="Times New Roman"/>
                <w:sz w:val="20"/>
              </w:rPr>
              <w:drawing>
                <wp:inline distT="0" distB="0" distL="0" distR="0">
                  <wp:extent cx="4879495" cy="44824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0" cstate="print"/>
                          <a:stretch>
                            <a:fillRect/>
                          </a:stretch>
                        </pic:blipFill>
                        <pic:spPr>
                          <a:xfrm>
                            <a:off x="0" y="0"/>
                            <a:ext cx="4879495" cy="448246"/>
                          </a:xfrm>
                          <a:prstGeom prst="rect">
                            <a:avLst/>
                          </a:prstGeom>
                        </pic:spPr>
                      </pic:pic>
                    </a:graphicData>
                  </a:graphic>
                </wp:inline>
              </w:drawing>
            </w:r>
          </w:p>
          <w:p>
            <w:pPr>
              <w:pStyle w:val="TableParagraph"/>
              <w:rPr>
                <w:rFonts w:ascii="Times New Roman"/>
                <w:sz w:val="24"/>
              </w:rPr>
            </w:pPr>
          </w:p>
          <w:p>
            <w:pPr>
              <w:pStyle w:val="TableParagraph"/>
              <w:spacing w:before="158"/>
              <w:ind w:left="592"/>
              <w:rPr>
                <w:sz w:val="24"/>
              </w:rPr>
            </w:pPr>
            <w:r>
              <w:rPr>
                <w:sz w:val="24"/>
              </w:rPr>
              <w:t>（</w:t>
            </w:r>
            <w:r>
              <w:rPr>
                <w:rFonts w:ascii="Times New Roman" w:eastAsia="Times New Roman"/>
                <w:sz w:val="24"/>
              </w:rPr>
              <w:t>2</w:t>
            </w:r>
            <w:r>
              <w:rPr>
                <w:sz w:val="24"/>
              </w:rPr>
              <w:t>）桥梁结构施工</w:t>
            </w:r>
          </w:p>
          <w:p>
            <w:pPr>
              <w:pStyle w:val="TableParagraph"/>
              <w:spacing w:before="161"/>
              <w:ind w:left="592"/>
              <w:rPr>
                <w:sz w:val="24"/>
              </w:rPr>
            </w:pPr>
            <w:r>
              <w:rPr>
                <w:sz w:val="24"/>
              </w:rPr>
              <w:t>①拆除工程</w:t>
            </w:r>
          </w:p>
          <w:p>
            <w:pPr>
              <w:pStyle w:val="TableParagraph"/>
              <w:spacing w:before="158" w:line="364" w:lineRule="auto"/>
              <w:ind w:left="112" w:right="86" w:firstLine="480"/>
              <w:rPr>
                <w:sz w:val="24"/>
              </w:rPr>
            </w:pPr>
            <w:r>
              <w:rPr>
                <w:sz w:val="24"/>
              </w:rPr>
              <w:t>本工程涉及的拆除工程有：桥主梁凿（拆）除，桥墩及河底高程以上灌注桩凿（拆）除，桥台凿（拆）除、护坡拆除等。</w:t>
            </w:r>
          </w:p>
          <w:p>
            <w:pPr>
              <w:pStyle w:val="TableParagraph"/>
              <w:spacing w:line="364" w:lineRule="auto"/>
              <w:ind w:left="112" w:right="86" w:firstLine="480"/>
              <w:jc w:val="both"/>
              <w:rPr>
                <w:sz w:val="24"/>
              </w:rPr>
            </w:pPr>
            <w:r>
              <w:rPr>
                <w:sz w:val="24"/>
              </w:rPr>
              <w:t>桥的上部结构解体后，利用吊车吊离，配运输车辆装运至弃渣场；桥的现浇砼或浆砌块石结构，采用风镐拆除，配运输车辆装运至弃渣场。浆砌块石护坡亦采用风镐拆除，所拆块石运至弃土场。</w:t>
            </w:r>
          </w:p>
          <w:p>
            <w:pPr>
              <w:pStyle w:val="TableParagraph"/>
              <w:spacing w:line="307" w:lineRule="exact"/>
              <w:ind w:left="592"/>
              <w:rPr>
                <w:sz w:val="24"/>
              </w:rPr>
            </w:pPr>
            <w:r>
              <w:rPr>
                <w:sz w:val="24"/>
              </w:rPr>
              <w:t>②下部结构及基础施工</w:t>
            </w:r>
          </w:p>
          <w:p>
            <w:pPr>
              <w:pStyle w:val="TableParagraph"/>
              <w:numPr>
                <w:ilvl w:val="0"/>
                <w:numId w:val="14"/>
              </w:numPr>
              <w:tabs>
                <w:tab w:val="left" w:pos="759"/>
              </w:tabs>
              <w:spacing w:before="157" w:after="0" w:line="240" w:lineRule="auto"/>
              <w:ind w:left="758" w:right="0" w:hanging="167"/>
              <w:jc w:val="left"/>
              <w:rPr>
                <w:sz w:val="24"/>
              </w:rPr>
            </w:pPr>
            <w:r>
              <w:rPr>
                <w:sz w:val="24"/>
              </w:rPr>
              <w:t>灌注桩基础施工</w:t>
            </w:r>
          </w:p>
          <w:p>
            <w:pPr>
              <w:pStyle w:val="TableParagraph"/>
              <w:spacing w:before="160" w:line="364" w:lineRule="auto"/>
              <w:ind w:left="112" w:right="-44" w:firstLine="480"/>
              <w:rPr>
                <w:sz w:val="24"/>
              </w:rPr>
            </w:pPr>
            <w:r>
              <w:rPr>
                <w:spacing w:val="-6"/>
                <w:sz w:val="24"/>
              </w:rPr>
              <w:t>桥基础均采用灌注桩基础，基桩坐标应精确放样。钻机就位必须端正稳固， 确保施工中不发生倾斜、移位。灌注桩出渣泥浆需集中储存，弃运至指定地点吹填。</w:t>
            </w:r>
          </w:p>
          <w:p>
            <w:pPr>
              <w:pStyle w:val="TableParagraph"/>
              <w:numPr>
                <w:ilvl w:val="0"/>
                <w:numId w:val="14"/>
              </w:numPr>
              <w:tabs>
                <w:tab w:val="left" w:pos="774"/>
              </w:tabs>
              <w:spacing w:before="0" w:after="0" w:line="307" w:lineRule="exact"/>
              <w:ind w:left="773" w:right="0" w:hanging="182"/>
              <w:jc w:val="left"/>
              <w:rPr>
                <w:sz w:val="24"/>
              </w:rPr>
            </w:pPr>
            <w:r>
              <w:rPr>
                <w:sz w:val="24"/>
              </w:rPr>
              <w:t>混凝土构件预制</w:t>
            </w:r>
          </w:p>
          <w:p>
            <w:pPr>
              <w:pStyle w:val="TableParagraph"/>
              <w:spacing w:before="158"/>
              <w:ind w:left="592"/>
              <w:rPr>
                <w:sz w:val="24"/>
              </w:rPr>
            </w:pPr>
            <w:r>
              <w:rPr>
                <w:sz w:val="24"/>
              </w:rPr>
              <w:t>空心板考虑外购，其他小型构件考虑现场预制。</w:t>
            </w:r>
          </w:p>
          <w:p>
            <w:pPr>
              <w:pStyle w:val="TableParagraph"/>
              <w:spacing w:before="158"/>
              <w:ind w:left="592"/>
              <w:rPr>
                <w:sz w:val="24"/>
              </w:rPr>
            </w:pPr>
            <w:r>
              <w:rPr>
                <w:sz w:val="24"/>
              </w:rPr>
              <w:t>③上部结构施工</w:t>
            </w:r>
          </w:p>
          <w:p>
            <w:pPr>
              <w:pStyle w:val="TableParagraph"/>
              <w:spacing w:before="161" w:line="364" w:lineRule="auto"/>
              <w:ind w:left="112" w:right="-44" w:firstLine="480"/>
              <w:rPr>
                <w:sz w:val="24"/>
              </w:rPr>
            </w:pPr>
            <w:r>
              <w:rPr>
                <w:sz w:val="24"/>
              </w:rPr>
              <w:t>混凝土空心板的架设与下部墩台施工期、钢筋混凝土空心板的预制等环节</w:t>
            </w:r>
            <w:r>
              <w:rPr>
                <w:spacing w:val="-8"/>
                <w:sz w:val="24"/>
              </w:rPr>
              <w:t>要紧密配合，既要保证架设时混凝土达到规定强度，又要使存梁时间不要过长， 避免板体产生过大的反拱度。</w:t>
            </w:r>
          </w:p>
          <w:p>
            <w:pPr>
              <w:pStyle w:val="TableParagraph"/>
              <w:spacing w:line="364" w:lineRule="auto"/>
              <w:ind w:left="112" w:right="86" w:firstLine="480"/>
              <w:jc w:val="both"/>
              <w:rPr>
                <w:sz w:val="24"/>
              </w:rPr>
            </w:pPr>
            <w:r>
              <w:rPr>
                <w:sz w:val="24"/>
              </w:rPr>
              <w:t>混凝土空心板采用平板拖车拖运到桥位后，用汽车吊进行吊梁安装。应提前在墩台帽上按设计标出支座中心位置，安装支座。应做好运梁路线和工作场地的平整工作，地基较差时除将地基进行必要的夯实外，还需在支脚下垫枕木以增加其承力面积，保证安全。</w:t>
            </w:r>
          </w:p>
          <w:p>
            <w:pPr>
              <w:pStyle w:val="TableParagraph"/>
              <w:spacing w:line="362" w:lineRule="auto"/>
              <w:ind w:left="112" w:right="86" w:firstLine="480"/>
              <w:rPr>
                <w:sz w:val="24"/>
              </w:rPr>
            </w:pPr>
            <w:r>
              <w:rPr>
                <w:sz w:val="24"/>
              </w:rPr>
              <w:t>安装完成后即可现浇混凝土结构层及桥面铺装、进行防护结构的浇筑或安装。</w:t>
            </w:r>
          </w:p>
          <w:p>
            <w:pPr>
              <w:pStyle w:val="TableParagraph"/>
              <w:spacing w:before="2"/>
              <w:ind w:left="592"/>
              <w:rPr>
                <w:sz w:val="24"/>
              </w:rPr>
            </w:pPr>
            <w:r>
              <w:rPr>
                <w:sz w:val="24"/>
              </w:rPr>
              <w:t>（</w:t>
            </w:r>
            <w:r>
              <w:rPr>
                <w:rFonts w:ascii="Times New Roman" w:eastAsia="Times New Roman"/>
                <w:sz w:val="24"/>
              </w:rPr>
              <w:t>3</w:t>
            </w:r>
            <w:r>
              <w:rPr>
                <w:sz w:val="24"/>
              </w:rPr>
              <w:t>）桥头引道</w:t>
            </w:r>
          </w:p>
          <w:p>
            <w:pPr>
              <w:pStyle w:val="TableParagraph"/>
              <w:spacing w:before="158"/>
              <w:ind w:left="592"/>
              <w:rPr>
                <w:sz w:val="24"/>
              </w:rPr>
            </w:pPr>
            <w:r>
              <w:rPr>
                <w:sz w:val="24"/>
              </w:rPr>
              <w:t>①路基填筑土方调配及施工</w:t>
            </w:r>
          </w:p>
        </w:tc>
      </w:tr>
    </w:tbl>
    <w:p>
      <w:pPr>
        <w:spacing w:after="0"/>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1" w:history="1">
        <w:r>
          <w:rPr>
            <w:rFonts w:ascii="SimSun" w:eastAsia="SimSun" w:hAnsi="SimSun" w:cs="SimSun"/>
            <w:b/>
            <w:bCs/>
            <w:color w:val="0000EE"/>
            <w:sz w:val="30"/>
            <w:szCs w:val="30"/>
            <w:u w:val="single" w:color="0000EE"/>
          </w:rPr>
          <w:t>https://d.book118.com/807124106026006054</w:t>
        </w:r>
      </w:hyperlink>
    </w:p>
    <w:p>
      <w:pPr>
        <w:spacing w:after="0"/>
        <w:rPr>
          <w:sz w:val="24"/>
        </w:rPr>
      </w:pPr>
    </w:p>
    <w:sectPr>
      <w:headerReference w:type="default" r:id="rId72"/>
      <w:footerReference w:type="default" r:id="rId73"/>
      <w:pgSz w:w="11910" w:h="16840"/>
      <w:pgMar w:top="1340" w:right="1120" w:bottom="1240" w:left="1220" w:header="891" w:footer="969"/>
      <w:pgNumType w:start="3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S UI Gothic">
    <w:altName w:val="MS UI Gothic"/>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50" type="#_x0000_t202" style="width:56pt;height:14pt;margin-top:778.46pt;margin-left:269.6pt;mso-position-horizontal-relative:page;mso-position-vertical-relative:page;position:absolute;z-index:-251658240"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1</w:t>
                </w:r>
                <w:r>
                  <w:fldChar w:fldCharType="end"/>
                </w:r>
                <w:r>
                  <w:tab/>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68" type="#_x0000_t202" style="width:56pt;height:14pt;margin-top:778.46pt;margin-left:269.6pt;mso-position-horizontal-relative:page;mso-position-vertical-relative:page;position:absolute;z-index:-251649024"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10</w:t>
                </w:r>
                <w:r>
                  <w:fldChar w:fldCharType="end"/>
                </w:r>
                <w:r>
                  <w:tab/>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62pt;height:14pt;margin-top:778.46pt;margin-left:266.6pt;mso-position-horizontal-relative:page;mso-position-vertical-relative:page;position:absolute;z-index:-251648000"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10</w:t>
                </w:r>
                <w:r>
                  <w:fldChar w:fldCharType="end"/>
                </w:r>
                <w:r>
                  <w:tab/>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62pt;height:14pt;margin-top:778.46pt;margin-left:266.6pt;mso-position-horizontal-relative:page;mso-position-vertical-relative:page;position:absolute;z-index:-251646976"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11</w:t>
                </w:r>
                <w:r>
                  <w:fldChar w:fldCharType="end"/>
                </w:r>
                <w:r>
                  <w:tab/>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62pt;height:14pt;margin-top:778.46pt;margin-left:266.6pt;mso-position-horizontal-relative:page;mso-position-vertical-relative:page;position:absolute;z-index:-251645952"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12</w:t>
                </w:r>
                <w:r>
                  <w:fldChar w:fldCharType="end"/>
                </w:r>
                <w:r>
                  <w:tab/>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62pt;height:14pt;margin-top:778.46pt;margin-left:266.6pt;mso-position-horizontal-relative:page;mso-position-vertical-relative:page;position:absolute;z-index:-251644928"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13</w:t>
                </w:r>
                <w:r>
                  <w:fldChar w:fldCharType="end"/>
                </w:r>
                <w:r>
                  <w:tab/>
                  <w:t>—</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62pt;height:14pt;margin-top:778.46pt;margin-left:266.6pt;mso-position-horizontal-relative:page;mso-position-vertical-relative:page;position:absolute;z-index:-251643904"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14</w:t>
                </w:r>
                <w:r>
                  <w:fldChar w:fldCharType="end"/>
                </w:r>
                <w:r>
                  <w:tab/>
                  <w:t>—</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62pt;height:14pt;margin-top:778.46pt;margin-left:266.6pt;mso-position-horizontal-relative:page;mso-position-vertical-relative:page;position:absolute;z-index:-251642880"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15</w:t>
                </w:r>
                <w:r>
                  <w:fldChar w:fldCharType="end"/>
                </w:r>
                <w:r>
                  <w:tab/>
                  <w:t>—</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62pt;height:14pt;margin-top:778.46pt;margin-left:266.6pt;mso-position-horizontal-relative:page;mso-position-vertical-relative:page;position:absolute;z-index:-251641856"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16</w:t>
                </w:r>
                <w:r>
                  <w:fldChar w:fldCharType="end"/>
                </w:r>
                <w:r>
                  <w:tab/>
                  <w:t>—</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62pt;height:14pt;margin-top:778.46pt;margin-left:266.6pt;mso-position-horizontal-relative:page;mso-position-vertical-relative:page;position:absolute;z-index:-251640832"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17</w:t>
                </w:r>
                <w:r>
                  <w:fldChar w:fldCharType="end"/>
                </w:r>
                <w:r>
                  <w:tab/>
                  <w:t>—</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62pt;height:14pt;margin-top:778.46pt;margin-left:266.6pt;mso-position-horizontal-relative:page;mso-position-vertical-relative:page;position:absolute;z-index:-251639808"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18</w:t>
                </w:r>
                <w:r>
                  <w:fldChar w:fldCharType="end"/>
                </w:r>
                <w:r>
                  <w:tab/>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52" type="#_x0000_t202" style="width:56pt;height:14pt;margin-top:778.46pt;margin-left:269.6pt;mso-position-horizontal-relative:page;mso-position-vertical-relative:page;position:absolute;z-index:-251657216"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2</w:t>
                </w:r>
                <w:r>
                  <w:fldChar w:fldCharType="end"/>
                </w:r>
                <w:r>
                  <w:tab/>
                  <w:t>—</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62pt;height:14pt;margin-top:778.46pt;margin-left:266.6pt;mso-position-horizontal-relative:page;mso-position-vertical-relative:page;position:absolute;z-index:-251638784"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19</w:t>
                </w:r>
                <w:r>
                  <w:fldChar w:fldCharType="end"/>
                </w:r>
                <w:r>
                  <w:tab/>
                  <w:t>—</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62pt;height:14pt;margin-top:778.46pt;margin-left:266.6pt;mso-position-horizontal-relative:page;mso-position-vertical-relative:page;position:absolute;z-index:-251637760"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20</w:t>
                </w:r>
                <w:r>
                  <w:fldChar w:fldCharType="end"/>
                </w:r>
                <w:r>
                  <w:tab/>
                  <w:t>—</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62pt;height:14pt;margin-top:778.46pt;margin-left:266.6pt;mso-position-horizontal-relative:page;mso-position-vertical-relative:page;position:absolute;z-index:-251636736"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21</w:t>
                </w:r>
                <w:r>
                  <w:fldChar w:fldCharType="end"/>
                </w:r>
                <w:r>
                  <w:tab/>
                  <w:t>—</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62pt;height:14pt;margin-top:778.46pt;margin-left:266.6pt;mso-position-horizontal-relative:page;mso-position-vertical-relative:page;position:absolute;z-index:-251635712"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22</w:t>
                </w:r>
                <w:r>
                  <w:fldChar w:fldCharType="end"/>
                </w:r>
                <w:r>
                  <w:tab/>
                  <w:t>—</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62pt;height:14pt;margin-top:778.46pt;margin-left:266.6pt;mso-position-horizontal-relative:page;mso-position-vertical-relative:page;position:absolute;z-index:-251634688"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23</w:t>
                </w:r>
                <w:r>
                  <w:fldChar w:fldCharType="end"/>
                </w:r>
                <w:r>
                  <w:tab/>
                  <w:t>—</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62pt;height:14pt;margin-top:778.46pt;margin-left:266.6pt;mso-position-horizontal-relative:page;mso-position-vertical-relative:page;position:absolute;z-index:-251633664"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24</w:t>
                </w:r>
                <w:r>
                  <w:fldChar w:fldCharType="end"/>
                </w:r>
                <w:r>
                  <w:tab/>
                  <w:t>—</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62pt;height:14pt;margin-top:778.46pt;margin-left:266.6pt;mso-position-horizontal-relative:page;mso-position-vertical-relative:page;position:absolute;z-index:-251632640"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25</w:t>
                </w:r>
                <w:r>
                  <w:fldChar w:fldCharType="end"/>
                </w:r>
                <w:r>
                  <w:tab/>
                  <w:t>—</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62pt;height:14pt;margin-top:778.46pt;margin-left:266.6pt;mso-position-horizontal-relative:page;mso-position-vertical-relative:page;position:absolute;z-index:-251631616"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26</w:t>
                </w:r>
                <w:r>
                  <w:fldChar w:fldCharType="end"/>
                </w:r>
                <w:r>
                  <w:tab/>
                  <w:t>—</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62pt;height:14pt;margin-top:778.46pt;margin-left:266.6pt;mso-position-horizontal-relative:page;mso-position-vertical-relative:page;position:absolute;z-index:-251630592"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27</w:t>
                </w:r>
                <w:r>
                  <w:fldChar w:fldCharType="end"/>
                </w:r>
                <w:r>
                  <w:tab/>
                  <w:t>—</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62pt;height:14pt;margin-top:778.46pt;margin-left:266.6pt;mso-position-horizontal-relative:page;mso-position-vertical-relative:page;position:absolute;z-index:-251629568"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28</w:t>
                </w:r>
                <w:r>
                  <w:fldChar w:fldCharType="end"/>
                </w:r>
                <w:r>
                  <w:tab/>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54" type="#_x0000_t202" style="width:56pt;height:14pt;margin-top:778.46pt;margin-left:269.6pt;mso-position-horizontal-relative:page;mso-position-vertical-relative:page;position:absolute;z-index:-251656192"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9</w:t>
                </w:r>
                <w:r>
                  <w:fldChar w:fldCharType="end"/>
                </w:r>
                <w:r>
                  <w:tab/>
                  <w:t>—</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62pt;height:14pt;margin-top:778.46pt;margin-left:266.6pt;mso-position-horizontal-relative:page;mso-position-vertical-relative:page;position:absolute;z-index:-251628544"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29</w:t>
                </w:r>
                <w:r>
                  <w:fldChar w:fldCharType="end"/>
                </w:r>
                <w:r>
                  <w:tab/>
                  <w:t>—</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109" type="#_x0000_t202" style="width:62pt;height:14pt;margin-top:778.46pt;margin-left:266.6pt;mso-position-horizontal-relative:page;mso-position-vertical-relative:page;position:absolute;z-index:-251627520"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30</w:t>
                </w:r>
                <w:r>
                  <w:fldChar w:fldCharType="end"/>
                </w:r>
                <w:r>
                  <w:tab/>
                  <w:t>—</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111" type="#_x0000_t202" style="width:62pt;height:14pt;margin-top:778.46pt;margin-left:266.6pt;mso-position-horizontal-relative:page;mso-position-vertical-relative:page;position:absolute;z-index:-251626496"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31</w:t>
                </w:r>
                <w:r>
                  <w:fldChar w:fldCharType="end"/>
                </w:r>
                <w:r>
                  <w:tab/>
                  <w:t>—</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113" type="#_x0000_t202" style="width:62pt;height:14pt;margin-top:778.46pt;margin-left:266.6pt;mso-position-horizontal-relative:page;mso-position-vertical-relative:page;position:absolute;z-index:-251625472"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32</w:t>
                </w:r>
                <w:r>
                  <w:fldChar w:fldCharType="end"/>
                </w:r>
                <w:r>
                  <w:tab/>
                  <w:t>—</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115" type="#_x0000_t202" style="width:62pt;height:14pt;margin-top:778.46pt;margin-left:266.6pt;mso-position-horizontal-relative:page;mso-position-vertical-relative:page;position:absolute;z-index:-251624448" filled="f" stroked="f">
          <v:textbox inset="0,0,0,0">
            <w:txbxContent>
              <w:p>
                <w:pPr>
                  <w:pStyle w:val="BodyText"/>
                  <w:tabs>
                    <w:tab w:val="left" w:pos="499"/>
                    <w:tab w:val="left" w:pos="979"/>
                  </w:tabs>
                  <w:spacing w:line="280" w:lineRule="exact"/>
                  <w:ind w:left="20"/>
                </w:pPr>
                <w:r>
                  <w:t>—</w:t>
                  <w:tab/>
                </w:r>
                <w:r>
                  <w:fldChar w:fldCharType="begin"/>
                </w:r>
                <w:r>
                  <w:instrText xml:space="preserve"> PAGE </w:instrText>
                </w:r>
                <w:r>
                  <w:fldChar w:fldCharType="separate"/>
                </w:r>
                <w:r>
                  <w:t>34</w:t>
                </w:r>
                <w:r>
                  <w:fldChar w:fldCharType="end"/>
                </w:r>
                <w:r>
                  <w:tab/>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56" type="#_x0000_t202" style="width:56pt;height:14pt;margin-top:778.46pt;margin-left:269.6pt;mso-position-horizontal-relative:page;mso-position-vertical-relative:page;position:absolute;z-index:-251655168"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4</w:t>
                </w:r>
                <w:r>
                  <w:fldChar w:fldCharType="end"/>
                </w:r>
                <w:r>
                  <w:tab/>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58" type="#_x0000_t202" style="width:56pt;height:14pt;margin-top:778.46pt;margin-left:269.6pt;mso-position-horizontal-relative:page;mso-position-vertical-relative:page;position:absolute;z-index:-251654144"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5</w:t>
                </w:r>
                <w:r>
                  <w:fldChar w:fldCharType="end"/>
                </w:r>
                <w:r>
                  <w:tab/>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60" type="#_x0000_t202" style="width:56pt;height:14pt;margin-top:778.46pt;margin-left:269.6pt;mso-position-horizontal-relative:page;mso-position-vertical-relative:page;position:absolute;z-index:-251653120"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6</w:t>
                </w:r>
                <w:r>
                  <w:fldChar w:fldCharType="end"/>
                </w:r>
                <w:r>
                  <w:tab/>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62" type="#_x0000_t202" style="width:56pt;height:14pt;margin-top:778.46pt;margin-left:269.6pt;mso-position-horizontal-relative:page;mso-position-vertical-relative:page;position:absolute;z-index:-251652096"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7</w:t>
                </w:r>
                <w:r>
                  <w:fldChar w:fldCharType="end"/>
                </w:r>
                <w:r>
                  <w:tab/>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64" type="#_x0000_t202" style="width:56pt;height:14pt;margin-top:778.46pt;margin-left:269.6pt;mso-position-horizontal-relative:page;mso-position-vertical-relative:page;position:absolute;z-index:-251651072"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8</w:t>
                </w:r>
                <w:r>
                  <w:fldChar w:fldCharType="end"/>
                </w:r>
                <w:r>
                  <w:tab/>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6"/>
      </w:rPr>
    </w:pPr>
    <w:r>
      <w:pict>
        <v:shapetype id="_x0000_t202" coordsize="21600,21600" o:spt="202" path="m,l,21600r21600,l21600,xe">
          <v:stroke joinstyle="miter"/>
          <v:path gradientshapeok="t" o:connecttype="rect"/>
        </v:shapetype>
        <v:shape id="_x0000_s2066" type="#_x0000_t202" style="width:56pt;height:14pt;margin-top:778.46pt;margin-left:269.6pt;mso-position-horizontal-relative:page;mso-position-vertical-relative:page;position:absolute;z-index:-251650048" filled="f" stroked="f">
          <v:textbox inset="0,0,0,0">
            <w:txbxContent>
              <w:p>
                <w:pPr>
                  <w:pStyle w:val="BodyText"/>
                  <w:tabs>
                    <w:tab w:val="left" w:pos="499"/>
                    <w:tab w:val="left" w:pos="859"/>
                  </w:tabs>
                  <w:spacing w:line="280" w:lineRule="exact"/>
                  <w:ind w:left="20"/>
                </w:pPr>
                <w:r>
                  <w:t>—</w:t>
                  <w:tab/>
                </w:r>
                <w:r>
                  <w:fldChar w:fldCharType="begin"/>
                </w:r>
                <w:r>
                  <w:instrText xml:space="preserve"> PAGE </w:instrText>
                </w:r>
                <w:r>
                  <w:fldChar w:fldCharType="separate"/>
                </w:r>
                <w:r>
                  <w:t>9</w:t>
                </w:r>
                <w:r>
                  <w:fldChar w:fldCharType="end"/>
                </w:r>
                <w:r>
                  <w:tab/>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49" style="mso-position-horizontal-relative:page;mso-position-vertical-relative:page;position:absolute;z-index:-251658240" from="76.55pt,54.2pt" to="518.75pt,54.2pt" stroked="t" strokecolor="black" strokeweight="0.72pt">
          <v:stroke dashstyle="solid"/>
        </v:lin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7" style="mso-position-horizontal-relative:page;mso-position-vertical-relative:page;position:absolute;z-index:-251649024" from="76.55pt,54.2pt" to="518.75pt,54.2pt" stroked="t" strokecolor="black" strokeweight="0.72pt">
          <v:stroke dashstyle="solid"/>
        </v:lin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0" style="mso-position-horizontal-relative:page;mso-position-vertical-relative:page;position:absolute;z-index:-251648000" from="76.55pt,54.2pt" to="518.75pt,54.2pt" stroked="t" strokecolor="black" strokeweight="0.72pt">
          <v:stroke dashstyle="solid"/>
        </v:lin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2" style="mso-position-horizontal-relative:page;mso-position-vertical-relative:page;position:absolute;z-index:-251646976" from="76.55pt,54.2pt" to="518.75pt,54.2pt" stroked="t" strokecolor="black" strokeweight="0.72pt">
          <v:stroke dashstyle="solid"/>
        </v:lin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4" style="mso-position-horizontal-relative:page;mso-position-vertical-relative:page;position:absolute;z-index:-251645952" from="76.55pt,54.2pt" to="518.75pt,54.2pt" stroked="t" strokecolor="black" strokeweight="0.72pt">
          <v:stroke dashstyle="solid"/>
        </v:lin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6" style="mso-position-horizontal-relative:page;mso-position-vertical-relative:page;position:absolute;z-index:-251644928" from="76.55pt,54.2pt" to="518.75pt,54.2pt" stroked="t" strokecolor="black" strokeweight="0.72pt">
          <v:stroke dashstyle="solid"/>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8" style="mso-position-horizontal-relative:page;mso-position-vertical-relative:page;position:absolute;z-index:-251643904" from="76.55pt,54.2pt" to="518.75pt,54.2pt" stroked="t" strokecolor="black" strokeweight="0.72pt">
          <v:stroke dashstyle="solid"/>
        </v:lin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0" style="mso-position-horizontal-relative:page;mso-position-vertical-relative:page;position:absolute;z-index:-251642880" from="76.55pt,54.2pt" to="518.75pt,54.2pt" stroked="t" strokecolor="black" strokeweight="0.72pt">
          <v:stroke dashstyle="solid"/>
        </v:lin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2" style="mso-position-horizontal-relative:page;mso-position-vertical-relative:page;position:absolute;z-index:-251641856" from="76.55pt,54.2pt" to="518.75pt,54.2pt" stroked="t" strokecolor="black" strokeweight="0.72pt">
          <v:stroke dashstyle="solid"/>
        </v:lin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4" style="mso-position-horizontal-relative:page;mso-position-vertical-relative:page;position:absolute;z-index:-251640832" from="76.55pt,54.2pt" to="518.75pt,54.2pt" stroked="t" strokecolor="black" strokeweight="0.72pt">
          <v:stroke dashstyle="solid"/>
        </v:lin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6" style="mso-position-horizontal-relative:page;mso-position-vertical-relative:page;position:absolute;z-index:-251639808" from="76.55pt,54.2pt" to="518.75pt,54.2pt" stroked="t" strokecolor="black" strokeweight="0.72pt">
          <v:stroke dashstyle="solid"/>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1" style="mso-position-horizontal-relative:page;mso-position-vertical-relative:page;position:absolute;z-index:-251657216" from="76.55pt,54.2pt" to="518.75pt,54.2pt" stroked="t" strokecolor="black" strokeweight="0.72pt">
          <v:stroke dashstyle="solid"/>
        </v:lin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8" style="mso-position-horizontal-relative:page;mso-position-vertical-relative:page;position:absolute;z-index:-251638784" from="76.55pt,54.2pt" to="518.75pt,54.2pt" stroked="t" strokecolor="black" strokeweight="0.72pt">
          <v:stroke dashstyle="solid"/>
        </v:lin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0" style="mso-position-horizontal-relative:page;mso-position-vertical-relative:page;position:absolute;z-index:-251637760" from="76.55pt,54.2pt" to="518.75pt,54.2pt" stroked="t" strokecolor="black" strokeweight="0.72pt">
          <v:stroke dashstyle="solid"/>
        </v:lin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1" style="mso-position-horizontal-relative:page;mso-position-vertical-relative:page;position:absolute;z-index:-251636736" from="90pt,54.2pt" to="505.3pt,54.2pt" stroked="t" strokecolor="black" strokeweight="0.72pt">
          <v:stroke dashstyle="solid"/>
        </v:lin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3" style="mso-position-horizontal-relative:page;mso-position-vertical-relative:page;position:absolute;z-index:-251635712" from="90pt,54.2pt" to="505.3pt,54.2pt" stroked="t" strokecolor="black" strokeweight="0.72pt">
          <v:stroke dashstyle="solid"/>
        </v:lin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5" style="mso-position-horizontal-relative:page;mso-position-vertical-relative:page;position:absolute;z-index:-251634688" from="90pt,54.2pt" to="505.3pt,54.2pt" stroked="t" strokecolor="black" strokeweight="0.72pt">
          <v:stroke dashstyle="solid"/>
        </v:lin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7" style="mso-position-horizontal-relative:page;mso-position-vertical-relative:page;position:absolute;z-index:-251633664" from="90pt,54.2pt" to="505.3pt,54.2pt" stroked="t" strokecolor="black" strokeweight="0.72pt">
          <v:stroke dashstyle="solid"/>
        </v:lin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99" style="mso-position-horizontal-relative:page;mso-position-vertical-relative:page;position:absolute;z-index:-251632640" from="90pt,54.2pt" to="505.3pt,54.2pt" stroked="t" strokecolor="black" strokeweight="0.72pt">
          <v:stroke dashstyle="solid"/>
        </v:lin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1" style="mso-position-horizontal-relative:page;mso-position-vertical-relative:page;position:absolute;z-index:-251631616" from="90pt,54.2pt" to="505.3pt,54.2pt" stroked="t" strokecolor="black" strokeweight="0.72pt">
          <v:stroke dashstyle="solid"/>
        </v:lin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3" style="mso-position-horizontal-relative:page;mso-position-vertical-relative:page;position:absolute;z-index:-251630592" from="90pt,54.2pt" to="505.3pt,54.2pt" stroked="t" strokecolor="black" strokeweight="0.72pt">
          <v:stroke dashstyle="solid"/>
        </v:lin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5" style="mso-position-horizontal-relative:page;mso-position-vertical-relative:page;position:absolute;z-index:-251629568" from="90pt,54.2pt" to="505.3pt,54.2pt" stroked="t" strokecolor="black" strokeweight="0.72pt">
          <v:stroke dashstyle="solid"/>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3" style="mso-position-horizontal-relative:page;mso-position-vertical-relative:page;position:absolute;z-index:-251656192" from="76.55pt,54.2pt" to="518.75pt,54.2pt" stroked="t" strokecolor="black" strokeweight="0.72pt">
          <v:stroke dashstyle="solid"/>
        </v:lin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07" style="mso-position-horizontal-relative:page;mso-position-vertical-relative:page;position:absolute;z-index:-251628544" from="90pt,54.2pt" to="505.3pt,54.2pt" stroked="t" strokecolor="black" strokeweight="0.72pt">
          <v:stroke dashstyle="solid"/>
        </v:lin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0" style="mso-position-horizontal-relative:page;mso-position-vertical-relative:page;position:absolute;z-index:-251627520" from="90pt,54.2pt" to="505.3pt,54.2pt" stroked="t" strokecolor="black" strokeweight="0.72pt">
          <v:stroke dashstyle="solid"/>
        </v:lin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2" style="mso-position-horizontal-relative:page;mso-position-vertical-relative:page;position:absolute;z-index:-251626496" from="90pt,54.2pt" to="505.3pt,54.2pt" stroked="t" strokecolor="black" strokeweight="0.72pt">
          <v:stroke dashstyle="solid"/>
        </v:lin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4" style="mso-position-horizontal-relative:page;mso-position-vertical-relative:page;position:absolute;z-index:-251625472" from="90pt,54.2pt" to="505.3pt,54.2pt" stroked="t" strokecolor="black" strokeweight="0.72pt">
          <v:stroke dashstyle="solid"/>
        </v:lin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116" style="mso-position-horizontal-relative:page;mso-position-vertical-relative:page;position:absolute;z-index:-251624448" from="90pt,54.2pt" to="505.3pt,54.2pt" stroked="t" strokecolor="black" strokeweight="0.72pt">
          <v:stroke dashstyle="solid"/>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5" style="mso-position-horizontal-relative:page;mso-position-vertical-relative:page;position:absolute;z-index:-251655168" from="76.55pt,54.2pt" to="518.75pt,54.2pt" stroked="t" strokecolor="black" strokeweight="0.72pt">
          <v:stroke dashstyle="solid"/>
        </v:lin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7" style="mso-position-horizontal-relative:page;mso-position-vertical-relative:page;position:absolute;z-index:-251654144" from="76.55pt,54.2pt" to="518.75pt,54.2pt" stroked="t" strokecolor="black" strokeweight="0.72pt">
          <v:stroke dashstyle="solid"/>
        </v:lin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9" style="mso-position-horizontal-relative:page;mso-position-vertical-relative:page;position:absolute;z-index:-251653120" from="76.55pt,54.2pt" to="518.75pt,54.2pt" stroked="t" strokecolor="black" strokeweight="0.72pt">
          <v:stroke dashstyle="solid"/>
        </v:lin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1" style="mso-position-horizontal-relative:page;mso-position-vertical-relative:page;position:absolute;z-index:-251652096" from="76.55pt,54.2pt" to="518.75pt,54.2pt" stroked="t" strokecolor="black" strokeweight="0.72pt">
          <v:stroke dashstyle="solid"/>
        </v:lin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3" style="mso-position-horizontal-relative:page;mso-position-vertical-relative:page;position:absolute;z-index:-251651072" from="76.55pt,54.2pt" to="518.75pt,54.2pt" stroked="t" strokecolor="black" strokeweight="0.72pt">
          <v:stroke dashstyle="solid"/>
        </v:lin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5" style="mso-position-horizontal-relative:page;mso-position-vertical-relative:page;position:absolute;z-index:-251650048" from="76.55pt,54.2pt" to="518.75pt,54.2pt" stroked="t" strokecolor="black" strokeweight="0.72pt">
          <v:stroke dashstyle="solid"/>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8699"/>
    <w:multiLevelType w:val="hybridMultilevel"/>
    <w:tmpl w:val="00000000"/>
    <w:lvl w:ilvl="0">
      <w:start w:val="1"/>
      <w:numFmt w:val="decimal"/>
      <w:lvlText w:val="%1."/>
      <w:lvlJc w:val="left"/>
      <w:pPr>
        <w:ind w:left="112" w:hanging="212"/>
        <w:jc w:val="left"/>
      </w:pPr>
      <w:rPr>
        <w:rFonts w:ascii="宋体" w:eastAsia="宋体" w:hAnsi="宋体" w:cs="宋体" w:hint="default"/>
        <w:color w:val="FF0000"/>
        <w:spacing w:val="1"/>
        <w:w w:val="99"/>
        <w:sz w:val="19"/>
        <w:szCs w:val="19"/>
        <w:lang w:val="zh-CN" w:eastAsia="zh-CN" w:bidi="zh-CN"/>
      </w:rPr>
    </w:lvl>
    <w:lvl w:ilvl="1">
      <w:start w:val="0"/>
      <w:numFmt w:val="bullet"/>
      <w:lvlText w:val="•"/>
      <w:lvlJc w:val="left"/>
      <w:pPr>
        <w:ind w:left="304" w:hanging="212"/>
      </w:pPr>
      <w:rPr>
        <w:rFonts w:hint="default"/>
        <w:lang w:val="zh-CN" w:eastAsia="zh-CN" w:bidi="zh-CN"/>
      </w:rPr>
    </w:lvl>
    <w:lvl w:ilvl="2">
      <w:start w:val="0"/>
      <w:numFmt w:val="bullet"/>
      <w:lvlText w:val="•"/>
      <w:lvlJc w:val="left"/>
      <w:pPr>
        <w:ind w:left="489" w:hanging="212"/>
      </w:pPr>
      <w:rPr>
        <w:rFonts w:hint="default"/>
        <w:lang w:val="zh-CN" w:eastAsia="zh-CN" w:bidi="zh-CN"/>
      </w:rPr>
    </w:lvl>
    <w:lvl w:ilvl="3">
      <w:start w:val="0"/>
      <w:numFmt w:val="bullet"/>
      <w:lvlText w:val="•"/>
      <w:lvlJc w:val="left"/>
      <w:pPr>
        <w:ind w:left="673" w:hanging="212"/>
      </w:pPr>
      <w:rPr>
        <w:rFonts w:hint="default"/>
        <w:lang w:val="zh-CN" w:eastAsia="zh-CN" w:bidi="zh-CN"/>
      </w:rPr>
    </w:lvl>
    <w:lvl w:ilvl="4">
      <w:start w:val="0"/>
      <w:numFmt w:val="bullet"/>
      <w:lvlText w:val="•"/>
      <w:lvlJc w:val="left"/>
      <w:pPr>
        <w:ind w:left="858" w:hanging="212"/>
      </w:pPr>
      <w:rPr>
        <w:rFonts w:hint="default"/>
        <w:lang w:val="zh-CN" w:eastAsia="zh-CN" w:bidi="zh-CN"/>
      </w:rPr>
    </w:lvl>
    <w:lvl w:ilvl="5">
      <w:start w:val="0"/>
      <w:numFmt w:val="bullet"/>
      <w:lvlText w:val="•"/>
      <w:lvlJc w:val="left"/>
      <w:pPr>
        <w:ind w:left="1042" w:hanging="212"/>
      </w:pPr>
      <w:rPr>
        <w:rFonts w:hint="default"/>
        <w:lang w:val="zh-CN" w:eastAsia="zh-CN" w:bidi="zh-CN"/>
      </w:rPr>
    </w:lvl>
    <w:lvl w:ilvl="6">
      <w:start w:val="0"/>
      <w:numFmt w:val="bullet"/>
      <w:lvlText w:val="•"/>
      <w:lvlJc w:val="left"/>
      <w:pPr>
        <w:ind w:left="1227" w:hanging="212"/>
      </w:pPr>
      <w:rPr>
        <w:rFonts w:hint="default"/>
        <w:lang w:val="zh-CN" w:eastAsia="zh-CN" w:bidi="zh-CN"/>
      </w:rPr>
    </w:lvl>
    <w:lvl w:ilvl="7">
      <w:start w:val="0"/>
      <w:numFmt w:val="bullet"/>
      <w:lvlText w:val="•"/>
      <w:lvlJc w:val="left"/>
      <w:pPr>
        <w:ind w:left="1411" w:hanging="212"/>
      </w:pPr>
      <w:rPr>
        <w:rFonts w:hint="default"/>
        <w:lang w:val="zh-CN" w:eastAsia="zh-CN" w:bidi="zh-CN"/>
      </w:rPr>
    </w:lvl>
    <w:lvl w:ilvl="8">
      <w:start w:val="0"/>
      <w:numFmt w:val="bullet"/>
      <w:lvlText w:val="•"/>
      <w:lvlJc w:val="left"/>
      <w:pPr>
        <w:ind w:left="1596" w:hanging="212"/>
      </w:pPr>
      <w:rPr>
        <w:rFonts w:hint="default"/>
        <w:lang w:val="zh-CN" w:eastAsia="zh-CN" w:bidi="zh-CN"/>
      </w:rPr>
    </w:lvl>
  </w:abstractNum>
  <w:abstractNum w:abstractNumId="1">
    <w:nsid w:val="0586B128"/>
    <w:multiLevelType w:val="hybridMultilevel"/>
    <w:tmpl w:val="00000000"/>
    <w:lvl w:ilvl="0">
      <w:start w:val="1"/>
      <w:numFmt w:val="decimal"/>
      <w:lvlText w:val="（%1）"/>
      <w:lvlJc w:val="left"/>
      <w:pPr>
        <w:ind w:left="20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10" w:hanging="601"/>
      </w:pPr>
      <w:rPr>
        <w:rFonts w:hint="default"/>
        <w:lang w:val="zh-CN" w:eastAsia="zh-CN" w:bidi="zh-CN"/>
      </w:rPr>
    </w:lvl>
    <w:lvl w:ilvl="2">
      <w:start w:val="0"/>
      <w:numFmt w:val="bullet"/>
      <w:lvlText w:val="•"/>
      <w:lvlJc w:val="left"/>
      <w:pPr>
        <w:ind w:left="3561" w:hanging="601"/>
      </w:pPr>
      <w:rPr>
        <w:rFonts w:hint="default"/>
        <w:lang w:val="zh-CN" w:eastAsia="zh-CN" w:bidi="zh-CN"/>
      </w:rPr>
    </w:lvl>
    <w:lvl w:ilvl="3">
      <w:start w:val="0"/>
      <w:numFmt w:val="bullet"/>
      <w:lvlText w:val="•"/>
      <w:lvlJc w:val="left"/>
      <w:pPr>
        <w:ind w:left="4311" w:hanging="601"/>
      </w:pPr>
      <w:rPr>
        <w:rFonts w:hint="default"/>
        <w:lang w:val="zh-CN" w:eastAsia="zh-CN" w:bidi="zh-CN"/>
      </w:rPr>
    </w:lvl>
    <w:lvl w:ilvl="4">
      <w:start w:val="0"/>
      <w:numFmt w:val="bullet"/>
      <w:lvlText w:val="•"/>
      <w:lvlJc w:val="left"/>
      <w:pPr>
        <w:ind w:left="5062" w:hanging="601"/>
      </w:pPr>
      <w:rPr>
        <w:rFonts w:hint="default"/>
        <w:lang w:val="zh-CN" w:eastAsia="zh-CN" w:bidi="zh-CN"/>
      </w:rPr>
    </w:lvl>
    <w:lvl w:ilvl="5">
      <w:start w:val="0"/>
      <w:numFmt w:val="bullet"/>
      <w:lvlText w:val="•"/>
      <w:lvlJc w:val="left"/>
      <w:pPr>
        <w:ind w:left="5813" w:hanging="601"/>
      </w:pPr>
      <w:rPr>
        <w:rFonts w:hint="default"/>
        <w:lang w:val="zh-CN" w:eastAsia="zh-CN" w:bidi="zh-CN"/>
      </w:rPr>
    </w:lvl>
    <w:lvl w:ilvl="6">
      <w:start w:val="0"/>
      <w:numFmt w:val="bullet"/>
      <w:lvlText w:val="•"/>
      <w:lvlJc w:val="left"/>
      <w:pPr>
        <w:ind w:left="6563" w:hanging="601"/>
      </w:pPr>
      <w:rPr>
        <w:rFonts w:hint="default"/>
        <w:lang w:val="zh-CN" w:eastAsia="zh-CN" w:bidi="zh-CN"/>
      </w:rPr>
    </w:lvl>
    <w:lvl w:ilvl="7">
      <w:start w:val="0"/>
      <w:numFmt w:val="bullet"/>
      <w:lvlText w:val="•"/>
      <w:lvlJc w:val="left"/>
      <w:pPr>
        <w:ind w:left="7314" w:hanging="601"/>
      </w:pPr>
      <w:rPr>
        <w:rFonts w:hint="default"/>
        <w:lang w:val="zh-CN" w:eastAsia="zh-CN" w:bidi="zh-CN"/>
      </w:rPr>
    </w:lvl>
    <w:lvl w:ilvl="8">
      <w:start w:val="0"/>
      <w:numFmt w:val="bullet"/>
      <w:lvlText w:val="•"/>
      <w:lvlJc w:val="left"/>
      <w:pPr>
        <w:ind w:left="8064" w:hanging="601"/>
      </w:pPr>
      <w:rPr>
        <w:rFonts w:hint="default"/>
        <w:lang w:val="zh-CN" w:eastAsia="zh-CN" w:bidi="zh-CN"/>
      </w:rPr>
    </w:lvl>
  </w:abstractNum>
  <w:abstractNum w:abstractNumId="2">
    <w:nsid w:val="05BA7367"/>
    <w:multiLevelType w:val="hybridMultilevel"/>
    <w:tmpl w:val="00000000"/>
    <w:lvl w:ilvl="0">
      <w:start w:val="1"/>
      <w:numFmt w:val="decimal"/>
      <w:lvlText w:val="%1."/>
      <w:lvlJc w:val="left"/>
      <w:pPr>
        <w:ind w:left="113"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625" w:hanging="159"/>
      </w:pPr>
      <w:rPr>
        <w:rFonts w:hint="default"/>
        <w:lang w:val="zh-CN" w:eastAsia="zh-CN" w:bidi="zh-CN"/>
      </w:rPr>
    </w:lvl>
    <w:lvl w:ilvl="2">
      <w:start w:val="0"/>
      <w:numFmt w:val="bullet"/>
      <w:lvlText w:val="•"/>
      <w:lvlJc w:val="left"/>
      <w:pPr>
        <w:ind w:left="1131" w:hanging="159"/>
      </w:pPr>
      <w:rPr>
        <w:rFonts w:hint="default"/>
        <w:lang w:val="zh-CN" w:eastAsia="zh-CN" w:bidi="zh-CN"/>
      </w:rPr>
    </w:lvl>
    <w:lvl w:ilvl="3">
      <w:start w:val="0"/>
      <w:numFmt w:val="bullet"/>
      <w:lvlText w:val="•"/>
      <w:lvlJc w:val="left"/>
      <w:pPr>
        <w:ind w:left="1637" w:hanging="159"/>
      </w:pPr>
      <w:rPr>
        <w:rFonts w:hint="default"/>
        <w:lang w:val="zh-CN" w:eastAsia="zh-CN" w:bidi="zh-CN"/>
      </w:rPr>
    </w:lvl>
    <w:lvl w:ilvl="4">
      <w:start w:val="0"/>
      <w:numFmt w:val="bullet"/>
      <w:lvlText w:val="•"/>
      <w:lvlJc w:val="left"/>
      <w:pPr>
        <w:ind w:left="2142" w:hanging="159"/>
      </w:pPr>
      <w:rPr>
        <w:rFonts w:hint="default"/>
        <w:lang w:val="zh-CN" w:eastAsia="zh-CN" w:bidi="zh-CN"/>
      </w:rPr>
    </w:lvl>
    <w:lvl w:ilvl="5">
      <w:start w:val="0"/>
      <w:numFmt w:val="bullet"/>
      <w:lvlText w:val="•"/>
      <w:lvlJc w:val="left"/>
      <w:pPr>
        <w:ind w:left="2648" w:hanging="159"/>
      </w:pPr>
      <w:rPr>
        <w:rFonts w:hint="default"/>
        <w:lang w:val="zh-CN" w:eastAsia="zh-CN" w:bidi="zh-CN"/>
      </w:rPr>
    </w:lvl>
    <w:lvl w:ilvl="6">
      <w:start w:val="0"/>
      <w:numFmt w:val="bullet"/>
      <w:lvlText w:val="•"/>
      <w:lvlJc w:val="left"/>
      <w:pPr>
        <w:ind w:left="3154" w:hanging="159"/>
      </w:pPr>
      <w:rPr>
        <w:rFonts w:hint="default"/>
        <w:lang w:val="zh-CN" w:eastAsia="zh-CN" w:bidi="zh-CN"/>
      </w:rPr>
    </w:lvl>
    <w:lvl w:ilvl="7">
      <w:start w:val="0"/>
      <w:numFmt w:val="bullet"/>
      <w:lvlText w:val="•"/>
      <w:lvlJc w:val="left"/>
      <w:pPr>
        <w:ind w:left="3659" w:hanging="159"/>
      </w:pPr>
      <w:rPr>
        <w:rFonts w:hint="default"/>
        <w:lang w:val="zh-CN" w:eastAsia="zh-CN" w:bidi="zh-CN"/>
      </w:rPr>
    </w:lvl>
    <w:lvl w:ilvl="8">
      <w:start w:val="0"/>
      <w:numFmt w:val="bullet"/>
      <w:lvlText w:val="•"/>
      <w:lvlJc w:val="left"/>
      <w:pPr>
        <w:ind w:left="4165" w:hanging="159"/>
      </w:pPr>
      <w:rPr>
        <w:rFonts w:hint="default"/>
        <w:lang w:val="zh-CN" w:eastAsia="zh-CN" w:bidi="zh-CN"/>
      </w:rPr>
    </w:lvl>
  </w:abstractNum>
  <w:abstractNum w:abstractNumId="3">
    <w:nsid w:val="065A748A"/>
    <w:multiLevelType w:val="hybridMultilevel"/>
    <w:tmpl w:val="00000000"/>
    <w:lvl w:ilvl="0">
      <w:start w:val="1"/>
      <w:numFmt w:val="decimal"/>
      <w:lvlText w:val="%1."/>
      <w:lvlJc w:val="left"/>
      <w:pPr>
        <w:ind w:left="113"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389" w:hanging="159"/>
      </w:pPr>
      <w:rPr>
        <w:rFonts w:hint="default"/>
        <w:lang w:val="zh-CN" w:eastAsia="zh-CN" w:bidi="zh-CN"/>
      </w:rPr>
    </w:lvl>
    <w:lvl w:ilvl="2">
      <w:start w:val="0"/>
      <w:numFmt w:val="bullet"/>
      <w:lvlText w:val="•"/>
      <w:lvlJc w:val="left"/>
      <w:pPr>
        <w:ind w:left="659" w:hanging="159"/>
      </w:pPr>
      <w:rPr>
        <w:rFonts w:hint="default"/>
        <w:lang w:val="zh-CN" w:eastAsia="zh-CN" w:bidi="zh-CN"/>
      </w:rPr>
    </w:lvl>
    <w:lvl w:ilvl="3">
      <w:start w:val="0"/>
      <w:numFmt w:val="bullet"/>
      <w:lvlText w:val="•"/>
      <w:lvlJc w:val="left"/>
      <w:pPr>
        <w:ind w:left="929" w:hanging="159"/>
      </w:pPr>
      <w:rPr>
        <w:rFonts w:hint="default"/>
        <w:lang w:val="zh-CN" w:eastAsia="zh-CN" w:bidi="zh-CN"/>
      </w:rPr>
    </w:lvl>
    <w:lvl w:ilvl="4">
      <w:start w:val="0"/>
      <w:numFmt w:val="bullet"/>
      <w:lvlText w:val="•"/>
      <w:lvlJc w:val="left"/>
      <w:pPr>
        <w:ind w:left="1199" w:hanging="159"/>
      </w:pPr>
      <w:rPr>
        <w:rFonts w:hint="default"/>
        <w:lang w:val="zh-CN" w:eastAsia="zh-CN" w:bidi="zh-CN"/>
      </w:rPr>
    </w:lvl>
    <w:lvl w:ilvl="5">
      <w:start w:val="0"/>
      <w:numFmt w:val="bullet"/>
      <w:lvlText w:val="•"/>
      <w:lvlJc w:val="left"/>
      <w:pPr>
        <w:ind w:left="1469" w:hanging="159"/>
      </w:pPr>
      <w:rPr>
        <w:rFonts w:hint="default"/>
        <w:lang w:val="zh-CN" w:eastAsia="zh-CN" w:bidi="zh-CN"/>
      </w:rPr>
    </w:lvl>
    <w:lvl w:ilvl="6">
      <w:start w:val="0"/>
      <w:numFmt w:val="bullet"/>
      <w:lvlText w:val="•"/>
      <w:lvlJc w:val="left"/>
      <w:pPr>
        <w:ind w:left="1738" w:hanging="159"/>
      </w:pPr>
      <w:rPr>
        <w:rFonts w:hint="default"/>
        <w:lang w:val="zh-CN" w:eastAsia="zh-CN" w:bidi="zh-CN"/>
      </w:rPr>
    </w:lvl>
    <w:lvl w:ilvl="7">
      <w:start w:val="0"/>
      <w:numFmt w:val="bullet"/>
      <w:lvlText w:val="•"/>
      <w:lvlJc w:val="left"/>
      <w:pPr>
        <w:ind w:left="2008" w:hanging="159"/>
      </w:pPr>
      <w:rPr>
        <w:rFonts w:hint="default"/>
        <w:lang w:val="zh-CN" w:eastAsia="zh-CN" w:bidi="zh-CN"/>
      </w:rPr>
    </w:lvl>
    <w:lvl w:ilvl="8">
      <w:start w:val="0"/>
      <w:numFmt w:val="bullet"/>
      <w:lvlText w:val="•"/>
      <w:lvlJc w:val="left"/>
      <w:pPr>
        <w:ind w:left="2278" w:hanging="159"/>
      </w:pPr>
      <w:rPr>
        <w:rFonts w:hint="default"/>
        <w:lang w:val="zh-CN" w:eastAsia="zh-CN" w:bidi="zh-CN"/>
      </w:rPr>
    </w:lvl>
  </w:abstractNum>
  <w:abstractNum w:abstractNumId="4">
    <w:nsid w:val="0AD89F47"/>
    <w:multiLevelType w:val="hybridMultilevel"/>
    <w:tmpl w:val="00000000"/>
    <w:lvl w:ilvl="0">
      <w:start w:val="1"/>
      <w:numFmt w:val="decimal"/>
      <w:lvlText w:val="（%1）"/>
      <w:lvlJc w:val="left"/>
      <w:pPr>
        <w:ind w:left="988" w:hanging="601"/>
        <w:jc w:val="left"/>
      </w:pPr>
      <w:rPr>
        <w:rFonts w:ascii="宋体" w:eastAsia="宋体" w:hAnsi="宋体" w:cs="宋体" w:hint="default"/>
        <w:spacing w:val="-19"/>
        <w:w w:val="100"/>
        <w:sz w:val="22"/>
        <w:szCs w:val="22"/>
        <w:lang w:val="zh-CN" w:eastAsia="zh-CN" w:bidi="zh-CN"/>
      </w:rPr>
    </w:lvl>
    <w:lvl w:ilvl="1">
      <w:start w:val="0"/>
      <w:numFmt w:val="bullet"/>
      <w:lvlText w:val="•"/>
      <w:lvlJc w:val="left"/>
      <w:pPr>
        <w:ind w:left="1838" w:hanging="601"/>
      </w:pPr>
      <w:rPr>
        <w:rFonts w:hint="default"/>
        <w:lang w:val="zh-CN" w:eastAsia="zh-CN" w:bidi="zh-CN"/>
      </w:rPr>
    </w:lvl>
    <w:lvl w:ilvl="2">
      <w:start w:val="0"/>
      <w:numFmt w:val="bullet"/>
      <w:lvlText w:val="•"/>
      <w:lvlJc w:val="left"/>
      <w:pPr>
        <w:ind w:left="2697" w:hanging="601"/>
      </w:pPr>
      <w:rPr>
        <w:rFonts w:hint="default"/>
        <w:lang w:val="zh-CN" w:eastAsia="zh-CN" w:bidi="zh-CN"/>
      </w:rPr>
    </w:lvl>
    <w:lvl w:ilvl="3">
      <w:start w:val="0"/>
      <w:numFmt w:val="bullet"/>
      <w:lvlText w:val="•"/>
      <w:lvlJc w:val="left"/>
      <w:pPr>
        <w:ind w:left="3555" w:hanging="601"/>
      </w:pPr>
      <w:rPr>
        <w:rFonts w:hint="default"/>
        <w:lang w:val="zh-CN" w:eastAsia="zh-CN" w:bidi="zh-CN"/>
      </w:rPr>
    </w:lvl>
    <w:lvl w:ilvl="4">
      <w:start w:val="0"/>
      <w:numFmt w:val="bullet"/>
      <w:lvlText w:val="•"/>
      <w:lvlJc w:val="left"/>
      <w:pPr>
        <w:ind w:left="4414" w:hanging="601"/>
      </w:pPr>
      <w:rPr>
        <w:rFonts w:hint="default"/>
        <w:lang w:val="zh-CN" w:eastAsia="zh-CN" w:bidi="zh-CN"/>
      </w:rPr>
    </w:lvl>
    <w:lvl w:ilvl="5">
      <w:start w:val="0"/>
      <w:numFmt w:val="bullet"/>
      <w:lvlText w:val="•"/>
      <w:lvlJc w:val="left"/>
      <w:pPr>
        <w:ind w:left="5273" w:hanging="601"/>
      </w:pPr>
      <w:rPr>
        <w:rFonts w:hint="default"/>
        <w:lang w:val="zh-CN" w:eastAsia="zh-CN" w:bidi="zh-CN"/>
      </w:rPr>
    </w:lvl>
    <w:lvl w:ilvl="6">
      <w:start w:val="0"/>
      <w:numFmt w:val="bullet"/>
      <w:lvlText w:val="•"/>
      <w:lvlJc w:val="left"/>
      <w:pPr>
        <w:ind w:left="6131" w:hanging="601"/>
      </w:pPr>
      <w:rPr>
        <w:rFonts w:hint="default"/>
        <w:lang w:val="zh-CN" w:eastAsia="zh-CN" w:bidi="zh-CN"/>
      </w:rPr>
    </w:lvl>
    <w:lvl w:ilvl="7">
      <w:start w:val="0"/>
      <w:numFmt w:val="bullet"/>
      <w:lvlText w:val="•"/>
      <w:lvlJc w:val="left"/>
      <w:pPr>
        <w:ind w:left="6990" w:hanging="601"/>
      </w:pPr>
      <w:rPr>
        <w:rFonts w:hint="default"/>
        <w:lang w:val="zh-CN" w:eastAsia="zh-CN" w:bidi="zh-CN"/>
      </w:rPr>
    </w:lvl>
    <w:lvl w:ilvl="8">
      <w:start w:val="0"/>
      <w:numFmt w:val="bullet"/>
      <w:lvlText w:val="•"/>
      <w:lvlJc w:val="left"/>
      <w:pPr>
        <w:ind w:left="7848" w:hanging="601"/>
      </w:pPr>
      <w:rPr>
        <w:rFonts w:hint="default"/>
        <w:lang w:val="zh-CN" w:eastAsia="zh-CN" w:bidi="zh-CN"/>
      </w:rPr>
    </w:lvl>
  </w:abstractNum>
  <w:abstractNum w:abstractNumId="5">
    <w:nsid w:val="0C5C9FE8"/>
    <w:multiLevelType w:val="hybridMultilevel"/>
    <w:tmpl w:val="00000000"/>
    <w:lvl w:ilvl="0">
      <w:start w:val="1"/>
      <w:numFmt w:val="decimal"/>
      <w:lvlText w:val="（%1）"/>
      <w:lvlJc w:val="left"/>
      <w:pPr>
        <w:ind w:left="108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05" w:hanging="601"/>
      </w:pPr>
      <w:rPr>
        <w:rFonts w:hint="default"/>
        <w:lang w:val="zh-CN" w:eastAsia="zh-CN" w:bidi="zh-CN"/>
      </w:rPr>
    </w:lvl>
    <w:lvl w:ilvl="2">
      <w:start w:val="0"/>
      <w:numFmt w:val="bullet"/>
      <w:lvlText w:val="•"/>
      <w:lvlJc w:val="left"/>
      <w:pPr>
        <w:ind w:left="2531" w:hanging="601"/>
      </w:pPr>
      <w:rPr>
        <w:rFonts w:hint="default"/>
        <w:lang w:val="zh-CN" w:eastAsia="zh-CN" w:bidi="zh-CN"/>
      </w:rPr>
    </w:lvl>
    <w:lvl w:ilvl="3">
      <w:start w:val="0"/>
      <w:numFmt w:val="bullet"/>
      <w:lvlText w:val="•"/>
      <w:lvlJc w:val="left"/>
      <w:pPr>
        <w:ind w:left="3257" w:hanging="601"/>
      </w:pPr>
      <w:rPr>
        <w:rFonts w:hint="default"/>
        <w:lang w:val="zh-CN" w:eastAsia="zh-CN" w:bidi="zh-CN"/>
      </w:rPr>
    </w:lvl>
    <w:lvl w:ilvl="4">
      <w:start w:val="0"/>
      <w:numFmt w:val="bullet"/>
      <w:lvlText w:val="•"/>
      <w:lvlJc w:val="left"/>
      <w:pPr>
        <w:ind w:left="3983" w:hanging="601"/>
      </w:pPr>
      <w:rPr>
        <w:rFonts w:hint="default"/>
        <w:lang w:val="zh-CN" w:eastAsia="zh-CN" w:bidi="zh-CN"/>
      </w:rPr>
    </w:lvl>
    <w:lvl w:ilvl="5">
      <w:start w:val="0"/>
      <w:numFmt w:val="bullet"/>
      <w:lvlText w:val="•"/>
      <w:lvlJc w:val="left"/>
      <w:pPr>
        <w:ind w:left="4709" w:hanging="601"/>
      </w:pPr>
      <w:rPr>
        <w:rFonts w:hint="default"/>
        <w:lang w:val="zh-CN" w:eastAsia="zh-CN" w:bidi="zh-CN"/>
      </w:rPr>
    </w:lvl>
    <w:lvl w:ilvl="6">
      <w:start w:val="0"/>
      <w:numFmt w:val="bullet"/>
      <w:lvlText w:val="•"/>
      <w:lvlJc w:val="left"/>
      <w:pPr>
        <w:ind w:left="5434" w:hanging="601"/>
      </w:pPr>
      <w:rPr>
        <w:rFonts w:hint="default"/>
        <w:lang w:val="zh-CN" w:eastAsia="zh-CN" w:bidi="zh-CN"/>
      </w:rPr>
    </w:lvl>
    <w:lvl w:ilvl="7">
      <w:start w:val="0"/>
      <w:numFmt w:val="bullet"/>
      <w:lvlText w:val="•"/>
      <w:lvlJc w:val="left"/>
      <w:pPr>
        <w:ind w:left="6160" w:hanging="601"/>
      </w:pPr>
      <w:rPr>
        <w:rFonts w:hint="default"/>
        <w:lang w:val="zh-CN" w:eastAsia="zh-CN" w:bidi="zh-CN"/>
      </w:rPr>
    </w:lvl>
    <w:lvl w:ilvl="8">
      <w:start w:val="0"/>
      <w:numFmt w:val="bullet"/>
      <w:lvlText w:val="•"/>
      <w:lvlJc w:val="left"/>
      <w:pPr>
        <w:ind w:left="6886" w:hanging="601"/>
      </w:pPr>
      <w:rPr>
        <w:rFonts w:hint="default"/>
        <w:lang w:val="zh-CN" w:eastAsia="zh-CN" w:bidi="zh-CN"/>
      </w:rPr>
    </w:lvl>
  </w:abstractNum>
  <w:abstractNum w:abstractNumId="6">
    <w:nsid w:val="0E370AF1"/>
    <w:multiLevelType w:val="hybridMultilevel"/>
    <w:tmpl w:val="00000000"/>
    <w:lvl w:ilvl="0">
      <w:start w:val="1"/>
      <w:numFmt w:val="decimal"/>
      <w:lvlText w:val="%1."/>
      <w:lvlJc w:val="left"/>
      <w:pPr>
        <w:ind w:left="113"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389" w:hanging="159"/>
      </w:pPr>
      <w:rPr>
        <w:rFonts w:hint="default"/>
        <w:lang w:val="zh-CN" w:eastAsia="zh-CN" w:bidi="zh-CN"/>
      </w:rPr>
    </w:lvl>
    <w:lvl w:ilvl="2">
      <w:start w:val="0"/>
      <w:numFmt w:val="bullet"/>
      <w:lvlText w:val="•"/>
      <w:lvlJc w:val="left"/>
      <w:pPr>
        <w:ind w:left="659" w:hanging="159"/>
      </w:pPr>
      <w:rPr>
        <w:rFonts w:hint="default"/>
        <w:lang w:val="zh-CN" w:eastAsia="zh-CN" w:bidi="zh-CN"/>
      </w:rPr>
    </w:lvl>
    <w:lvl w:ilvl="3">
      <w:start w:val="0"/>
      <w:numFmt w:val="bullet"/>
      <w:lvlText w:val="•"/>
      <w:lvlJc w:val="left"/>
      <w:pPr>
        <w:ind w:left="929" w:hanging="159"/>
      </w:pPr>
      <w:rPr>
        <w:rFonts w:hint="default"/>
        <w:lang w:val="zh-CN" w:eastAsia="zh-CN" w:bidi="zh-CN"/>
      </w:rPr>
    </w:lvl>
    <w:lvl w:ilvl="4">
      <w:start w:val="0"/>
      <w:numFmt w:val="bullet"/>
      <w:lvlText w:val="•"/>
      <w:lvlJc w:val="left"/>
      <w:pPr>
        <w:ind w:left="1199" w:hanging="159"/>
      </w:pPr>
      <w:rPr>
        <w:rFonts w:hint="default"/>
        <w:lang w:val="zh-CN" w:eastAsia="zh-CN" w:bidi="zh-CN"/>
      </w:rPr>
    </w:lvl>
    <w:lvl w:ilvl="5">
      <w:start w:val="0"/>
      <w:numFmt w:val="bullet"/>
      <w:lvlText w:val="•"/>
      <w:lvlJc w:val="left"/>
      <w:pPr>
        <w:ind w:left="1469" w:hanging="159"/>
      </w:pPr>
      <w:rPr>
        <w:rFonts w:hint="default"/>
        <w:lang w:val="zh-CN" w:eastAsia="zh-CN" w:bidi="zh-CN"/>
      </w:rPr>
    </w:lvl>
    <w:lvl w:ilvl="6">
      <w:start w:val="0"/>
      <w:numFmt w:val="bullet"/>
      <w:lvlText w:val="•"/>
      <w:lvlJc w:val="left"/>
      <w:pPr>
        <w:ind w:left="1738" w:hanging="159"/>
      </w:pPr>
      <w:rPr>
        <w:rFonts w:hint="default"/>
        <w:lang w:val="zh-CN" w:eastAsia="zh-CN" w:bidi="zh-CN"/>
      </w:rPr>
    </w:lvl>
    <w:lvl w:ilvl="7">
      <w:start w:val="0"/>
      <w:numFmt w:val="bullet"/>
      <w:lvlText w:val="•"/>
      <w:lvlJc w:val="left"/>
      <w:pPr>
        <w:ind w:left="2008" w:hanging="159"/>
      </w:pPr>
      <w:rPr>
        <w:rFonts w:hint="default"/>
        <w:lang w:val="zh-CN" w:eastAsia="zh-CN" w:bidi="zh-CN"/>
      </w:rPr>
    </w:lvl>
    <w:lvl w:ilvl="8">
      <w:start w:val="0"/>
      <w:numFmt w:val="bullet"/>
      <w:lvlText w:val="•"/>
      <w:lvlJc w:val="left"/>
      <w:pPr>
        <w:ind w:left="2278" w:hanging="159"/>
      </w:pPr>
      <w:rPr>
        <w:rFonts w:hint="default"/>
        <w:lang w:val="zh-CN" w:eastAsia="zh-CN" w:bidi="zh-CN"/>
      </w:rPr>
    </w:lvl>
  </w:abstractNum>
  <w:abstractNum w:abstractNumId="7">
    <w:nsid w:val="1543223C"/>
    <w:multiLevelType w:val="hybridMultilevel"/>
    <w:tmpl w:val="00000000"/>
    <w:lvl w:ilvl="0">
      <w:start w:val="2"/>
      <w:numFmt w:val="decimal"/>
      <w:lvlText w:val="（%1）"/>
      <w:lvlJc w:val="left"/>
      <w:pPr>
        <w:ind w:left="245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3170" w:hanging="601"/>
      </w:pPr>
      <w:rPr>
        <w:rFonts w:hint="default"/>
        <w:lang w:val="zh-CN" w:eastAsia="zh-CN" w:bidi="zh-CN"/>
      </w:rPr>
    </w:lvl>
    <w:lvl w:ilvl="2">
      <w:start w:val="0"/>
      <w:numFmt w:val="bullet"/>
      <w:lvlText w:val="•"/>
      <w:lvlJc w:val="left"/>
      <w:pPr>
        <w:ind w:left="3881" w:hanging="601"/>
      </w:pPr>
      <w:rPr>
        <w:rFonts w:hint="default"/>
        <w:lang w:val="zh-CN" w:eastAsia="zh-CN" w:bidi="zh-CN"/>
      </w:rPr>
    </w:lvl>
    <w:lvl w:ilvl="3">
      <w:start w:val="0"/>
      <w:numFmt w:val="bullet"/>
      <w:lvlText w:val="•"/>
      <w:lvlJc w:val="left"/>
      <w:pPr>
        <w:ind w:left="4591" w:hanging="601"/>
      </w:pPr>
      <w:rPr>
        <w:rFonts w:hint="default"/>
        <w:lang w:val="zh-CN" w:eastAsia="zh-CN" w:bidi="zh-CN"/>
      </w:rPr>
    </w:lvl>
    <w:lvl w:ilvl="4">
      <w:start w:val="0"/>
      <w:numFmt w:val="bullet"/>
      <w:lvlText w:val="•"/>
      <w:lvlJc w:val="left"/>
      <w:pPr>
        <w:ind w:left="5302" w:hanging="601"/>
      </w:pPr>
      <w:rPr>
        <w:rFonts w:hint="default"/>
        <w:lang w:val="zh-CN" w:eastAsia="zh-CN" w:bidi="zh-CN"/>
      </w:rPr>
    </w:lvl>
    <w:lvl w:ilvl="5">
      <w:start w:val="0"/>
      <w:numFmt w:val="bullet"/>
      <w:lvlText w:val="•"/>
      <w:lvlJc w:val="left"/>
      <w:pPr>
        <w:ind w:left="6013" w:hanging="601"/>
      </w:pPr>
      <w:rPr>
        <w:rFonts w:hint="default"/>
        <w:lang w:val="zh-CN" w:eastAsia="zh-CN" w:bidi="zh-CN"/>
      </w:rPr>
    </w:lvl>
    <w:lvl w:ilvl="6">
      <w:start w:val="0"/>
      <w:numFmt w:val="bullet"/>
      <w:lvlText w:val="•"/>
      <w:lvlJc w:val="left"/>
      <w:pPr>
        <w:ind w:left="6723" w:hanging="601"/>
      </w:pPr>
      <w:rPr>
        <w:rFonts w:hint="default"/>
        <w:lang w:val="zh-CN" w:eastAsia="zh-CN" w:bidi="zh-CN"/>
      </w:rPr>
    </w:lvl>
    <w:lvl w:ilvl="7">
      <w:start w:val="0"/>
      <w:numFmt w:val="bullet"/>
      <w:lvlText w:val="•"/>
      <w:lvlJc w:val="left"/>
      <w:pPr>
        <w:ind w:left="7434" w:hanging="601"/>
      </w:pPr>
      <w:rPr>
        <w:rFonts w:hint="default"/>
        <w:lang w:val="zh-CN" w:eastAsia="zh-CN" w:bidi="zh-CN"/>
      </w:rPr>
    </w:lvl>
    <w:lvl w:ilvl="8">
      <w:start w:val="0"/>
      <w:numFmt w:val="bullet"/>
      <w:lvlText w:val="•"/>
      <w:lvlJc w:val="left"/>
      <w:pPr>
        <w:ind w:left="8144" w:hanging="601"/>
      </w:pPr>
      <w:rPr>
        <w:rFonts w:hint="default"/>
        <w:lang w:val="zh-CN" w:eastAsia="zh-CN" w:bidi="zh-CN"/>
      </w:rPr>
    </w:lvl>
  </w:abstractNum>
  <w:abstractNum w:abstractNumId="8">
    <w:nsid w:val="15BCAF94"/>
    <w:multiLevelType w:val="hybridMultilevel"/>
    <w:tmpl w:val="00000000"/>
    <w:lvl w:ilvl="0">
      <w:start w:val="1"/>
      <w:numFmt w:val="lowerLetter"/>
      <w:lvlText w:val="%1."/>
      <w:lvlJc w:val="left"/>
      <w:pPr>
        <w:ind w:left="758"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524" w:hanging="167"/>
      </w:pPr>
      <w:rPr>
        <w:rFonts w:hint="default"/>
        <w:lang w:val="zh-CN" w:eastAsia="zh-CN" w:bidi="zh-CN"/>
      </w:rPr>
    </w:lvl>
    <w:lvl w:ilvl="2">
      <w:start w:val="0"/>
      <w:numFmt w:val="bullet"/>
      <w:lvlText w:val="•"/>
      <w:lvlJc w:val="left"/>
      <w:pPr>
        <w:ind w:left="2289" w:hanging="167"/>
      </w:pPr>
      <w:rPr>
        <w:rFonts w:hint="default"/>
        <w:lang w:val="zh-CN" w:eastAsia="zh-CN" w:bidi="zh-CN"/>
      </w:rPr>
    </w:lvl>
    <w:lvl w:ilvl="3">
      <w:start w:val="0"/>
      <w:numFmt w:val="bullet"/>
      <w:lvlText w:val="•"/>
      <w:lvlJc w:val="left"/>
      <w:pPr>
        <w:ind w:left="3054" w:hanging="167"/>
      </w:pPr>
      <w:rPr>
        <w:rFonts w:hint="default"/>
        <w:lang w:val="zh-CN" w:eastAsia="zh-CN" w:bidi="zh-CN"/>
      </w:rPr>
    </w:lvl>
    <w:lvl w:ilvl="4">
      <w:start w:val="0"/>
      <w:numFmt w:val="bullet"/>
      <w:lvlText w:val="•"/>
      <w:lvlJc w:val="left"/>
      <w:pPr>
        <w:ind w:left="3819" w:hanging="167"/>
      </w:pPr>
      <w:rPr>
        <w:rFonts w:hint="default"/>
        <w:lang w:val="zh-CN" w:eastAsia="zh-CN" w:bidi="zh-CN"/>
      </w:rPr>
    </w:lvl>
    <w:lvl w:ilvl="5">
      <w:start w:val="0"/>
      <w:numFmt w:val="bullet"/>
      <w:lvlText w:val="•"/>
      <w:lvlJc w:val="left"/>
      <w:pPr>
        <w:ind w:left="4584" w:hanging="167"/>
      </w:pPr>
      <w:rPr>
        <w:rFonts w:hint="default"/>
        <w:lang w:val="zh-CN" w:eastAsia="zh-CN" w:bidi="zh-CN"/>
      </w:rPr>
    </w:lvl>
    <w:lvl w:ilvl="6">
      <w:start w:val="0"/>
      <w:numFmt w:val="bullet"/>
      <w:lvlText w:val="•"/>
      <w:lvlJc w:val="left"/>
      <w:pPr>
        <w:ind w:left="5349" w:hanging="167"/>
      </w:pPr>
      <w:rPr>
        <w:rFonts w:hint="default"/>
        <w:lang w:val="zh-CN" w:eastAsia="zh-CN" w:bidi="zh-CN"/>
      </w:rPr>
    </w:lvl>
    <w:lvl w:ilvl="7">
      <w:start w:val="0"/>
      <w:numFmt w:val="bullet"/>
      <w:lvlText w:val="•"/>
      <w:lvlJc w:val="left"/>
      <w:pPr>
        <w:ind w:left="6114" w:hanging="167"/>
      </w:pPr>
      <w:rPr>
        <w:rFonts w:hint="default"/>
        <w:lang w:val="zh-CN" w:eastAsia="zh-CN" w:bidi="zh-CN"/>
      </w:rPr>
    </w:lvl>
    <w:lvl w:ilvl="8">
      <w:start w:val="0"/>
      <w:numFmt w:val="bullet"/>
      <w:lvlText w:val="•"/>
      <w:lvlJc w:val="left"/>
      <w:pPr>
        <w:ind w:left="6879" w:hanging="167"/>
      </w:pPr>
      <w:rPr>
        <w:rFonts w:hint="default"/>
        <w:lang w:val="zh-CN" w:eastAsia="zh-CN" w:bidi="zh-CN"/>
      </w:rPr>
    </w:lvl>
  </w:abstractNum>
  <w:abstractNum w:abstractNumId="9">
    <w:nsid w:val="1BC1FF52"/>
    <w:multiLevelType w:val="hybridMultilevel"/>
    <w:tmpl w:val="00000000"/>
    <w:lvl w:ilvl="0">
      <w:start w:val="2"/>
      <w:numFmt w:val="decimal"/>
      <w:lvlText w:val="%1."/>
      <w:lvlJc w:val="left"/>
      <w:pPr>
        <w:ind w:left="271"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680" w:hanging="159"/>
      </w:pPr>
      <w:rPr>
        <w:rFonts w:hint="default"/>
        <w:lang w:val="zh-CN" w:eastAsia="zh-CN" w:bidi="zh-CN"/>
      </w:rPr>
    </w:lvl>
    <w:lvl w:ilvl="2">
      <w:start w:val="0"/>
      <w:numFmt w:val="bullet"/>
      <w:lvlText w:val="•"/>
      <w:lvlJc w:val="left"/>
      <w:pPr>
        <w:ind w:left="1081" w:hanging="159"/>
      </w:pPr>
      <w:rPr>
        <w:rFonts w:hint="default"/>
        <w:lang w:val="zh-CN" w:eastAsia="zh-CN" w:bidi="zh-CN"/>
      </w:rPr>
    </w:lvl>
    <w:lvl w:ilvl="3">
      <w:start w:val="0"/>
      <w:numFmt w:val="bullet"/>
      <w:lvlText w:val="•"/>
      <w:lvlJc w:val="left"/>
      <w:pPr>
        <w:ind w:left="1482" w:hanging="159"/>
      </w:pPr>
      <w:rPr>
        <w:rFonts w:hint="default"/>
        <w:lang w:val="zh-CN" w:eastAsia="zh-CN" w:bidi="zh-CN"/>
      </w:rPr>
    </w:lvl>
    <w:lvl w:ilvl="4">
      <w:start w:val="0"/>
      <w:numFmt w:val="bullet"/>
      <w:lvlText w:val="•"/>
      <w:lvlJc w:val="left"/>
      <w:pPr>
        <w:ind w:left="1883" w:hanging="159"/>
      </w:pPr>
      <w:rPr>
        <w:rFonts w:hint="default"/>
        <w:lang w:val="zh-CN" w:eastAsia="zh-CN" w:bidi="zh-CN"/>
      </w:rPr>
    </w:lvl>
    <w:lvl w:ilvl="5">
      <w:start w:val="0"/>
      <w:numFmt w:val="bullet"/>
      <w:lvlText w:val="•"/>
      <w:lvlJc w:val="left"/>
      <w:pPr>
        <w:ind w:left="2284" w:hanging="159"/>
      </w:pPr>
      <w:rPr>
        <w:rFonts w:hint="default"/>
        <w:lang w:val="zh-CN" w:eastAsia="zh-CN" w:bidi="zh-CN"/>
      </w:rPr>
    </w:lvl>
    <w:lvl w:ilvl="6">
      <w:start w:val="0"/>
      <w:numFmt w:val="bullet"/>
      <w:lvlText w:val="•"/>
      <w:lvlJc w:val="left"/>
      <w:pPr>
        <w:ind w:left="2684" w:hanging="159"/>
      </w:pPr>
      <w:rPr>
        <w:rFonts w:hint="default"/>
        <w:lang w:val="zh-CN" w:eastAsia="zh-CN" w:bidi="zh-CN"/>
      </w:rPr>
    </w:lvl>
    <w:lvl w:ilvl="7">
      <w:start w:val="0"/>
      <w:numFmt w:val="bullet"/>
      <w:lvlText w:val="•"/>
      <w:lvlJc w:val="left"/>
      <w:pPr>
        <w:ind w:left="3085" w:hanging="159"/>
      </w:pPr>
      <w:rPr>
        <w:rFonts w:hint="default"/>
        <w:lang w:val="zh-CN" w:eastAsia="zh-CN" w:bidi="zh-CN"/>
      </w:rPr>
    </w:lvl>
    <w:lvl w:ilvl="8">
      <w:start w:val="0"/>
      <w:numFmt w:val="bullet"/>
      <w:lvlText w:val="•"/>
      <w:lvlJc w:val="left"/>
      <w:pPr>
        <w:ind w:left="3486" w:hanging="159"/>
      </w:pPr>
      <w:rPr>
        <w:rFonts w:hint="default"/>
        <w:lang w:val="zh-CN" w:eastAsia="zh-CN" w:bidi="zh-CN"/>
      </w:rPr>
    </w:lvl>
  </w:abstractNum>
  <w:abstractNum w:abstractNumId="10">
    <w:nsid w:val="1E0D3449"/>
    <w:multiLevelType w:val="hybridMultilevel"/>
    <w:tmpl w:val="00000000"/>
    <w:lvl w:ilvl="0">
      <w:start w:val="1"/>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36" w:hanging="159"/>
      </w:pPr>
      <w:rPr>
        <w:rFonts w:hint="default"/>
        <w:lang w:val="zh-CN" w:eastAsia="zh-CN" w:bidi="zh-CN"/>
      </w:rPr>
    </w:lvl>
    <w:lvl w:ilvl="2">
      <w:start w:val="0"/>
      <w:numFmt w:val="bullet"/>
      <w:lvlText w:val="•"/>
      <w:lvlJc w:val="left"/>
      <w:pPr>
        <w:ind w:left="953" w:hanging="159"/>
      </w:pPr>
      <w:rPr>
        <w:rFonts w:hint="default"/>
        <w:lang w:val="zh-CN" w:eastAsia="zh-CN" w:bidi="zh-CN"/>
      </w:rPr>
    </w:lvl>
    <w:lvl w:ilvl="3">
      <w:start w:val="0"/>
      <w:numFmt w:val="bullet"/>
      <w:lvlText w:val="•"/>
      <w:lvlJc w:val="left"/>
      <w:pPr>
        <w:ind w:left="1370" w:hanging="159"/>
      </w:pPr>
      <w:rPr>
        <w:rFonts w:hint="default"/>
        <w:lang w:val="zh-CN" w:eastAsia="zh-CN" w:bidi="zh-CN"/>
      </w:rPr>
    </w:lvl>
    <w:lvl w:ilvl="4">
      <w:start w:val="0"/>
      <w:numFmt w:val="bullet"/>
      <w:lvlText w:val="•"/>
      <w:lvlJc w:val="left"/>
      <w:pPr>
        <w:ind w:left="1787" w:hanging="159"/>
      </w:pPr>
      <w:rPr>
        <w:rFonts w:hint="default"/>
        <w:lang w:val="zh-CN" w:eastAsia="zh-CN" w:bidi="zh-CN"/>
      </w:rPr>
    </w:lvl>
    <w:lvl w:ilvl="5">
      <w:start w:val="0"/>
      <w:numFmt w:val="bullet"/>
      <w:lvlText w:val="•"/>
      <w:lvlJc w:val="left"/>
      <w:pPr>
        <w:ind w:left="2204" w:hanging="159"/>
      </w:pPr>
      <w:rPr>
        <w:rFonts w:hint="default"/>
        <w:lang w:val="zh-CN" w:eastAsia="zh-CN" w:bidi="zh-CN"/>
      </w:rPr>
    </w:lvl>
    <w:lvl w:ilvl="6">
      <w:start w:val="0"/>
      <w:numFmt w:val="bullet"/>
      <w:lvlText w:val="•"/>
      <w:lvlJc w:val="left"/>
      <w:pPr>
        <w:ind w:left="2620" w:hanging="159"/>
      </w:pPr>
      <w:rPr>
        <w:rFonts w:hint="default"/>
        <w:lang w:val="zh-CN" w:eastAsia="zh-CN" w:bidi="zh-CN"/>
      </w:rPr>
    </w:lvl>
    <w:lvl w:ilvl="7">
      <w:start w:val="0"/>
      <w:numFmt w:val="bullet"/>
      <w:lvlText w:val="•"/>
      <w:lvlJc w:val="left"/>
      <w:pPr>
        <w:ind w:left="3037" w:hanging="159"/>
      </w:pPr>
      <w:rPr>
        <w:rFonts w:hint="default"/>
        <w:lang w:val="zh-CN" w:eastAsia="zh-CN" w:bidi="zh-CN"/>
      </w:rPr>
    </w:lvl>
    <w:lvl w:ilvl="8">
      <w:start w:val="0"/>
      <w:numFmt w:val="bullet"/>
      <w:lvlText w:val="•"/>
      <w:lvlJc w:val="left"/>
      <w:pPr>
        <w:ind w:left="3454" w:hanging="159"/>
      </w:pPr>
      <w:rPr>
        <w:rFonts w:hint="default"/>
        <w:lang w:val="zh-CN" w:eastAsia="zh-CN" w:bidi="zh-CN"/>
      </w:rPr>
    </w:lvl>
  </w:abstractNum>
  <w:abstractNum w:abstractNumId="11">
    <w:nsid w:val="261BD355"/>
    <w:multiLevelType w:val="hybridMultilevel"/>
    <w:tmpl w:val="00000000"/>
    <w:lvl w:ilvl="0">
      <w:start w:val="2"/>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36" w:hanging="159"/>
      </w:pPr>
      <w:rPr>
        <w:rFonts w:hint="default"/>
        <w:lang w:val="zh-CN" w:eastAsia="zh-CN" w:bidi="zh-CN"/>
      </w:rPr>
    </w:lvl>
    <w:lvl w:ilvl="2">
      <w:start w:val="0"/>
      <w:numFmt w:val="bullet"/>
      <w:lvlText w:val="•"/>
      <w:lvlJc w:val="left"/>
      <w:pPr>
        <w:ind w:left="953" w:hanging="159"/>
      </w:pPr>
      <w:rPr>
        <w:rFonts w:hint="default"/>
        <w:lang w:val="zh-CN" w:eastAsia="zh-CN" w:bidi="zh-CN"/>
      </w:rPr>
    </w:lvl>
    <w:lvl w:ilvl="3">
      <w:start w:val="0"/>
      <w:numFmt w:val="bullet"/>
      <w:lvlText w:val="•"/>
      <w:lvlJc w:val="left"/>
      <w:pPr>
        <w:ind w:left="1370" w:hanging="159"/>
      </w:pPr>
      <w:rPr>
        <w:rFonts w:hint="default"/>
        <w:lang w:val="zh-CN" w:eastAsia="zh-CN" w:bidi="zh-CN"/>
      </w:rPr>
    </w:lvl>
    <w:lvl w:ilvl="4">
      <w:start w:val="0"/>
      <w:numFmt w:val="bullet"/>
      <w:lvlText w:val="•"/>
      <w:lvlJc w:val="left"/>
      <w:pPr>
        <w:ind w:left="1787" w:hanging="159"/>
      </w:pPr>
      <w:rPr>
        <w:rFonts w:hint="default"/>
        <w:lang w:val="zh-CN" w:eastAsia="zh-CN" w:bidi="zh-CN"/>
      </w:rPr>
    </w:lvl>
    <w:lvl w:ilvl="5">
      <w:start w:val="0"/>
      <w:numFmt w:val="bullet"/>
      <w:lvlText w:val="•"/>
      <w:lvlJc w:val="left"/>
      <w:pPr>
        <w:ind w:left="2204" w:hanging="159"/>
      </w:pPr>
      <w:rPr>
        <w:rFonts w:hint="default"/>
        <w:lang w:val="zh-CN" w:eastAsia="zh-CN" w:bidi="zh-CN"/>
      </w:rPr>
    </w:lvl>
    <w:lvl w:ilvl="6">
      <w:start w:val="0"/>
      <w:numFmt w:val="bullet"/>
      <w:lvlText w:val="•"/>
      <w:lvlJc w:val="left"/>
      <w:pPr>
        <w:ind w:left="2620" w:hanging="159"/>
      </w:pPr>
      <w:rPr>
        <w:rFonts w:hint="default"/>
        <w:lang w:val="zh-CN" w:eastAsia="zh-CN" w:bidi="zh-CN"/>
      </w:rPr>
    </w:lvl>
    <w:lvl w:ilvl="7">
      <w:start w:val="0"/>
      <w:numFmt w:val="bullet"/>
      <w:lvlText w:val="•"/>
      <w:lvlJc w:val="left"/>
      <w:pPr>
        <w:ind w:left="3037" w:hanging="159"/>
      </w:pPr>
      <w:rPr>
        <w:rFonts w:hint="default"/>
        <w:lang w:val="zh-CN" w:eastAsia="zh-CN" w:bidi="zh-CN"/>
      </w:rPr>
    </w:lvl>
    <w:lvl w:ilvl="8">
      <w:start w:val="0"/>
      <w:numFmt w:val="bullet"/>
      <w:lvlText w:val="•"/>
      <w:lvlJc w:val="left"/>
      <w:pPr>
        <w:ind w:left="3454" w:hanging="159"/>
      </w:pPr>
      <w:rPr>
        <w:rFonts w:hint="default"/>
        <w:lang w:val="zh-CN" w:eastAsia="zh-CN" w:bidi="zh-CN"/>
      </w:rPr>
    </w:lvl>
  </w:abstractNum>
  <w:abstractNum w:abstractNumId="12">
    <w:nsid w:val="26446903"/>
    <w:multiLevelType w:val="hybridMultilevel"/>
    <w:tmpl w:val="00000000"/>
    <w:lvl w:ilvl="0">
      <w:start w:val="1"/>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20" w:hanging="601"/>
      </w:pPr>
      <w:rPr>
        <w:rFonts w:hint="default"/>
        <w:lang w:val="zh-CN" w:eastAsia="zh-CN" w:bidi="zh-CN"/>
      </w:rPr>
    </w:lvl>
    <w:lvl w:ilvl="2">
      <w:start w:val="0"/>
      <w:numFmt w:val="bullet"/>
      <w:lvlText w:val="•"/>
      <w:lvlJc w:val="left"/>
      <w:pPr>
        <w:ind w:left="2641" w:hanging="601"/>
      </w:pPr>
      <w:rPr>
        <w:rFonts w:hint="default"/>
        <w:lang w:val="zh-CN" w:eastAsia="zh-CN" w:bidi="zh-CN"/>
      </w:rPr>
    </w:lvl>
    <w:lvl w:ilvl="3">
      <w:start w:val="0"/>
      <w:numFmt w:val="bullet"/>
      <w:lvlText w:val="•"/>
      <w:lvlJc w:val="left"/>
      <w:pPr>
        <w:ind w:left="3362" w:hanging="601"/>
      </w:pPr>
      <w:rPr>
        <w:rFonts w:hint="default"/>
        <w:lang w:val="zh-CN" w:eastAsia="zh-CN" w:bidi="zh-CN"/>
      </w:rPr>
    </w:lvl>
    <w:lvl w:ilvl="4">
      <w:start w:val="0"/>
      <w:numFmt w:val="bullet"/>
      <w:lvlText w:val="•"/>
      <w:lvlJc w:val="left"/>
      <w:pPr>
        <w:ind w:left="4083" w:hanging="601"/>
      </w:pPr>
      <w:rPr>
        <w:rFonts w:hint="default"/>
        <w:lang w:val="zh-CN" w:eastAsia="zh-CN" w:bidi="zh-CN"/>
      </w:rPr>
    </w:lvl>
    <w:lvl w:ilvl="5">
      <w:start w:val="0"/>
      <w:numFmt w:val="bullet"/>
      <w:lvlText w:val="•"/>
      <w:lvlJc w:val="left"/>
      <w:pPr>
        <w:ind w:left="4804" w:hanging="601"/>
      </w:pPr>
      <w:rPr>
        <w:rFonts w:hint="default"/>
        <w:lang w:val="zh-CN" w:eastAsia="zh-CN" w:bidi="zh-CN"/>
      </w:rPr>
    </w:lvl>
    <w:lvl w:ilvl="6">
      <w:start w:val="0"/>
      <w:numFmt w:val="bullet"/>
      <w:lvlText w:val="•"/>
      <w:lvlJc w:val="left"/>
      <w:pPr>
        <w:ind w:left="5525" w:hanging="601"/>
      </w:pPr>
      <w:rPr>
        <w:rFonts w:hint="default"/>
        <w:lang w:val="zh-CN" w:eastAsia="zh-CN" w:bidi="zh-CN"/>
      </w:rPr>
    </w:lvl>
    <w:lvl w:ilvl="7">
      <w:start w:val="0"/>
      <w:numFmt w:val="bullet"/>
      <w:lvlText w:val="•"/>
      <w:lvlJc w:val="left"/>
      <w:pPr>
        <w:ind w:left="6246" w:hanging="601"/>
      </w:pPr>
      <w:rPr>
        <w:rFonts w:hint="default"/>
        <w:lang w:val="zh-CN" w:eastAsia="zh-CN" w:bidi="zh-CN"/>
      </w:rPr>
    </w:lvl>
    <w:lvl w:ilvl="8">
      <w:start w:val="0"/>
      <w:numFmt w:val="bullet"/>
      <w:lvlText w:val="•"/>
      <w:lvlJc w:val="left"/>
      <w:pPr>
        <w:ind w:left="6967" w:hanging="601"/>
      </w:pPr>
      <w:rPr>
        <w:rFonts w:hint="default"/>
        <w:lang w:val="zh-CN" w:eastAsia="zh-CN" w:bidi="zh-CN"/>
      </w:rPr>
    </w:lvl>
  </w:abstractNum>
  <w:abstractNum w:abstractNumId="13">
    <w:nsid w:val="2998EFF0"/>
    <w:multiLevelType w:val="hybridMultilevel"/>
    <w:tmpl w:val="00000000"/>
    <w:lvl w:ilvl="0">
      <w:start w:val="1"/>
      <w:numFmt w:val="decimal"/>
      <w:lvlText w:val="（%1）"/>
      <w:lvlJc w:val="left"/>
      <w:pPr>
        <w:ind w:left="113" w:hanging="564"/>
        <w:jc w:val="left"/>
      </w:pPr>
      <w:rPr>
        <w:rFonts w:ascii="宋体" w:eastAsia="宋体" w:hAnsi="宋体" w:cs="宋体" w:hint="default"/>
        <w:spacing w:val="8"/>
        <w:w w:val="99"/>
        <w:sz w:val="19"/>
        <w:szCs w:val="19"/>
        <w:lang w:val="zh-CN" w:eastAsia="zh-CN" w:bidi="zh-CN"/>
      </w:rPr>
    </w:lvl>
    <w:lvl w:ilvl="1">
      <w:start w:val="0"/>
      <w:numFmt w:val="bullet"/>
      <w:lvlText w:val="•"/>
      <w:lvlJc w:val="left"/>
      <w:pPr>
        <w:ind w:left="556" w:hanging="564"/>
      </w:pPr>
      <w:rPr>
        <w:rFonts w:hint="default"/>
        <w:lang w:val="zh-CN" w:eastAsia="zh-CN" w:bidi="zh-CN"/>
      </w:rPr>
    </w:lvl>
    <w:lvl w:ilvl="2">
      <w:start w:val="0"/>
      <w:numFmt w:val="bullet"/>
      <w:lvlText w:val="•"/>
      <w:lvlJc w:val="left"/>
      <w:pPr>
        <w:ind w:left="992" w:hanging="564"/>
      </w:pPr>
      <w:rPr>
        <w:rFonts w:hint="default"/>
        <w:lang w:val="zh-CN" w:eastAsia="zh-CN" w:bidi="zh-CN"/>
      </w:rPr>
    </w:lvl>
    <w:lvl w:ilvl="3">
      <w:start w:val="0"/>
      <w:numFmt w:val="bullet"/>
      <w:lvlText w:val="•"/>
      <w:lvlJc w:val="left"/>
      <w:pPr>
        <w:ind w:left="1428" w:hanging="564"/>
      </w:pPr>
      <w:rPr>
        <w:rFonts w:hint="default"/>
        <w:lang w:val="zh-CN" w:eastAsia="zh-CN" w:bidi="zh-CN"/>
      </w:rPr>
    </w:lvl>
    <w:lvl w:ilvl="4">
      <w:start w:val="0"/>
      <w:numFmt w:val="bullet"/>
      <w:lvlText w:val="•"/>
      <w:lvlJc w:val="left"/>
      <w:pPr>
        <w:ind w:left="1864" w:hanging="564"/>
      </w:pPr>
      <w:rPr>
        <w:rFonts w:hint="default"/>
        <w:lang w:val="zh-CN" w:eastAsia="zh-CN" w:bidi="zh-CN"/>
      </w:rPr>
    </w:lvl>
    <w:lvl w:ilvl="5">
      <w:start w:val="0"/>
      <w:numFmt w:val="bullet"/>
      <w:lvlText w:val="•"/>
      <w:lvlJc w:val="left"/>
      <w:pPr>
        <w:ind w:left="2300" w:hanging="564"/>
      </w:pPr>
      <w:rPr>
        <w:rFonts w:hint="default"/>
        <w:lang w:val="zh-CN" w:eastAsia="zh-CN" w:bidi="zh-CN"/>
      </w:rPr>
    </w:lvl>
    <w:lvl w:ilvl="6">
      <w:start w:val="0"/>
      <w:numFmt w:val="bullet"/>
      <w:lvlText w:val="•"/>
      <w:lvlJc w:val="left"/>
      <w:pPr>
        <w:ind w:left="2736" w:hanging="564"/>
      </w:pPr>
      <w:rPr>
        <w:rFonts w:hint="default"/>
        <w:lang w:val="zh-CN" w:eastAsia="zh-CN" w:bidi="zh-CN"/>
      </w:rPr>
    </w:lvl>
    <w:lvl w:ilvl="7">
      <w:start w:val="0"/>
      <w:numFmt w:val="bullet"/>
      <w:lvlText w:val="•"/>
      <w:lvlJc w:val="left"/>
      <w:pPr>
        <w:ind w:left="3172" w:hanging="564"/>
      </w:pPr>
      <w:rPr>
        <w:rFonts w:hint="default"/>
        <w:lang w:val="zh-CN" w:eastAsia="zh-CN" w:bidi="zh-CN"/>
      </w:rPr>
    </w:lvl>
    <w:lvl w:ilvl="8">
      <w:start w:val="0"/>
      <w:numFmt w:val="bullet"/>
      <w:lvlText w:val="•"/>
      <w:lvlJc w:val="left"/>
      <w:pPr>
        <w:ind w:left="3608" w:hanging="564"/>
      </w:pPr>
      <w:rPr>
        <w:rFonts w:hint="default"/>
        <w:lang w:val="zh-CN" w:eastAsia="zh-CN" w:bidi="zh-CN"/>
      </w:rPr>
    </w:lvl>
  </w:abstractNum>
  <w:abstractNum w:abstractNumId="14">
    <w:nsid w:val="2C69A669"/>
    <w:multiLevelType w:val="hybridMultilevel"/>
    <w:tmpl w:val="00000000"/>
    <w:lvl w:ilvl="0">
      <w:start w:val="5"/>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20" w:hanging="601"/>
      </w:pPr>
      <w:rPr>
        <w:rFonts w:hint="default"/>
        <w:lang w:val="zh-CN" w:eastAsia="zh-CN" w:bidi="zh-CN"/>
      </w:rPr>
    </w:lvl>
    <w:lvl w:ilvl="2">
      <w:start w:val="0"/>
      <w:numFmt w:val="bullet"/>
      <w:lvlText w:val="•"/>
      <w:lvlJc w:val="left"/>
      <w:pPr>
        <w:ind w:left="2641" w:hanging="601"/>
      </w:pPr>
      <w:rPr>
        <w:rFonts w:hint="default"/>
        <w:lang w:val="zh-CN" w:eastAsia="zh-CN" w:bidi="zh-CN"/>
      </w:rPr>
    </w:lvl>
    <w:lvl w:ilvl="3">
      <w:start w:val="0"/>
      <w:numFmt w:val="bullet"/>
      <w:lvlText w:val="•"/>
      <w:lvlJc w:val="left"/>
      <w:pPr>
        <w:ind w:left="3362" w:hanging="601"/>
      </w:pPr>
      <w:rPr>
        <w:rFonts w:hint="default"/>
        <w:lang w:val="zh-CN" w:eastAsia="zh-CN" w:bidi="zh-CN"/>
      </w:rPr>
    </w:lvl>
    <w:lvl w:ilvl="4">
      <w:start w:val="0"/>
      <w:numFmt w:val="bullet"/>
      <w:lvlText w:val="•"/>
      <w:lvlJc w:val="left"/>
      <w:pPr>
        <w:ind w:left="4083" w:hanging="601"/>
      </w:pPr>
      <w:rPr>
        <w:rFonts w:hint="default"/>
        <w:lang w:val="zh-CN" w:eastAsia="zh-CN" w:bidi="zh-CN"/>
      </w:rPr>
    </w:lvl>
    <w:lvl w:ilvl="5">
      <w:start w:val="0"/>
      <w:numFmt w:val="bullet"/>
      <w:lvlText w:val="•"/>
      <w:lvlJc w:val="left"/>
      <w:pPr>
        <w:ind w:left="4804" w:hanging="601"/>
      </w:pPr>
      <w:rPr>
        <w:rFonts w:hint="default"/>
        <w:lang w:val="zh-CN" w:eastAsia="zh-CN" w:bidi="zh-CN"/>
      </w:rPr>
    </w:lvl>
    <w:lvl w:ilvl="6">
      <w:start w:val="0"/>
      <w:numFmt w:val="bullet"/>
      <w:lvlText w:val="•"/>
      <w:lvlJc w:val="left"/>
      <w:pPr>
        <w:ind w:left="5525" w:hanging="601"/>
      </w:pPr>
      <w:rPr>
        <w:rFonts w:hint="default"/>
        <w:lang w:val="zh-CN" w:eastAsia="zh-CN" w:bidi="zh-CN"/>
      </w:rPr>
    </w:lvl>
    <w:lvl w:ilvl="7">
      <w:start w:val="0"/>
      <w:numFmt w:val="bullet"/>
      <w:lvlText w:val="•"/>
      <w:lvlJc w:val="left"/>
      <w:pPr>
        <w:ind w:left="6246" w:hanging="601"/>
      </w:pPr>
      <w:rPr>
        <w:rFonts w:hint="default"/>
        <w:lang w:val="zh-CN" w:eastAsia="zh-CN" w:bidi="zh-CN"/>
      </w:rPr>
    </w:lvl>
    <w:lvl w:ilvl="8">
      <w:start w:val="0"/>
      <w:numFmt w:val="bullet"/>
      <w:lvlText w:val="•"/>
      <w:lvlJc w:val="left"/>
      <w:pPr>
        <w:ind w:left="6967" w:hanging="601"/>
      </w:pPr>
      <w:rPr>
        <w:rFonts w:hint="default"/>
        <w:lang w:val="zh-CN" w:eastAsia="zh-CN" w:bidi="zh-CN"/>
      </w:rPr>
    </w:lvl>
  </w:abstractNum>
  <w:abstractNum w:abstractNumId="15">
    <w:nsid w:val="30201761"/>
    <w:multiLevelType w:val="hybridMultilevel"/>
    <w:tmpl w:val="00000000"/>
    <w:lvl w:ilvl="0">
      <w:start w:val="1"/>
      <w:numFmt w:val="decimal"/>
      <w:lvlText w:val="（%1）"/>
      <w:lvlJc w:val="left"/>
      <w:pPr>
        <w:ind w:left="20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10" w:hanging="601"/>
      </w:pPr>
      <w:rPr>
        <w:rFonts w:hint="default"/>
        <w:lang w:val="zh-CN" w:eastAsia="zh-CN" w:bidi="zh-CN"/>
      </w:rPr>
    </w:lvl>
    <w:lvl w:ilvl="2">
      <w:start w:val="0"/>
      <w:numFmt w:val="bullet"/>
      <w:lvlText w:val="•"/>
      <w:lvlJc w:val="left"/>
      <w:pPr>
        <w:ind w:left="3561" w:hanging="601"/>
      </w:pPr>
      <w:rPr>
        <w:rFonts w:hint="default"/>
        <w:lang w:val="zh-CN" w:eastAsia="zh-CN" w:bidi="zh-CN"/>
      </w:rPr>
    </w:lvl>
    <w:lvl w:ilvl="3">
      <w:start w:val="0"/>
      <w:numFmt w:val="bullet"/>
      <w:lvlText w:val="•"/>
      <w:lvlJc w:val="left"/>
      <w:pPr>
        <w:ind w:left="4311" w:hanging="601"/>
      </w:pPr>
      <w:rPr>
        <w:rFonts w:hint="default"/>
        <w:lang w:val="zh-CN" w:eastAsia="zh-CN" w:bidi="zh-CN"/>
      </w:rPr>
    </w:lvl>
    <w:lvl w:ilvl="4">
      <w:start w:val="0"/>
      <w:numFmt w:val="bullet"/>
      <w:lvlText w:val="•"/>
      <w:lvlJc w:val="left"/>
      <w:pPr>
        <w:ind w:left="5062" w:hanging="601"/>
      </w:pPr>
      <w:rPr>
        <w:rFonts w:hint="default"/>
        <w:lang w:val="zh-CN" w:eastAsia="zh-CN" w:bidi="zh-CN"/>
      </w:rPr>
    </w:lvl>
    <w:lvl w:ilvl="5">
      <w:start w:val="0"/>
      <w:numFmt w:val="bullet"/>
      <w:lvlText w:val="•"/>
      <w:lvlJc w:val="left"/>
      <w:pPr>
        <w:ind w:left="5813" w:hanging="601"/>
      </w:pPr>
      <w:rPr>
        <w:rFonts w:hint="default"/>
        <w:lang w:val="zh-CN" w:eastAsia="zh-CN" w:bidi="zh-CN"/>
      </w:rPr>
    </w:lvl>
    <w:lvl w:ilvl="6">
      <w:start w:val="0"/>
      <w:numFmt w:val="bullet"/>
      <w:lvlText w:val="•"/>
      <w:lvlJc w:val="left"/>
      <w:pPr>
        <w:ind w:left="6563" w:hanging="601"/>
      </w:pPr>
      <w:rPr>
        <w:rFonts w:hint="default"/>
        <w:lang w:val="zh-CN" w:eastAsia="zh-CN" w:bidi="zh-CN"/>
      </w:rPr>
    </w:lvl>
    <w:lvl w:ilvl="7">
      <w:start w:val="0"/>
      <w:numFmt w:val="bullet"/>
      <w:lvlText w:val="•"/>
      <w:lvlJc w:val="left"/>
      <w:pPr>
        <w:ind w:left="7314" w:hanging="601"/>
      </w:pPr>
      <w:rPr>
        <w:rFonts w:hint="default"/>
        <w:lang w:val="zh-CN" w:eastAsia="zh-CN" w:bidi="zh-CN"/>
      </w:rPr>
    </w:lvl>
    <w:lvl w:ilvl="8">
      <w:start w:val="0"/>
      <w:numFmt w:val="bullet"/>
      <w:lvlText w:val="•"/>
      <w:lvlJc w:val="left"/>
      <w:pPr>
        <w:ind w:left="8064" w:hanging="601"/>
      </w:pPr>
      <w:rPr>
        <w:rFonts w:hint="default"/>
        <w:lang w:val="zh-CN" w:eastAsia="zh-CN" w:bidi="zh-CN"/>
      </w:rPr>
    </w:lvl>
  </w:abstractNum>
  <w:abstractNum w:abstractNumId="16">
    <w:nsid w:val="34907C2C"/>
    <w:multiLevelType w:val="hybridMultilevel"/>
    <w:tmpl w:val="00000000"/>
    <w:lvl w:ilvl="0">
      <w:start w:val="1"/>
      <w:numFmt w:val="decimal"/>
      <w:lvlText w:val="（%1）"/>
      <w:lvlJc w:val="left"/>
      <w:pPr>
        <w:ind w:left="988" w:hanging="601"/>
        <w:jc w:val="left"/>
      </w:pPr>
      <w:rPr>
        <w:rFonts w:ascii="宋体" w:eastAsia="宋体" w:hAnsi="宋体" w:cs="宋体" w:hint="default"/>
        <w:spacing w:val="-20"/>
        <w:w w:val="100"/>
        <w:sz w:val="22"/>
        <w:szCs w:val="22"/>
        <w:lang w:val="zh-CN" w:eastAsia="zh-CN" w:bidi="zh-CN"/>
      </w:rPr>
    </w:lvl>
    <w:lvl w:ilvl="1">
      <w:start w:val="0"/>
      <w:numFmt w:val="bullet"/>
      <w:lvlText w:val="•"/>
      <w:lvlJc w:val="left"/>
      <w:pPr>
        <w:ind w:left="1838" w:hanging="601"/>
      </w:pPr>
      <w:rPr>
        <w:rFonts w:hint="default"/>
        <w:lang w:val="zh-CN" w:eastAsia="zh-CN" w:bidi="zh-CN"/>
      </w:rPr>
    </w:lvl>
    <w:lvl w:ilvl="2">
      <w:start w:val="0"/>
      <w:numFmt w:val="bullet"/>
      <w:lvlText w:val="•"/>
      <w:lvlJc w:val="left"/>
      <w:pPr>
        <w:ind w:left="2697" w:hanging="601"/>
      </w:pPr>
      <w:rPr>
        <w:rFonts w:hint="default"/>
        <w:lang w:val="zh-CN" w:eastAsia="zh-CN" w:bidi="zh-CN"/>
      </w:rPr>
    </w:lvl>
    <w:lvl w:ilvl="3">
      <w:start w:val="0"/>
      <w:numFmt w:val="bullet"/>
      <w:lvlText w:val="•"/>
      <w:lvlJc w:val="left"/>
      <w:pPr>
        <w:ind w:left="3555" w:hanging="601"/>
      </w:pPr>
      <w:rPr>
        <w:rFonts w:hint="default"/>
        <w:lang w:val="zh-CN" w:eastAsia="zh-CN" w:bidi="zh-CN"/>
      </w:rPr>
    </w:lvl>
    <w:lvl w:ilvl="4">
      <w:start w:val="0"/>
      <w:numFmt w:val="bullet"/>
      <w:lvlText w:val="•"/>
      <w:lvlJc w:val="left"/>
      <w:pPr>
        <w:ind w:left="4414" w:hanging="601"/>
      </w:pPr>
      <w:rPr>
        <w:rFonts w:hint="default"/>
        <w:lang w:val="zh-CN" w:eastAsia="zh-CN" w:bidi="zh-CN"/>
      </w:rPr>
    </w:lvl>
    <w:lvl w:ilvl="5">
      <w:start w:val="0"/>
      <w:numFmt w:val="bullet"/>
      <w:lvlText w:val="•"/>
      <w:lvlJc w:val="left"/>
      <w:pPr>
        <w:ind w:left="5273" w:hanging="601"/>
      </w:pPr>
      <w:rPr>
        <w:rFonts w:hint="default"/>
        <w:lang w:val="zh-CN" w:eastAsia="zh-CN" w:bidi="zh-CN"/>
      </w:rPr>
    </w:lvl>
    <w:lvl w:ilvl="6">
      <w:start w:val="0"/>
      <w:numFmt w:val="bullet"/>
      <w:lvlText w:val="•"/>
      <w:lvlJc w:val="left"/>
      <w:pPr>
        <w:ind w:left="6131" w:hanging="601"/>
      </w:pPr>
      <w:rPr>
        <w:rFonts w:hint="default"/>
        <w:lang w:val="zh-CN" w:eastAsia="zh-CN" w:bidi="zh-CN"/>
      </w:rPr>
    </w:lvl>
    <w:lvl w:ilvl="7">
      <w:start w:val="0"/>
      <w:numFmt w:val="bullet"/>
      <w:lvlText w:val="•"/>
      <w:lvlJc w:val="left"/>
      <w:pPr>
        <w:ind w:left="6990" w:hanging="601"/>
      </w:pPr>
      <w:rPr>
        <w:rFonts w:hint="default"/>
        <w:lang w:val="zh-CN" w:eastAsia="zh-CN" w:bidi="zh-CN"/>
      </w:rPr>
    </w:lvl>
    <w:lvl w:ilvl="8">
      <w:start w:val="0"/>
      <w:numFmt w:val="bullet"/>
      <w:lvlText w:val="•"/>
      <w:lvlJc w:val="left"/>
      <w:pPr>
        <w:ind w:left="7848" w:hanging="601"/>
      </w:pPr>
      <w:rPr>
        <w:rFonts w:hint="default"/>
        <w:lang w:val="zh-CN" w:eastAsia="zh-CN" w:bidi="zh-CN"/>
      </w:rPr>
    </w:lvl>
  </w:abstractNum>
  <w:abstractNum w:abstractNumId="17">
    <w:nsid w:val="37F53562"/>
    <w:multiLevelType w:val="hybridMultilevel"/>
    <w:tmpl w:val="00000000"/>
    <w:lvl w:ilvl="0">
      <w:start w:val="1"/>
      <w:numFmt w:val="decimal"/>
      <w:lvlText w:val="（%1）"/>
      <w:lvlJc w:val="left"/>
      <w:pPr>
        <w:ind w:left="113" w:hanging="564"/>
        <w:jc w:val="left"/>
      </w:pPr>
      <w:rPr>
        <w:rFonts w:ascii="宋体" w:eastAsia="宋体" w:hAnsi="宋体" w:cs="宋体" w:hint="default"/>
        <w:spacing w:val="8"/>
        <w:w w:val="99"/>
        <w:sz w:val="19"/>
        <w:szCs w:val="19"/>
        <w:lang w:val="zh-CN" w:eastAsia="zh-CN" w:bidi="zh-CN"/>
      </w:rPr>
    </w:lvl>
    <w:lvl w:ilvl="1">
      <w:start w:val="0"/>
      <w:numFmt w:val="bullet"/>
      <w:lvlText w:val="•"/>
      <w:lvlJc w:val="left"/>
      <w:pPr>
        <w:ind w:left="556" w:hanging="564"/>
      </w:pPr>
      <w:rPr>
        <w:rFonts w:hint="default"/>
        <w:lang w:val="zh-CN" w:eastAsia="zh-CN" w:bidi="zh-CN"/>
      </w:rPr>
    </w:lvl>
    <w:lvl w:ilvl="2">
      <w:start w:val="0"/>
      <w:numFmt w:val="bullet"/>
      <w:lvlText w:val="•"/>
      <w:lvlJc w:val="left"/>
      <w:pPr>
        <w:ind w:left="992" w:hanging="564"/>
      </w:pPr>
      <w:rPr>
        <w:rFonts w:hint="default"/>
        <w:lang w:val="zh-CN" w:eastAsia="zh-CN" w:bidi="zh-CN"/>
      </w:rPr>
    </w:lvl>
    <w:lvl w:ilvl="3">
      <w:start w:val="0"/>
      <w:numFmt w:val="bullet"/>
      <w:lvlText w:val="•"/>
      <w:lvlJc w:val="left"/>
      <w:pPr>
        <w:ind w:left="1428" w:hanging="564"/>
      </w:pPr>
      <w:rPr>
        <w:rFonts w:hint="default"/>
        <w:lang w:val="zh-CN" w:eastAsia="zh-CN" w:bidi="zh-CN"/>
      </w:rPr>
    </w:lvl>
    <w:lvl w:ilvl="4">
      <w:start w:val="0"/>
      <w:numFmt w:val="bullet"/>
      <w:lvlText w:val="•"/>
      <w:lvlJc w:val="left"/>
      <w:pPr>
        <w:ind w:left="1864" w:hanging="564"/>
      </w:pPr>
      <w:rPr>
        <w:rFonts w:hint="default"/>
        <w:lang w:val="zh-CN" w:eastAsia="zh-CN" w:bidi="zh-CN"/>
      </w:rPr>
    </w:lvl>
    <w:lvl w:ilvl="5">
      <w:start w:val="0"/>
      <w:numFmt w:val="bullet"/>
      <w:lvlText w:val="•"/>
      <w:lvlJc w:val="left"/>
      <w:pPr>
        <w:ind w:left="2300" w:hanging="564"/>
      </w:pPr>
      <w:rPr>
        <w:rFonts w:hint="default"/>
        <w:lang w:val="zh-CN" w:eastAsia="zh-CN" w:bidi="zh-CN"/>
      </w:rPr>
    </w:lvl>
    <w:lvl w:ilvl="6">
      <w:start w:val="0"/>
      <w:numFmt w:val="bullet"/>
      <w:lvlText w:val="•"/>
      <w:lvlJc w:val="left"/>
      <w:pPr>
        <w:ind w:left="2736" w:hanging="564"/>
      </w:pPr>
      <w:rPr>
        <w:rFonts w:hint="default"/>
        <w:lang w:val="zh-CN" w:eastAsia="zh-CN" w:bidi="zh-CN"/>
      </w:rPr>
    </w:lvl>
    <w:lvl w:ilvl="7">
      <w:start w:val="0"/>
      <w:numFmt w:val="bullet"/>
      <w:lvlText w:val="•"/>
      <w:lvlJc w:val="left"/>
      <w:pPr>
        <w:ind w:left="3172" w:hanging="564"/>
      </w:pPr>
      <w:rPr>
        <w:rFonts w:hint="default"/>
        <w:lang w:val="zh-CN" w:eastAsia="zh-CN" w:bidi="zh-CN"/>
      </w:rPr>
    </w:lvl>
    <w:lvl w:ilvl="8">
      <w:start w:val="0"/>
      <w:numFmt w:val="bullet"/>
      <w:lvlText w:val="•"/>
      <w:lvlJc w:val="left"/>
      <w:pPr>
        <w:ind w:left="3608" w:hanging="564"/>
      </w:pPr>
      <w:rPr>
        <w:rFonts w:hint="default"/>
        <w:lang w:val="zh-CN" w:eastAsia="zh-CN" w:bidi="zh-CN"/>
      </w:rPr>
    </w:lvl>
  </w:abstractNum>
  <w:abstractNum w:abstractNumId="18">
    <w:nsid w:val="38F327CC"/>
    <w:multiLevelType w:val="hybridMultilevel"/>
    <w:tmpl w:val="00000000"/>
    <w:lvl w:ilvl="0">
      <w:start w:val="1"/>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36" w:hanging="159"/>
      </w:pPr>
      <w:rPr>
        <w:rFonts w:hint="default"/>
        <w:lang w:val="zh-CN" w:eastAsia="zh-CN" w:bidi="zh-CN"/>
      </w:rPr>
    </w:lvl>
    <w:lvl w:ilvl="2">
      <w:start w:val="0"/>
      <w:numFmt w:val="bullet"/>
      <w:lvlText w:val="•"/>
      <w:lvlJc w:val="left"/>
      <w:pPr>
        <w:ind w:left="953" w:hanging="159"/>
      </w:pPr>
      <w:rPr>
        <w:rFonts w:hint="default"/>
        <w:lang w:val="zh-CN" w:eastAsia="zh-CN" w:bidi="zh-CN"/>
      </w:rPr>
    </w:lvl>
    <w:lvl w:ilvl="3">
      <w:start w:val="0"/>
      <w:numFmt w:val="bullet"/>
      <w:lvlText w:val="•"/>
      <w:lvlJc w:val="left"/>
      <w:pPr>
        <w:ind w:left="1370" w:hanging="159"/>
      </w:pPr>
      <w:rPr>
        <w:rFonts w:hint="default"/>
        <w:lang w:val="zh-CN" w:eastAsia="zh-CN" w:bidi="zh-CN"/>
      </w:rPr>
    </w:lvl>
    <w:lvl w:ilvl="4">
      <w:start w:val="0"/>
      <w:numFmt w:val="bullet"/>
      <w:lvlText w:val="•"/>
      <w:lvlJc w:val="left"/>
      <w:pPr>
        <w:ind w:left="1787" w:hanging="159"/>
      </w:pPr>
      <w:rPr>
        <w:rFonts w:hint="default"/>
        <w:lang w:val="zh-CN" w:eastAsia="zh-CN" w:bidi="zh-CN"/>
      </w:rPr>
    </w:lvl>
    <w:lvl w:ilvl="5">
      <w:start w:val="0"/>
      <w:numFmt w:val="bullet"/>
      <w:lvlText w:val="•"/>
      <w:lvlJc w:val="left"/>
      <w:pPr>
        <w:ind w:left="2204" w:hanging="159"/>
      </w:pPr>
      <w:rPr>
        <w:rFonts w:hint="default"/>
        <w:lang w:val="zh-CN" w:eastAsia="zh-CN" w:bidi="zh-CN"/>
      </w:rPr>
    </w:lvl>
    <w:lvl w:ilvl="6">
      <w:start w:val="0"/>
      <w:numFmt w:val="bullet"/>
      <w:lvlText w:val="•"/>
      <w:lvlJc w:val="left"/>
      <w:pPr>
        <w:ind w:left="2620" w:hanging="159"/>
      </w:pPr>
      <w:rPr>
        <w:rFonts w:hint="default"/>
        <w:lang w:val="zh-CN" w:eastAsia="zh-CN" w:bidi="zh-CN"/>
      </w:rPr>
    </w:lvl>
    <w:lvl w:ilvl="7">
      <w:start w:val="0"/>
      <w:numFmt w:val="bullet"/>
      <w:lvlText w:val="•"/>
      <w:lvlJc w:val="left"/>
      <w:pPr>
        <w:ind w:left="3037" w:hanging="159"/>
      </w:pPr>
      <w:rPr>
        <w:rFonts w:hint="default"/>
        <w:lang w:val="zh-CN" w:eastAsia="zh-CN" w:bidi="zh-CN"/>
      </w:rPr>
    </w:lvl>
    <w:lvl w:ilvl="8">
      <w:start w:val="0"/>
      <w:numFmt w:val="bullet"/>
      <w:lvlText w:val="•"/>
      <w:lvlJc w:val="left"/>
      <w:pPr>
        <w:ind w:left="3454" w:hanging="159"/>
      </w:pPr>
      <w:rPr>
        <w:rFonts w:hint="default"/>
        <w:lang w:val="zh-CN" w:eastAsia="zh-CN" w:bidi="zh-CN"/>
      </w:rPr>
    </w:lvl>
  </w:abstractNum>
  <w:abstractNum w:abstractNumId="19">
    <w:nsid w:val="39BB6CC9"/>
    <w:multiLevelType w:val="hybridMultilevel"/>
    <w:tmpl w:val="00000000"/>
    <w:lvl w:ilvl="0">
      <w:start w:val="1"/>
      <w:numFmt w:val="decimal"/>
      <w:lvlText w:val="（%1）"/>
      <w:lvlJc w:val="left"/>
      <w:pPr>
        <w:ind w:left="113" w:hanging="564"/>
        <w:jc w:val="left"/>
      </w:pPr>
      <w:rPr>
        <w:rFonts w:ascii="宋体" w:eastAsia="宋体" w:hAnsi="宋体" w:cs="宋体" w:hint="default"/>
        <w:spacing w:val="8"/>
        <w:w w:val="99"/>
        <w:sz w:val="19"/>
        <w:szCs w:val="19"/>
        <w:lang w:val="zh-CN" w:eastAsia="zh-CN" w:bidi="zh-CN"/>
      </w:rPr>
    </w:lvl>
    <w:lvl w:ilvl="1">
      <w:start w:val="0"/>
      <w:numFmt w:val="bullet"/>
      <w:lvlText w:val="•"/>
      <w:lvlJc w:val="left"/>
      <w:pPr>
        <w:ind w:left="556" w:hanging="564"/>
      </w:pPr>
      <w:rPr>
        <w:rFonts w:hint="default"/>
        <w:lang w:val="zh-CN" w:eastAsia="zh-CN" w:bidi="zh-CN"/>
      </w:rPr>
    </w:lvl>
    <w:lvl w:ilvl="2">
      <w:start w:val="0"/>
      <w:numFmt w:val="bullet"/>
      <w:lvlText w:val="•"/>
      <w:lvlJc w:val="left"/>
      <w:pPr>
        <w:ind w:left="992" w:hanging="564"/>
      </w:pPr>
      <w:rPr>
        <w:rFonts w:hint="default"/>
        <w:lang w:val="zh-CN" w:eastAsia="zh-CN" w:bidi="zh-CN"/>
      </w:rPr>
    </w:lvl>
    <w:lvl w:ilvl="3">
      <w:start w:val="0"/>
      <w:numFmt w:val="bullet"/>
      <w:lvlText w:val="•"/>
      <w:lvlJc w:val="left"/>
      <w:pPr>
        <w:ind w:left="1428" w:hanging="564"/>
      </w:pPr>
      <w:rPr>
        <w:rFonts w:hint="default"/>
        <w:lang w:val="zh-CN" w:eastAsia="zh-CN" w:bidi="zh-CN"/>
      </w:rPr>
    </w:lvl>
    <w:lvl w:ilvl="4">
      <w:start w:val="0"/>
      <w:numFmt w:val="bullet"/>
      <w:lvlText w:val="•"/>
      <w:lvlJc w:val="left"/>
      <w:pPr>
        <w:ind w:left="1864" w:hanging="564"/>
      </w:pPr>
      <w:rPr>
        <w:rFonts w:hint="default"/>
        <w:lang w:val="zh-CN" w:eastAsia="zh-CN" w:bidi="zh-CN"/>
      </w:rPr>
    </w:lvl>
    <w:lvl w:ilvl="5">
      <w:start w:val="0"/>
      <w:numFmt w:val="bullet"/>
      <w:lvlText w:val="•"/>
      <w:lvlJc w:val="left"/>
      <w:pPr>
        <w:ind w:left="2300" w:hanging="564"/>
      </w:pPr>
      <w:rPr>
        <w:rFonts w:hint="default"/>
        <w:lang w:val="zh-CN" w:eastAsia="zh-CN" w:bidi="zh-CN"/>
      </w:rPr>
    </w:lvl>
    <w:lvl w:ilvl="6">
      <w:start w:val="0"/>
      <w:numFmt w:val="bullet"/>
      <w:lvlText w:val="•"/>
      <w:lvlJc w:val="left"/>
      <w:pPr>
        <w:ind w:left="2736" w:hanging="564"/>
      </w:pPr>
      <w:rPr>
        <w:rFonts w:hint="default"/>
        <w:lang w:val="zh-CN" w:eastAsia="zh-CN" w:bidi="zh-CN"/>
      </w:rPr>
    </w:lvl>
    <w:lvl w:ilvl="7">
      <w:start w:val="0"/>
      <w:numFmt w:val="bullet"/>
      <w:lvlText w:val="•"/>
      <w:lvlJc w:val="left"/>
      <w:pPr>
        <w:ind w:left="3172" w:hanging="564"/>
      </w:pPr>
      <w:rPr>
        <w:rFonts w:hint="default"/>
        <w:lang w:val="zh-CN" w:eastAsia="zh-CN" w:bidi="zh-CN"/>
      </w:rPr>
    </w:lvl>
    <w:lvl w:ilvl="8">
      <w:start w:val="0"/>
      <w:numFmt w:val="bullet"/>
      <w:lvlText w:val="•"/>
      <w:lvlJc w:val="left"/>
      <w:pPr>
        <w:ind w:left="3608" w:hanging="564"/>
      </w:pPr>
      <w:rPr>
        <w:rFonts w:hint="default"/>
        <w:lang w:val="zh-CN" w:eastAsia="zh-CN" w:bidi="zh-CN"/>
      </w:rPr>
    </w:lvl>
  </w:abstractNum>
  <w:abstractNum w:abstractNumId="20">
    <w:nsid w:val="4037989A"/>
    <w:multiLevelType w:val="hybridMultilevel"/>
    <w:tmpl w:val="00000000"/>
    <w:lvl w:ilvl="0">
      <w:start w:val="1"/>
      <w:numFmt w:val="decimal"/>
      <w:lvlText w:val="%1."/>
      <w:lvlJc w:val="left"/>
      <w:pPr>
        <w:ind w:left="112" w:hanging="212"/>
        <w:jc w:val="left"/>
      </w:pPr>
      <w:rPr>
        <w:rFonts w:ascii="宋体" w:eastAsia="宋体" w:hAnsi="宋体" w:cs="宋体" w:hint="default"/>
        <w:color w:val="FF0000"/>
        <w:spacing w:val="-2"/>
        <w:w w:val="99"/>
        <w:sz w:val="19"/>
        <w:szCs w:val="19"/>
        <w:lang w:val="zh-CN" w:eastAsia="zh-CN" w:bidi="zh-CN"/>
      </w:rPr>
    </w:lvl>
    <w:lvl w:ilvl="1">
      <w:start w:val="0"/>
      <w:numFmt w:val="bullet"/>
      <w:lvlText w:val="•"/>
      <w:lvlJc w:val="left"/>
      <w:pPr>
        <w:ind w:left="634" w:hanging="212"/>
      </w:pPr>
      <w:rPr>
        <w:rFonts w:hint="default"/>
        <w:lang w:val="zh-CN" w:eastAsia="zh-CN" w:bidi="zh-CN"/>
      </w:rPr>
    </w:lvl>
    <w:lvl w:ilvl="2">
      <w:start w:val="0"/>
      <w:numFmt w:val="bullet"/>
      <w:lvlText w:val="•"/>
      <w:lvlJc w:val="left"/>
      <w:pPr>
        <w:ind w:left="1149" w:hanging="212"/>
      </w:pPr>
      <w:rPr>
        <w:rFonts w:hint="default"/>
        <w:lang w:val="zh-CN" w:eastAsia="zh-CN" w:bidi="zh-CN"/>
      </w:rPr>
    </w:lvl>
    <w:lvl w:ilvl="3">
      <w:start w:val="0"/>
      <w:numFmt w:val="bullet"/>
      <w:lvlText w:val="•"/>
      <w:lvlJc w:val="left"/>
      <w:pPr>
        <w:ind w:left="1664" w:hanging="212"/>
      </w:pPr>
      <w:rPr>
        <w:rFonts w:hint="default"/>
        <w:lang w:val="zh-CN" w:eastAsia="zh-CN" w:bidi="zh-CN"/>
      </w:rPr>
    </w:lvl>
    <w:lvl w:ilvl="4">
      <w:start w:val="0"/>
      <w:numFmt w:val="bullet"/>
      <w:lvlText w:val="•"/>
      <w:lvlJc w:val="left"/>
      <w:pPr>
        <w:ind w:left="2179" w:hanging="212"/>
      </w:pPr>
      <w:rPr>
        <w:rFonts w:hint="default"/>
        <w:lang w:val="zh-CN" w:eastAsia="zh-CN" w:bidi="zh-CN"/>
      </w:rPr>
    </w:lvl>
    <w:lvl w:ilvl="5">
      <w:start w:val="0"/>
      <w:numFmt w:val="bullet"/>
      <w:lvlText w:val="•"/>
      <w:lvlJc w:val="left"/>
      <w:pPr>
        <w:ind w:left="2694" w:hanging="212"/>
      </w:pPr>
      <w:rPr>
        <w:rFonts w:hint="default"/>
        <w:lang w:val="zh-CN" w:eastAsia="zh-CN" w:bidi="zh-CN"/>
      </w:rPr>
    </w:lvl>
    <w:lvl w:ilvl="6">
      <w:start w:val="0"/>
      <w:numFmt w:val="bullet"/>
      <w:lvlText w:val="•"/>
      <w:lvlJc w:val="left"/>
      <w:pPr>
        <w:ind w:left="3208" w:hanging="212"/>
      </w:pPr>
      <w:rPr>
        <w:rFonts w:hint="default"/>
        <w:lang w:val="zh-CN" w:eastAsia="zh-CN" w:bidi="zh-CN"/>
      </w:rPr>
    </w:lvl>
    <w:lvl w:ilvl="7">
      <w:start w:val="0"/>
      <w:numFmt w:val="bullet"/>
      <w:lvlText w:val="•"/>
      <w:lvlJc w:val="left"/>
      <w:pPr>
        <w:ind w:left="3723" w:hanging="212"/>
      </w:pPr>
      <w:rPr>
        <w:rFonts w:hint="default"/>
        <w:lang w:val="zh-CN" w:eastAsia="zh-CN" w:bidi="zh-CN"/>
      </w:rPr>
    </w:lvl>
    <w:lvl w:ilvl="8">
      <w:start w:val="0"/>
      <w:numFmt w:val="bullet"/>
      <w:lvlText w:val="•"/>
      <w:lvlJc w:val="left"/>
      <w:pPr>
        <w:ind w:left="4238" w:hanging="212"/>
      </w:pPr>
      <w:rPr>
        <w:rFonts w:hint="default"/>
        <w:lang w:val="zh-CN" w:eastAsia="zh-CN" w:bidi="zh-CN"/>
      </w:rPr>
    </w:lvl>
  </w:abstractNum>
  <w:abstractNum w:abstractNumId="21">
    <w:nsid w:val="441AE538"/>
    <w:multiLevelType w:val="hybridMultilevel"/>
    <w:tmpl w:val="00000000"/>
    <w:lvl w:ilvl="0">
      <w:start w:val="4"/>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36" w:hanging="159"/>
      </w:pPr>
      <w:rPr>
        <w:rFonts w:hint="default"/>
        <w:lang w:val="zh-CN" w:eastAsia="zh-CN" w:bidi="zh-CN"/>
      </w:rPr>
    </w:lvl>
    <w:lvl w:ilvl="2">
      <w:start w:val="0"/>
      <w:numFmt w:val="bullet"/>
      <w:lvlText w:val="•"/>
      <w:lvlJc w:val="left"/>
      <w:pPr>
        <w:ind w:left="953" w:hanging="159"/>
      </w:pPr>
      <w:rPr>
        <w:rFonts w:hint="default"/>
        <w:lang w:val="zh-CN" w:eastAsia="zh-CN" w:bidi="zh-CN"/>
      </w:rPr>
    </w:lvl>
    <w:lvl w:ilvl="3">
      <w:start w:val="0"/>
      <w:numFmt w:val="bullet"/>
      <w:lvlText w:val="•"/>
      <w:lvlJc w:val="left"/>
      <w:pPr>
        <w:ind w:left="1370" w:hanging="159"/>
      </w:pPr>
      <w:rPr>
        <w:rFonts w:hint="default"/>
        <w:lang w:val="zh-CN" w:eastAsia="zh-CN" w:bidi="zh-CN"/>
      </w:rPr>
    </w:lvl>
    <w:lvl w:ilvl="4">
      <w:start w:val="0"/>
      <w:numFmt w:val="bullet"/>
      <w:lvlText w:val="•"/>
      <w:lvlJc w:val="left"/>
      <w:pPr>
        <w:ind w:left="1787" w:hanging="159"/>
      </w:pPr>
      <w:rPr>
        <w:rFonts w:hint="default"/>
        <w:lang w:val="zh-CN" w:eastAsia="zh-CN" w:bidi="zh-CN"/>
      </w:rPr>
    </w:lvl>
    <w:lvl w:ilvl="5">
      <w:start w:val="0"/>
      <w:numFmt w:val="bullet"/>
      <w:lvlText w:val="•"/>
      <w:lvlJc w:val="left"/>
      <w:pPr>
        <w:ind w:left="2204" w:hanging="159"/>
      </w:pPr>
      <w:rPr>
        <w:rFonts w:hint="default"/>
        <w:lang w:val="zh-CN" w:eastAsia="zh-CN" w:bidi="zh-CN"/>
      </w:rPr>
    </w:lvl>
    <w:lvl w:ilvl="6">
      <w:start w:val="0"/>
      <w:numFmt w:val="bullet"/>
      <w:lvlText w:val="•"/>
      <w:lvlJc w:val="left"/>
      <w:pPr>
        <w:ind w:left="2620" w:hanging="159"/>
      </w:pPr>
      <w:rPr>
        <w:rFonts w:hint="default"/>
        <w:lang w:val="zh-CN" w:eastAsia="zh-CN" w:bidi="zh-CN"/>
      </w:rPr>
    </w:lvl>
    <w:lvl w:ilvl="7">
      <w:start w:val="0"/>
      <w:numFmt w:val="bullet"/>
      <w:lvlText w:val="•"/>
      <w:lvlJc w:val="left"/>
      <w:pPr>
        <w:ind w:left="3037" w:hanging="159"/>
      </w:pPr>
      <w:rPr>
        <w:rFonts w:hint="default"/>
        <w:lang w:val="zh-CN" w:eastAsia="zh-CN" w:bidi="zh-CN"/>
      </w:rPr>
    </w:lvl>
    <w:lvl w:ilvl="8">
      <w:start w:val="0"/>
      <w:numFmt w:val="bullet"/>
      <w:lvlText w:val="•"/>
      <w:lvlJc w:val="left"/>
      <w:pPr>
        <w:ind w:left="3454" w:hanging="159"/>
      </w:pPr>
      <w:rPr>
        <w:rFonts w:hint="default"/>
        <w:lang w:val="zh-CN" w:eastAsia="zh-CN" w:bidi="zh-CN"/>
      </w:rPr>
    </w:lvl>
  </w:abstractNum>
  <w:abstractNum w:abstractNumId="22">
    <w:nsid w:val="45234C85"/>
    <w:multiLevelType w:val="hybridMultilevel"/>
    <w:tmpl w:val="00000000"/>
    <w:lvl w:ilvl="0">
      <w:start w:val="2"/>
      <w:numFmt w:val="decimal"/>
      <w:lvlText w:val="（%1）"/>
      <w:lvlJc w:val="left"/>
      <w:pPr>
        <w:ind w:left="245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3170" w:hanging="601"/>
      </w:pPr>
      <w:rPr>
        <w:rFonts w:hint="default"/>
        <w:lang w:val="zh-CN" w:eastAsia="zh-CN" w:bidi="zh-CN"/>
      </w:rPr>
    </w:lvl>
    <w:lvl w:ilvl="2">
      <w:start w:val="0"/>
      <w:numFmt w:val="bullet"/>
      <w:lvlText w:val="•"/>
      <w:lvlJc w:val="left"/>
      <w:pPr>
        <w:ind w:left="3881" w:hanging="601"/>
      </w:pPr>
      <w:rPr>
        <w:rFonts w:hint="default"/>
        <w:lang w:val="zh-CN" w:eastAsia="zh-CN" w:bidi="zh-CN"/>
      </w:rPr>
    </w:lvl>
    <w:lvl w:ilvl="3">
      <w:start w:val="0"/>
      <w:numFmt w:val="bullet"/>
      <w:lvlText w:val="•"/>
      <w:lvlJc w:val="left"/>
      <w:pPr>
        <w:ind w:left="4591" w:hanging="601"/>
      </w:pPr>
      <w:rPr>
        <w:rFonts w:hint="default"/>
        <w:lang w:val="zh-CN" w:eastAsia="zh-CN" w:bidi="zh-CN"/>
      </w:rPr>
    </w:lvl>
    <w:lvl w:ilvl="4">
      <w:start w:val="0"/>
      <w:numFmt w:val="bullet"/>
      <w:lvlText w:val="•"/>
      <w:lvlJc w:val="left"/>
      <w:pPr>
        <w:ind w:left="5302" w:hanging="601"/>
      </w:pPr>
      <w:rPr>
        <w:rFonts w:hint="default"/>
        <w:lang w:val="zh-CN" w:eastAsia="zh-CN" w:bidi="zh-CN"/>
      </w:rPr>
    </w:lvl>
    <w:lvl w:ilvl="5">
      <w:start w:val="0"/>
      <w:numFmt w:val="bullet"/>
      <w:lvlText w:val="•"/>
      <w:lvlJc w:val="left"/>
      <w:pPr>
        <w:ind w:left="6013" w:hanging="601"/>
      </w:pPr>
      <w:rPr>
        <w:rFonts w:hint="default"/>
        <w:lang w:val="zh-CN" w:eastAsia="zh-CN" w:bidi="zh-CN"/>
      </w:rPr>
    </w:lvl>
    <w:lvl w:ilvl="6">
      <w:start w:val="0"/>
      <w:numFmt w:val="bullet"/>
      <w:lvlText w:val="•"/>
      <w:lvlJc w:val="left"/>
      <w:pPr>
        <w:ind w:left="6723" w:hanging="601"/>
      </w:pPr>
      <w:rPr>
        <w:rFonts w:hint="default"/>
        <w:lang w:val="zh-CN" w:eastAsia="zh-CN" w:bidi="zh-CN"/>
      </w:rPr>
    </w:lvl>
    <w:lvl w:ilvl="7">
      <w:start w:val="0"/>
      <w:numFmt w:val="bullet"/>
      <w:lvlText w:val="•"/>
      <w:lvlJc w:val="left"/>
      <w:pPr>
        <w:ind w:left="7434" w:hanging="601"/>
      </w:pPr>
      <w:rPr>
        <w:rFonts w:hint="default"/>
        <w:lang w:val="zh-CN" w:eastAsia="zh-CN" w:bidi="zh-CN"/>
      </w:rPr>
    </w:lvl>
    <w:lvl w:ilvl="8">
      <w:start w:val="0"/>
      <w:numFmt w:val="bullet"/>
      <w:lvlText w:val="•"/>
      <w:lvlJc w:val="left"/>
      <w:pPr>
        <w:ind w:left="8144" w:hanging="601"/>
      </w:pPr>
      <w:rPr>
        <w:rFonts w:hint="default"/>
        <w:lang w:val="zh-CN" w:eastAsia="zh-CN" w:bidi="zh-CN"/>
      </w:rPr>
    </w:lvl>
  </w:abstractNum>
  <w:abstractNum w:abstractNumId="23">
    <w:nsid w:val="4D3F6783"/>
    <w:multiLevelType w:val="hybridMultilevel"/>
    <w:tmpl w:val="00000000"/>
    <w:lvl w:ilvl="0">
      <w:start w:val="2"/>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14" w:hanging="601"/>
      </w:pPr>
      <w:rPr>
        <w:rFonts w:hint="default"/>
        <w:lang w:val="zh-CN" w:eastAsia="zh-CN" w:bidi="zh-CN"/>
      </w:rPr>
    </w:lvl>
    <w:lvl w:ilvl="2">
      <w:start w:val="0"/>
      <w:numFmt w:val="bullet"/>
      <w:lvlText w:val="•"/>
      <w:lvlJc w:val="left"/>
      <w:pPr>
        <w:ind w:left="2629" w:hanging="601"/>
      </w:pPr>
      <w:rPr>
        <w:rFonts w:hint="default"/>
        <w:lang w:val="zh-CN" w:eastAsia="zh-CN" w:bidi="zh-CN"/>
      </w:rPr>
    </w:lvl>
    <w:lvl w:ilvl="3">
      <w:start w:val="0"/>
      <w:numFmt w:val="bullet"/>
      <w:lvlText w:val="•"/>
      <w:lvlJc w:val="left"/>
      <w:pPr>
        <w:ind w:left="3344" w:hanging="601"/>
      </w:pPr>
      <w:rPr>
        <w:rFonts w:hint="default"/>
        <w:lang w:val="zh-CN" w:eastAsia="zh-CN" w:bidi="zh-CN"/>
      </w:rPr>
    </w:lvl>
    <w:lvl w:ilvl="4">
      <w:start w:val="0"/>
      <w:numFmt w:val="bullet"/>
      <w:lvlText w:val="•"/>
      <w:lvlJc w:val="left"/>
      <w:pPr>
        <w:ind w:left="4059" w:hanging="601"/>
      </w:pPr>
      <w:rPr>
        <w:rFonts w:hint="default"/>
        <w:lang w:val="zh-CN" w:eastAsia="zh-CN" w:bidi="zh-CN"/>
      </w:rPr>
    </w:lvl>
    <w:lvl w:ilvl="5">
      <w:start w:val="0"/>
      <w:numFmt w:val="bullet"/>
      <w:lvlText w:val="•"/>
      <w:lvlJc w:val="left"/>
      <w:pPr>
        <w:ind w:left="4774" w:hanging="601"/>
      </w:pPr>
      <w:rPr>
        <w:rFonts w:hint="default"/>
        <w:lang w:val="zh-CN" w:eastAsia="zh-CN" w:bidi="zh-CN"/>
      </w:rPr>
    </w:lvl>
    <w:lvl w:ilvl="6">
      <w:start w:val="0"/>
      <w:numFmt w:val="bullet"/>
      <w:lvlText w:val="•"/>
      <w:lvlJc w:val="left"/>
      <w:pPr>
        <w:ind w:left="5488" w:hanging="601"/>
      </w:pPr>
      <w:rPr>
        <w:rFonts w:hint="default"/>
        <w:lang w:val="zh-CN" w:eastAsia="zh-CN" w:bidi="zh-CN"/>
      </w:rPr>
    </w:lvl>
    <w:lvl w:ilvl="7">
      <w:start w:val="0"/>
      <w:numFmt w:val="bullet"/>
      <w:lvlText w:val="•"/>
      <w:lvlJc w:val="left"/>
      <w:pPr>
        <w:ind w:left="6203" w:hanging="601"/>
      </w:pPr>
      <w:rPr>
        <w:rFonts w:hint="default"/>
        <w:lang w:val="zh-CN" w:eastAsia="zh-CN" w:bidi="zh-CN"/>
      </w:rPr>
    </w:lvl>
    <w:lvl w:ilvl="8">
      <w:start w:val="0"/>
      <w:numFmt w:val="bullet"/>
      <w:lvlText w:val="•"/>
      <w:lvlJc w:val="left"/>
      <w:pPr>
        <w:ind w:left="6918" w:hanging="601"/>
      </w:pPr>
      <w:rPr>
        <w:rFonts w:hint="default"/>
        <w:lang w:val="zh-CN" w:eastAsia="zh-CN" w:bidi="zh-CN"/>
      </w:rPr>
    </w:lvl>
  </w:abstractNum>
  <w:abstractNum w:abstractNumId="24">
    <w:nsid w:val="4E8B7568"/>
    <w:multiLevelType w:val="hybridMultilevel"/>
    <w:tmpl w:val="00000000"/>
    <w:lvl w:ilvl="0">
      <w:start w:val="1"/>
      <w:numFmt w:val="decimal"/>
      <w:lvlText w:val="（%1）"/>
      <w:lvlJc w:val="left"/>
      <w:pPr>
        <w:ind w:left="2069"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2165"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2982" w:hanging="601"/>
      </w:pPr>
      <w:rPr>
        <w:rFonts w:hint="default"/>
        <w:lang w:val="zh-CN" w:eastAsia="zh-CN" w:bidi="zh-CN"/>
      </w:rPr>
    </w:lvl>
    <w:lvl w:ilvl="3">
      <w:start w:val="0"/>
      <w:numFmt w:val="bullet"/>
      <w:lvlText w:val="•"/>
      <w:lvlJc w:val="left"/>
      <w:pPr>
        <w:ind w:left="3805" w:hanging="601"/>
      </w:pPr>
      <w:rPr>
        <w:rFonts w:hint="default"/>
        <w:lang w:val="zh-CN" w:eastAsia="zh-CN" w:bidi="zh-CN"/>
      </w:rPr>
    </w:lvl>
    <w:lvl w:ilvl="4">
      <w:start w:val="0"/>
      <w:numFmt w:val="bullet"/>
      <w:lvlText w:val="•"/>
      <w:lvlJc w:val="left"/>
      <w:pPr>
        <w:ind w:left="4628" w:hanging="601"/>
      </w:pPr>
      <w:rPr>
        <w:rFonts w:hint="default"/>
        <w:lang w:val="zh-CN" w:eastAsia="zh-CN" w:bidi="zh-CN"/>
      </w:rPr>
    </w:lvl>
    <w:lvl w:ilvl="5">
      <w:start w:val="0"/>
      <w:numFmt w:val="bullet"/>
      <w:lvlText w:val="•"/>
      <w:lvlJc w:val="left"/>
      <w:pPr>
        <w:ind w:left="5451" w:hanging="601"/>
      </w:pPr>
      <w:rPr>
        <w:rFonts w:hint="default"/>
        <w:lang w:val="zh-CN" w:eastAsia="zh-CN" w:bidi="zh-CN"/>
      </w:rPr>
    </w:lvl>
    <w:lvl w:ilvl="6">
      <w:start w:val="0"/>
      <w:numFmt w:val="bullet"/>
      <w:lvlText w:val="•"/>
      <w:lvlJc w:val="left"/>
      <w:pPr>
        <w:ind w:left="6274" w:hanging="601"/>
      </w:pPr>
      <w:rPr>
        <w:rFonts w:hint="default"/>
        <w:lang w:val="zh-CN" w:eastAsia="zh-CN" w:bidi="zh-CN"/>
      </w:rPr>
    </w:lvl>
    <w:lvl w:ilvl="7">
      <w:start w:val="0"/>
      <w:numFmt w:val="bullet"/>
      <w:lvlText w:val="•"/>
      <w:lvlJc w:val="left"/>
      <w:pPr>
        <w:ind w:left="7097" w:hanging="601"/>
      </w:pPr>
      <w:rPr>
        <w:rFonts w:hint="default"/>
        <w:lang w:val="zh-CN" w:eastAsia="zh-CN" w:bidi="zh-CN"/>
      </w:rPr>
    </w:lvl>
    <w:lvl w:ilvl="8">
      <w:start w:val="0"/>
      <w:numFmt w:val="bullet"/>
      <w:lvlText w:val="•"/>
      <w:lvlJc w:val="left"/>
      <w:pPr>
        <w:ind w:left="7920" w:hanging="601"/>
      </w:pPr>
      <w:rPr>
        <w:rFonts w:hint="default"/>
        <w:lang w:val="zh-CN" w:eastAsia="zh-CN" w:bidi="zh-CN"/>
      </w:rPr>
    </w:lvl>
  </w:abstractNum>
  <w:abstractNum w:abstractNumId="25">
    <w:nsid w:val="509AD702"/>
    <w:multiLevelType w:val="hybridMultilevel"/>
    <w:tmpl w:val="00000000"/>
    <w:lvl w:ilvl="0">
      <w:start w:val="1"/>
      <w:numFmt w:val="decimal"/>
      <w:lvlText w:val="（%1）"/>
      <w:lvlJc w:val="left"/>
      <w:pPr>
        <w:ind w:left="677" w:hanging="564"/>
        <w:jc w:val="left"/>
      </w:pPr>
      <w:rPr>
        <w:rFonts w:ascii="宋体" w:eastAsia="宋体" w:hAnsi="宋体" w:cs="宋体" w:hint="default"/>
        <w:spacing w:val="8"/>
        <w:w w:val="99"/>
        <w:sz w:val="19"/>
        <w:szCs w:val="19"/>
        <w:lang w:val="zh-CN" w:eastAsia="zh-CN" w:bidi="zh-CN"/>
      </w:rPr>
    </w:lvl>
    <w:lvl w:ilvl="1">
      <w:start w:val="0"/>
      <w:numFmt w:val="bullet"/>
      <w:lvlText w:val="•"/>
      <w:lvlJc w:val="left"/>
      <w:pPr>
        <w:ind w:left="1060" w:hanging="564"/>
      </w:pPr>
      <w:rPr>
        <w:rFonts w:hint="default"/>
        <w:lang w:val="zh-CN" w:eastAsia="zh-CN" w:bidi="zh-CN"/>
      </w:rPr>
    </w:lvl>
    <w:lvl w:ilvl="2">
      <w:start w:val="0"/>
      <w:numFmt w:val="bullet"/>
      <w:lvlText w:val="•"/>
      <w:lvlJc w:val="left"/>
      <w:pPr>
        <w:ind w:left="1440" w:hanging="564"/>
      </w:pPr>
      <w:rPr>
        <w:rFonts w:hint="default"/>
        <w:lang w:val="zh-CN" w:eastAsia="zh-CN" w:bidi="zh-CN"/>
      </w:rPr>
    </w:lvl>
    <w:lvl w:ilvl="3">
      <w:start w:val="0"/>
      <w:numFmt w:val="bullet"/>
      <w:lvlText w:val="•"/>
      <w:lvlJc w:val="left"/>
      <w:pPr>
        <w:ind w:left="1820" w:hanging="564"/>
      </w:pPr>
      <w:rPr>
        <w:rFonts w:hint="default"/>
        <w:lang w:val="zh-CN" w:eastAsia="zh-CN" w:bidi="zh-CN"/>
      </w:rPr>
    </w:lvl>
    <w:lvl w:ilvl="4">
      <w:start w:val="0"/>
      <w:numFmt w:val="bullet"/>
      <w:lvlText w:val="•"/>
      <w:lvlJc w:val="left"/>
      <w:pPr>
        <w:ind w:left="2200" w:hanging="564"/>
      </w:pPr>
      <w:rPr>
        <w:rFonts w:hint="default"/>
        <w:lang w:val="zh-CN" w:eastAsia="zh-CN" w:bidi="zh-CN"/>
      </w:rPr>
    </w:lvl>
    <w:lvl w:ilvl="5">
      <w:start w:val="0"/>
      <w:numFmt w:val="bullet"/>
      <w:lvlText w:val="•"/>
      <w:lvlJc w:val="left"/>
      <w:pPr>
        <w:ind w:left="2580" w:hanging="564"/>
      </w:pPr>
      <w:rPr>
        <w:rFonts w:hint="default"/>
        <w:lang w:val="zh-CN" w:eastAsia="zh-CN" w:bidi="zh-CN"/>
      </w:rPr>
    </w:lvl>
    <w:lvl w:ilvl="6">
      <w:start w:val="0"/>
      <w:numFmt w:val="bullet"/>
      <w:lvlText w:val="•"/>
      <w:lvlJc w:val="left"/>
      <w:pPr>
        <w:ind w:left="2960" w:hanging="564"/>
      </w:pPr>
      <w:rPr>
        <w:rFonts w:hint="default"/>
        <w:lang w:val="zh-CN" w:eastAsia="zh-CN" w:bidi="zh-CN"/>
      </w:rPr>
    </w:lvl>
    <w:lvl w:ilvl="7">
      <w:start w:val="0"/>
      <w:numFmt w:val="bullet"/>
      <w:lvlText w:val="•"/>
      <w:lvlJc w:val="left"/>
      <w:pPr>
        <w:ind w:left="3340" w:hanging="564"/>
      </w:pPr>
      <w:rPr>
        <w:rFonts w:hint="default"/>
        <w:lang w:val="zh-CN" w:eastAsia="zh-CN" w:bidi="zh-CN"/>
      </w:rPr>
    </w:lvl>
    <w:lvl w:ilvl="8">
      <w:start w:val="0"/>
      <w:numFmt w:val="bullet"/>
      <w:lvlText w:val="•"/>
      <w:lvlJc w:val="left"/>
      <w:pPr>
        <w:ind w:left="3720" w:hanging="564"/>
      </w:pPr>
      <w:rPr>
        <w:rFonts w:hint="default"/>
        <w:lang w:val="zh-CN" w:eastAsia="zh-CN" w:bidi="zh-CN"/>
      </w:rPr>
    </w:lvl>
  </w:abstractNum>
  <w:abstractNum w:abstractNumId="26">
    <w:nsid w:val="51EC5D18"/>
    <w:multiLevelType w:val="hybridMultilevel"/>
    <w:tmpl w:val="00000000"/>
    <w:lvl w:ilvl="0">
      <w:start w:val="1"/>
      <w:numFmt w:val="decimal"/>
      <w:lvlText w:val="%1."/>
      <w:lvlJc w:val="left"/>
      <w:pPr>
        <w:ind w:left="112" w:hanging="212"/>
        <w:jc w:val="left"/>
      </w:pPr>
      <w:rPr>
        <w:rFonts w:ascii="宋体" w:eastAsia="宋体" w:hAnsi="宋体" w:cs="宋体" w:hint="default"/>
        <w:color w:val="FF0000"/>
        <w:spacing w:val="-2"/>
        <w:w w:val="99"/>
        <w:sz w:val="19"/>
        <w:szCs w:val="19"/>
        <w:lang w:val="zh-CN" w:eastAsia="zh-CN" w:bidi="zh-CN"/>
      </w:rPr>
    </w:lvl>
    <w:lvl w:ilvl="1">
      <w:start w:val="0"/>
      <w:numFmt w:val="bullet"/>
      <w:lvlText w:val="•"/>
      <w:lvlJc w:val="left"/>
      <w:pPr>
        <w:ind w:left="634" w:hanging="212"/>
      </w:pPr>
      <w:rPr>
        <w:rFonts w:hint="default"/>
        <w:lang w:val="zh-CN" w:eastAsia="zh-CN" w:bidi="zh-CN"/>
      </w:rPr>
    </w:lvl>
    <w:lvl w:ilvl="2">
      <w:start w:val="0"/>
      <w:numFmt w:val="bullet"/>
      <w:lvlText w:val="•"/>
      <w:lvlJc w:val="left"/>
      <w:pPr>
        <w:ind w:left="1149" w:hanging="212"/>
      </w:pPr>
      <w:rPr>
        <w:rFonts w:hint="default"/>
        <w:lang w:val="zh-CN" w:eastAsia="zh-CN" w:bidi="zh-CN"/>
      </w:rPr>
    </w:lvl>
    <w:lvl w:ilvl="3">
      <w:start w:val="0"/>
      <w:numFmt w:val="bullet"/>
      <w:lvlText w:val="•"/>
      <w:lvlJc w:val="left"/>
      <w:pPr>
        <w:ind w:left="1664" w:hanging="212"/>
      </w:pPr>
      <w:rPr>
        <w:rFonts w:hint="default"/>
        <w:lang w:val="zh-CN" w:eastAsia="zh-CN" w:bidi="zh-CN"/>
      </w:rPr>
    </w:lvl>
    <w:lvl w:ilvl="4">
      <w:start w:val="0"/>
      <w:numFmt w:val="bullet"/>
      <w:lvlText w:val="•"/>
      <w:lvlJc w:val="left"/>
      <w:pPr>
        <w:ind w:left="2179" w:hanging="212"/>
      </w:pPr>
      <w:rPr>
        <w:rFonts w:hint="default"/>
        <w:lang w:val="zh-CN" w:eastAsia="zh-CN" w:bidi="zh-CN"/>
      </w:rPr>
    </w:lvl>
    <w:lvl w:ilvl="5">
      <w:start w:val="0"/>
      <w:numFmt w:val="bullet"/>
      <w:lvlText w:val="•"/>
      <w:lvlJc w:val="left"/>
      <w:pPr>
        <w:ind w:left="2694" w:hanging="212"/>
      </w:pPr>
      <w:rPr>
        <w:rFonts w:hint="default"/>
        <w:lang w:val="zh-CN" w:eastAsia="zh-CN" w:bidi="zh-CN"/>
      </w:rPr>
    </w:lvl>
    <w:lvl w:ilvl="6">
      <w:start w:val="0"/>
      <w:numFmt w:val="bullet"/>
      <w:lvlText w:val="•"/>
      <w:lvlJc w:val="left"/>
      <w:pPr>
        <w:ind w:left="3208" w:hanging="212"/>
      </w:pPr>
      <w:rPr>
        <w:rFonts w:hint="default"/>
        <w:lang w:val="zh-CN" w:eastAsia="zh-CN" w:bidi="zh-CN"/>
      </w:rPr>
    </w:lvl>
    <w:lvl w:ilvl="7">
      <w:start w:val="0"/>
      <w:numFmt w:val="bullet"/>
      <w:lvlText w:val="•"/>
      <w:lvlJc w:val="left"/>
      <w:pPr>
        <w:ind w:left="3723" w:hanging="212"/>
      </w:pPr>
      <w:rPr>
        <w:rFonts w:hint="default"/>
        <w:lang w:val="zh-CN" w:eastAsia="zh-CN" w:bidi="zh-CN"/>
      </w:rPr>
    </w:lvl>
    <w:lvl w:ilvl="8">
      <w:start w:val="0"/>
      <w:numFmt w:val="bullet"/>
      <w:lvlText w:val="•"/>
      <w:lvlJc w:val="left"/>
      <w:pPr>
        <w:ind w:left="4238" w:hanging="212"/>
      </w:pPr>
      <w:rPr>
        <w:rFonts w:hint="default"/>
        <w:lang w:val="zh-CN" w:eastAsia="zh-CN" w:bidi="zh-CN"/>
      </w:rPr>
    </w:lvl>
  </w:abstractNum>
  <w:abstractNum w:abstractNumId="27">
    <w:nsid w:val="52CEA28E"/>
    <w:multiLevelType w:val="hybridMultilevel"/>
    <w:tmpl w:val="00000000"/>
    <w:lvl w:ilvl="0">
      <w:start w:val="2"/>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20" w:hanging="601"/>
      </w:pPr>
      <w:rPr>
        <w:rFonts w:hint="default"/>
        <w:lang w:val="zh-CN" w:eastAsia="zh-CN" w:bidi="zh-CN"/>
      </w:rPr>
    </w:lvl>
    <w:lvl w:ilvl="2">
      <w:start w:val="0"/>
      <w:numFmt w:val="bullet"/>
      <w:lvlText w:val="•"/>
      <w:lvlJc w:val="left"/>
      <w:pPr>
        <w:ind w:left="2641" w:hanging="601"/>
      </w:pPr>
      <w:rPr>
        <w:rFonts w:hint="default"/>
        <w:lang w:val="zh-CN" w:eastAsia="zh-CN" w:bidi="zh-CN"/>
      </w:rPr>
    </w:lvl>
    <w:lvl w:ilvl="3">
      <w:start w:val="0"/>
      <w:numFmt w:val="bullet"/>
      <w:lvlText w:val="•"/>
      <w:lvlJc w:val="left"/>
      <w:pPr>
        <w:ind w:left="3362" w:hanging="601"/>
      </w:pPr>
      <w:rPr>
        <w:rFonts w:hint="default"/>
        <w:lang w:val="zh-CN" w:eastAsia="zh-CN" w:bidi="zh-CN"/>
      </w:rPr>
    </w:lvl>
    <w:lvl w:ilvl="4">
      <w:start w:val="0"/>
      <w:numFmt w:val="bullet"/>
      <w:lvlText w:val="•"/>
      <w:lvlJc w:val="left"/>
      <w:pPr>
        <w:ind w:left="4083" w:hanging="601"/>
      </w:pPr>
      <w:rPr>
        <w:rFonts w:hint="default"/>
        <w:lang w:val="zh-CN" w:eastAsia="zh-CN" w:bidi="zh-CN"/>
      </w:rPr>
    </w:lvl>
    <w:lvl w:ilvl="5">
      <w:start w:val="0"/>
      <w:numFmt w:val="bullet"/>
      <w:lvlText w:val="•"/>
      <w:lvlJc w:val="left"/>
      <w:pPr>
        <w:ind w:left="4804" w:hanging="601"/>
      </w:pPr>
      <w:rPr>
        <w:rFonts w:hint="default"/>
        <w:lang w:val="zh-CN" w:eastAsia="zh-CN" w:bidi="zh-CN"/>
      </w:rPr>
    </w:lvl>
    <w:lvl w:ilvl="6">
      <w:start w:val="0"/>
      <w:numFmt w:val="bullet"/>
      <w:lvlText w:val="•"/>
      <w:lvlJc w:val="left"/>
      <w:pPr>
        <w:ind w:left="5525" w:hanging="601"/>
      </w:pPr>
      <w:rPr>
        <w:rFonts w:hint="default"/>
        <w:lang w:val="zh-CN" w:eastAsia="zh-CN" w:bidi="zh-CN"/>
      </w:rPr>
    </w:lvl>
    <w:lvl w:ilvl="7">
      <w:start w:val="0"/>
      <w:numFmt w:val="bullet"/>
      <w:lvlText w:val="•"/>
      <w:lvlJc w:val="left"/>
      <w:pPr>
        <w:ind w:left="6246" w:hanging="601"/>
      </w:pPr>
      <w:rPr>
        <w:rFonts w:hint="default"/>
        <w:lang w:val="zh-CN" w:eastAsia="zh-CN" w:bidi="zh-CN"/>
      </w:rPr>
    </w:lvl>
    <w:lvl w:ilvl="8">
      <w:start w:val="0"/>
      <w:numFmt w:val="bullet"/>
      <w:lvlText w:val="•"/>
      <w:lvlJc w:val="left"/>
      <w:pPr>
        <w:ind w:left="6967" w:hanging="601"/>
      </w:pPr>
      <w:rPr>
        <w:rFonts w:hint="default"/>
        <w:lang w:val="zh-CN" w:eastAsia="zh-CN" w:bidi="zh-CN"/>
      </w:rPr>
    </w:lvl>
  </w:abstractNum>
  <w:abstractNum w:abstractNumId="28">
    <w:nsid w:val="5414F52C"/>
    <w:multiLevelType w:val="hybridMultilevel"/>
    <w:tmpl w:val="00000000"/>
    <w:lvl w:ilvl="0">
      <w:start w:val="3"/>
      <w:numFmt w:val="decimal"/>
      <w:lvlText w:val="%1."/>
      <w:lvlJc w:val="left"/>
      <w:pPr>
        <w:ind w:left="113"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389" w:hanging="159"/>
      </w:pPr>
      <w:rPr>
        <w:rFonts w:hint="default"/>
        <w:lang w:val="zh-CN" w:eastAsia="zh-CN" w:bidi="zh-CN"/>
      </w:rPr>
    </w:lvl>
    <w:lvl w:ilvl="2">
      <w:start w:val="0"/>
      <w:numFmt w:val="bullet"/>
      <w:lvlText w:val="•"/>
      <w:lvlJc w:val="left"/>
      <w:pPr>
        <w:ind w:left="659" w:hanging="159"/>
      </w:pPr>
      <w:rPr>
        <w:rFonts w:hint="default"/>
        <w:lang w:val="zh-CN" w:eastAsia="zh-CN" w:bidi="zh-CN"/>
      </w:rPr>
    </w:lvl>
    <w:lvl w:ilvl="3">
      <w:start w:val="0"/>
      <w:numFmt w:val="bullet"/>
      <w:lvlText w:val="•"/>
      <w:lvlJc w:val="left"/>
      <w:pPr>
        <w:ind w:left="929" w:hanging="159"/>
      </w:pPr>
      <w:rPr>
        <w:rFonts w:hint="default"/>
        <w:lang w:val="zh-CN" w:eastAsia="zh-CN" w:bidi="zh-CN"/>
      </w:rPr>
    </w:lvl>
    <w:lvl w:ilvl="4">
      <w:start w:val="0"/>
      <w:numFmt w:val="bullet"/>
      <w:lvlText w:val="•"/>
      <w:lvlJc w:val="left"/>
      <w:pPr>
        <w:ind w:left="1199" w:hanging="159"/>
      </w:pPr>
      <w:rPr>
        <w:rFonts w:hint="default"/>
        <w:lang w:val="zh-CN" w:eastAsia="zh-CN" w:bidi="zh-CN"/>
      </w:rPr>
    </w:lvl>
    <w:lvl w:ilvl="5">
      <w:start w:val="0"/>
      <w:numFmt w:val="bullet"/>
      <w:lvlText w:val="•"/>
      <w:lvlJc w:val="left"/>
      <w:pPr>
        <w:ind w:left="1469" w:hanging="159"/>
      </w:pPr>
      <w:rPr>
        <w:rFonts w:hint="default"/>
        <w:lang w:val="zh-CN" w:eastAsia="zh-CN" w:bidi="zh-CN"/>
      </w:rPr>
    </w:lvl>
    <w:lvl w:ilvl="6">
      <w:start w:val="0"/>
      <w:numFmt w:val="bullet"/>
      <w:lvlText w:val="•"/>
      <w:lvlJc w:val="left"/>
      <w:pPr>
        <w:ind w:left="1738" w:hanging="159"/>
      </w:pPr>
      <w:rPr>
        <w:rFonts w:hint="default"/>
        <w:lang w:val="zh-CN" w:eastAsia="zh-CN" w:bidi="zh-CN"/>
      </w:rPr>
    </w:lvl>
    <w:lvl w:ilvl="7">
      <w:start w:val="0"/>
      <w:numFmt w:val="bullet"/>
      <w:lvlText w:val="•"/>
      <w:lvlJc w:val="left"/>
      <w:pPr>
        <w:ind w:left="2008" w:hanging="159"/>
      </w:pPr>
      <w:rPr>
        <w:rFonts w:hint="default"/>
        <w:lang w:val="zh-CN" w:eastAsia="zh-CN" w:bidi="zh-CN"/>
      </w:rPr>
    </w:lvl>
    <w:lvl w:ilvl="8">
      <w:start w:val="0"/>
      <w:numFmt w:val="bullet"/>
      <w:lvlText w:val="•"/>
      <w:lvlJc w:val="left"/>
      <w:pPr>
        <w:ind w:left="2278" w:hanging="159"/>
      </w:pPr>
      <w:rPr>
        <w:rFonts w:hint="default"/>
        <w:lang w:val="zh-CN" w:eastAsia="zh-CN" w:bidi="zh-CN"/>
      </w:rPr>
    </w:lvl>
  </w:abstractNum>
  <w:abstractNum w:abstractNumId="29">
    <w:nsid w:val="5626B3EA"/>
    <w:multiLevelType w:val="hybridMultilevel"/>
    <w:tmpl w:val="00000000"/>
    <w:lvl w:ilvl="0">
      <w:start w:val="5"/>
      <w:numFmt w:val="decimal"/>
      <w:lvlText w:val="（%1）"/>
      <w:lvlJc w:val="left"/>
      <w:pPr>
        <w:ind w:left="119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24" w:hanging="601"/>
      </w:pPr>
      <w:rPr>
        <w:rFonts w:hint="default"/>
        <w:lang w:val="zh-CN" w:eastAsia="zh-CN" w:bidi="zh-CN"/>
      </w:rPr>
    </w:lvl>
    <w:lvl w:ilvl="2">
      <w:start w:val="0"/>
      <w:numFmt w:val="bullet"/>
      <w:lvlText w:val="•"/>
      <w:lvlJc w:val="left"/>
      <w:pPr>
        <w:ind w:left="2648" w:hanging="601"/>
      </w:pPr>
      <w:rPr>
        <w:rFonts w:hint="default"/>
        <w:lang w:val="zh-CN" w:eastAsia="zh-CN" w:bidi="zh-CN"/>
      </w:rPr>
    </w:lvl>
    <w:lvl w:ilvl="3">
      <w:start w:val="0"/>
      <w:numFmt w:val="bullet"/>
      <w:lvlText w:val="•"/>
      <w:lvlJc w:val="left"/>
      <w:pPr>
        <w:ind w:left="3372" w:hanging="601"/>
      </w:pPr>
      <w:rPr>
        <w:rFonts w:hint="default"/>
        <w:lang w:val="zh-CN" w:eastAsia="zh-CN" w:bidi="zh-CN"/>
      </w:rPr>
    </w:lvl>
    <w:lvl w:ilvl="4">
      <w:start w:val="0"/>
      <w:numFmt w:val="bullet"/>
      <w:lvlText w:val="•"/>
      <w:lvlJc w:val="left"/>
      <w:pPr>
        <w:ind w:left="4096" w:hanging="601"/>
      </w:pPr>
      <w:rPr>
        <w:rFonts w:hint="default"/>
        <w:lang w:val="zh-CN" w:eastAsia="zh-CN" w:bidi="zh-CN"/>
      </w:rPr>
    </w:lvl>
    <w:lvl w:ilvl="5">
      <w:start w:val="0"/>
      <w:numFmt w:val="bullet"/>
      <w:lvlText w:val="•"/>
      <w:lvlJc w:val="left"/>
      <w:pPr>
        <w:ind w:left="4821" w:hanging="601"/>
      </w:pPr>
      <w:rPr>
        <w:rFonts w:hint="default"/>
        <w:lang w:val="zh-CN" w:eastAsia="zh-CN" w:bidi="zh-CN"/>
      </w:rPr>
    </w:lvl>
    <w:lvl w:ilvl="6">
      <w:start w:val="0"/>
      <w:numFmt w:val="bullet"/>
      <w:lvlText w:val="•"/>
      <w:lvlJc w:val="left"/>
      <w:pPr>
        <w:ind w:left="5545" w:hanging="601"/>
      </w:pPr>
      <w:rPr>
        <w:rFonts w:hint="default"/>
        <w:lang w:val="zh-CN" w:eastAsia="zh-CN" w:bidi="zh-CN"/>
      </w:rPr>
    </w:lvl>
    <w:lvl w:ilvl="7">
      <w:start w:val="0"/>
      <w:numFmt w:val="bullet"/>
      <w:lvlText w:val="•"/>
      <w:lvlJc w:val="left"/>
      <w:pPr>
        <w:ind w:left="6269" w:hanging="601"/>
      </w:pPr>
      <w:rPr>
        <w:rFonts w:hint="default"/>
        <w:lang w:val="zh-CN" w:eastAsia="zh-CN" w:bidi="zh-CN"/>
      </w:rPr>
    </w:lvl>
    <w:lvl w:ilvl="8">
      <w:start w:val="0"/>
      <w:numFmt w:val="bullet"/>
      <w:lvlText w:val="•"/>
      <w:lvlJc w:val="left"/>
      <w:pPr>
        <w:ind w:left="6993" w:hanging="601"/>
      </w:pPr>
      <w:rPr>
        <w:rFonts w:hint="default"/>
        <w:lang w:val="zh-CN" w:eastAsia="zh-CN" w:bidi="zh-CN"/>
      </w:rPr>
    </w:lvl>
  </w:abstractNum>
  <w:abstractNum w:abstractNumId="30">
    <w:nsid w:val="5C40C822"/>
    <w:multiLevelType w:val="hybridMultilevel"/>
    <w:tmpl w:val="00000000"/>
    <w:lvl w:ilvl="0">
      <w:start w:val="2"/>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14" w:hanging="601"/>
      </w:pPr>
      <w:rPr>
        <w:rFonts w:hint="default"/>
        <w:lang w:val="zh-CN" w:eastAsia="zh-CN" w:bidi="zh-CN"/>
      </w:rPr>
    </w:lvl>
    <w:lvl w:ilvl="2">
      <w:start w:val="0"/>
      <w:numFmt w:val="bullet"/>
      <w:lvlText w:val="•"/>
      <w:lvlJc w:val="left"/>
      <w:pPr>
        <w:ind w:left="2629" w:hanging="601"/>
      </w:pPr>
      <w:rPr>
        <w:rFonts w:hint="default"/>
        <w:lang w:val="zh-CN" w:eastAsia="zh-CN" w:bidi="zh-CN"/>
      </w:rPr>
    </w:lvl>
    <w:lvl w:ilvl="3">
      <w:start w:val="0"/>
      <w:numFmt w:val="bullet"/>
      <w:lvlText w:val="•"/>
      <w:lvlJc w:val="left"/>
      <w:pPr>
        <w:ind w:left="3344" w:hanging="601"/>
      </w:pPr>
      <w:rPr>
        <w:rFonts w:hint="default"/>
        <w:lang w:val="zh-CN" w:eastAsia="zh-CN" w:bidi="zh-CN"/>
      </w:rPr>
    </w:lvl>
    <w:lvl w:ilvl="4">
      <w:start w:val="0"/>
      <w:numFmt w:val="bullet"/>
      <w:lvlText w:val="•"/>
      <w:lvlJc w:val="left"/>
      <w:pPr>
        <w:ind w:left="4059" w:hanging="601"/>
      </w:pPr>
      <w:rPr>
        <w:rFonts w:hint="default"/>
        <w:lang w:val="zh-CN" w:eastAsia="zh-CN" w:bidi="zh-CN"/>
      </w:rPr>
    </w:lvl>
    <w:lvl w:ilvl="5">
      <w:start w:val="0"/>
      <w:numFmt w:val="bullet"/>
      <w:lvlText w:val="•"/>
      <w:lvlJc w:val="left"/>
      <w:pPr>
        <w:ind w:left="4774" w:hanging="601"/>
      </w:pPr>
      <w:rPr>
        <w:rFonts w:hint="default"/>
        <w:lang w:val="zh-CN" w:eastAsia="zh-CN" w:bidi="zh-CN"/>
      </w:rPr>
    </w:lvl>
    <w:lvl w:ilvl="6">
      <w:start w:val="0"/>
      <w:numFmt w:val="bullet"/>
      <w:lvlText w:val="•"/>
      <w:lvlJc w:val="left"/>
      <w:pPr>
        <w:ind w:left="5488" w:hanging="601"/>
      </w:pPr>
      <w:rPr>
        <w:rFonts w:hint="default"/>
        <w:lang w:val="zh-CN" w:eastAsia="zh-CN" w:bidi="zh-CN"/>
      </w:rPr>
    </w:lvl>
    <w:lvl w:ilvl="7">
      <w:start w:val="0"/>
      <w:numFmt w:val="bullet"/>
      <w:lvlText w:val="•"/>
      <w:lvlJc w:val="left"/>
      <w:pPr>
        <w:ind w:left="6203" w:hanging="601"/>
      </w:pPr>
      <w:rPr>
        <w:rFonts w:hint="default"/>
        <w:lang w:val="zh-CN" w:eastAsia="zh-CN" w:bidi="zh-CN"/>
      </w:rPr>
    </w:lvl>
    <w:lvl w:ilvl="8">
      <w:start w:val="0"/>
      <w:numFmt w:val="bullet"/>
      <w:lvlText w:val="•"/>
      <w:lvlJc w:val="left"/>
      <w:pPr>
        <w:ind w:left="6918" w:hanging="601"/>
      </w:pPr>
      <w:rPr>
        <w:rFonts w:hint="default"/>
        <w:lang w:val="zh-CN" w:eastAsia="zh-CN" w:bidi="zh-CN"/>
      </w:rPr>
    </w:lvl>
  </w:abstractNum>
  <w:abstractNum w:abstractNumId="31">
    <w:nsid w:val="5CA00FD2"/>
    <w:multiLevelType w:val="hybridMultilevel"/>
    <w:tmpl w:val="00000000"/>
    <w:lvl w:ilvl="0">
      <w:start w:val="2"/>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20" w:hanging="601"/>
      </w:pPr>
      <w:rPr>
        <w:rFonts w:hint="default"/>
        <w:lang w:val="zh-CN" w:eastAsia="zh-CN" w:bidi="zh-CN"/>
      </w:rPr>
    </w:lvl>
    <w:lvl w:ilvl="2">
      <w:start w:val="0"/>
      <w:numFmt w:val="bullet"/>
      <w:lvlText w:val="•"/>
      <w:lvlJc w:val="left"/>
      <w:pPr>
        <w:ind w:left="2641" w:hanging="601"/>
      </w:pPr>
      <w:rPr>
        <w:rFonts w:hint="default"/>
        <w:lang w:val="zh-CN" w:eastAsia="zh-CN" w:bidi="zh-CN"/>
      </w:rPr>
    </w:lvl>
    <w:lvl w:ilvl="3">
      <w:start w:val="0"/>
      <w:numFmt w:val="bullet"/>
      <w:lvlText w:val="•"/>
      <w:lvlJc w:val="left"/>
      <w:pPr>
        <w:ind w:left="3362" w:hanging="601"/>
      </w:pPr>
      <w:rPr>
        <w:rFonts w:hint="default"/>
        <w:lang w:val="zh-CN" w:eastAsia="zh-CN" w:bidi="zh-CN"/>
      </w:rPr>
    </w:lvl>
    <w:lvl w:ilvl="4">
      <w:start w:val="0"/>
      <w:numFmt w:val="bullet"/>
      <w:lvlText w:val="•"/>
      <w:lvlJc w:val="left"/>
      <w:pPr>
        <w:ind w:left="4083" w:hanging="601"/>
      </w:pPr>
      <w:rPr>
        <w:rFonts w:hint="default"/>
        <w:lang w:val="zh-CN" w:eastAsia="zh-CN" w:bidi="zh-CN"/>
      </w:rPr>
    </w:lvl>
    <w:lvl w:ilvl="5">
      <w:start w:val="0"/>
      <w:numFmt w:val="bullet"/>
      <w:lvlText w:val="•"/>
      <w:lvlJc w:val="left"/>
      <w:pPr>
        <w:ind w:left="4804" w:hanging="601"/>
      </w:pPr>
      <w:rPr>
        <w:rFonts w:hint="default"/>
        <w:lang w:val="zh-CN" w:eastAsia="zh-CN" w:bidi="zh-CN"/>
      </w:rPr>
    </w:lvl>
    <w:lvl w:ilvl="6">
      <w:start w:val="0"/>
      <w:numFmt w:val="bullet"/>
      <w:lvlText w:val="•"/>
      <w:lvlJc w:val="left"/>
      <w:pPr>
        <w:ind w:left="5525" w:hanging="601"/>
      </w:pPr>
      <w:rPr>
        <w:rFonts w:hint="default"/>
        <w:lang w:val="zh-CN" w:eastAsia="zh-CN" w:bidi="zh-CN"/>
      </w:rPr>
    </w:lvl>
    <w:lvl w:ilvl="7">
      <w:start w:val="0"/>
      <w:numFmt w:val="bullet"/>
      <w:lvlText w:val="•"/>
      <w:lvlJc w:val="left"/>
      <w:pPr>
        <w:ind w:left="6246" w:hanging="601"/>
      </w:pPr>
      <w:rPr>
        <w:rFonts w:hint="default"/>
        <w:lang w:val="zh-CN" w:eastAsia="zh-CN" w:bidi="zh-CN"/>
      </w:rPr>
    </w:lvl>
    <w:lvl w:ilvl="8">
      <w:start w:val="0"/>
      <w:numFmt w:val="bullet"/>
      <w:lvlText w:val="•"/>
      <w:lvlJc w:val="left"/>
      <w:pPr>
        <w:ind w:left="6967" w:hanging="601"/>
      </w:pPr>
      <w:rPr>
        <w:rFonts w:hint="default"/>
        <w:lang w:val="zh-CN" w:eastAsia="zh-CN" w:bidi="zh-CN"/>
      </w:rPr>
    </w:lvl>
  </w:abstractNum>
  <w:abstractNum w:abstractNumId="32">
    <w:nsid w:val="62C9CB72"/>
    <w:multiLevelType w:val="hybridMultilevel"/>
    <w:tmpl w:val="00000000"/>
    <w:lvl w:ilvl="0">
      <w:start w:val="1"/>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36" w:hanging="159"/>
      </w:pPr>
      <w:rPr>
        <w:rFonts w:hint="default"/>
        <w:lang w:val="zh-CN" w:eastAsia="zh-CN" w:bidi="zh-CN"/>
      </w:rPr>
    </w:lvl>
    <w:lvl w:ilvl="2">
      <w:start w:val="0"/>
      <w:numFmt w:val="bullet"/>
      <w:lvlText w:val="•"/>
      <w:lvlJc w:val="left"/>
      <w:pPr>
        <w:ind w:left="953" w:hanging="159"/>
      </w:pPr>
      <w:rPr>
        <w:rFonts w:hint="default"/>
        <w:lang w:val="zh-CN" w:eastAsia="zh-CN" w:bidi="zh-CN"/>
      </w:rPr>
    </w:lvl>
    <w:lvl w:ilvl="3">
      <w:start w:val="0"/>
      <w:numFmt w:val="bullet"/>
      <w:lvlText w:val="•"/>
      <w:lvlJc w:val="left"/>
      <w:pPr>
        <w:ind w:left="1370" w:hanging="159"/>
      </w:pPr>
      <w:rPr>
        <w:rFonts w:hint="default"/>
        <w:lang w:val="zh-CN" w:eastAsia="zh-CN" w:bidi="zh-CN"/>
      </w:rPr>
    </w:lvl>
    <w:lvl w:ilvl="4">
      <w:start w:val="0"/>
      <w:numFmt w:val="bullet"/>
      <w:lvlText w:val="•"/>
      <w:lvlJc w:val="left"/>
      <w:pPr>
        <w:ind w:left="1787" w:hanging="159"/>
      </w:pPr>
      <w:rPr>
        <w:rFonts w:hint="default"/>
        <w:lang w:val="zh-CN" w:eastAsia="zh-CN" w:bidi="zh-CN"/>
      </w:rPr>
    </w:lvl>
    <w:lvl w:ilvl="5">
      <w:start w:val="0"/>
      <w:numFmt w:val="bullet"/>
      <w:lvlText w:val="•"/>
      <w:lvlJc w:val="left"/>
      <w:pPr>
        <w:ind w:left="2204" w:hanging="159"/>
      </w:pPr>
      <w:rPr>
        <w:rFonts w:hint="default"/>
        <w:lang w:val="zh-CN" w:eastAsia="zh-CN" w:bidi="zh-CN"/>
      </w:rPr>
    </w:lvl>
    <w:lvl w:ilvl="6">
      <w:start w:val="0"/>
      <w:numFmt w:val="bullet"/>
      <w:lvlText w:val="•"/>
      <w:lvlJc w:val="left"/>
      <w:pPr>
        <w:ind w:left="2620" w:hanging="159"/>
      </w:pPr>
      <w:rPr>
        <w:rFonts w:hint="default"/>
        <w:lang w:val="zh-CN" w:eastAsia="zh-CN" w:bidi="zh-CN"/>
      </w:rPr>
    </w:lvl>
    <w:lvl w:ilvl="7">
      <w:start w:val="0"/>
      <w:numFmt w:val="bullet"/>
      <w:lvlText w:val="•"/>
      <w:lvlJc w:val="left"/>
      <w:pPr>
        <w:ind w:left="3037" w:hanging="159"/>
      </w:pPr>
      <w:rPr>
        <w:rFonts w:hint="default"/>
        <w:lang w:val="zh-CN" w:eastAsia="zh-CN" w:bidi="zh-CN"/>
      </w:rPr>
    </w:lvl>
    <w:lvl w:ilvl="8">
      <w:start w:val="0"/>
      <w:numFmt w:val="bullet"/>
      <w:lvlText w:val="•"/>
      <w:lvlJc w:val="left"/>
      <w:pPr>
        <w:ind w:left="3454" w:hanging="159"/>
      </w:pPr>
      <w:rPr>
        <w:rFonts w:hint="default"/>
        <w:lang w:val="zh-CN" w:eastAsia="zh-CN" w:bidi="zh-CN"/>
      </w:rPr>
    </w:lvl>
  </w:abstractNum>
  <w:abstractNum w:abstractNumId="33">
    <w:nsid w:val="65FDE413"/>
    <w:multiLevelType w:val="hybridMultilevel"/>
    <w:tmpl w:val="00000000"/>
    <w:lvl w:ilvl="0">
      <w:start w:val="1"/>
      <w:numFmt w:val="decimal"/>
      <w:lvlText w:val="（%1）"/>
      <w:lvlJc w:val="left"/>
      <w:pPr>
        <w:ind w:left="200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756" w:hanging="601"/>
      </w:pPr>
      <w:rPr>
        <w:rFonts w:hint="default"/>
        <w:lang w:val="zh-CN" w:eastAsia="zh-CN" w:bidi="zh-CN"/>
      </w:rPr>
    </w:lvl>
    <w:lvl w:ilvl="2">
      <w:start w:val="0"/>
      <w:numFmt w:val="bullet"/>
      <w:lvlText w:val="•"/>
      <w:lvlJc w:val="left"/>
      <w:pPr>
        <w:ind w:left="3513" w:hanging="601"/>
      </w:pPr>
      <w:rPr>
        <w:rFonts w:hint="default"/>
        <w:lang w:val="zh-CN" w:eastAsia="zh-CN" w:bidi="zh-CN"/>
      </w:rPr>
    </w:lvl>
    <w:lvl w:ilvl="3">
      <w:start w:val="0"/>
      <w:numFmt w:val="bullet"/>
      <w:lvlText w:val="•"/>
      <w:lvlJc w:val="left"/>
      <w:pPr>
        <w:ind w:left="4269" w:hanging="601"/>
      </w:pPr>
      <w:rPr>
        <w:rFonts w:hint="default"/>
        <w:lang w:val="zh-CN" w:eastAsia="zh-CN" w:bidi="zh-CN"/>
      </w:rPr>
    </w:lvl>
    <w:lvl w:ilvl="4">
      <w:start w:val="0"/>
      <w:numFmt w:val="bullet"/>
      <w:lvlText w:val="•"/>
      <w:lvlJc w:val="left"/>
      <w:pPr>
        <w:ind w:left="5026" w:hanging="601"/>
      </w:pPr>
      <w:rPr>
        <w:rFonts w:hint="default"/>
        <w:lang w:val="zh-CN" w:eastAsia="zh-CN" w:bidi="zh-CN"/>
      </w:rPr>
    </w:lvl>
    <w:lvl w:ilvl="5">
      <w:start w:val="0"/>
      <w:numFmt w:val="bullet"/>
      <w:lvlText w:val="•"/>
      <w:lvlJc w:val="left"/>
      <w:pPr>
        <w:ind w:left="5783" w:hanging="601"/>
      </w:pPr>
      <w:rPr>
        <w:rFonts w:hint="default"/>
        <w:lang w:val="zh-CN" w:eastAsia="zh-CN" w:bidi="zh-CN"/>
      </w:rPr>
    </w:lvl>
    <w:lvl w:ilvl="6">
      <w:start w:val="0"/>
      <w:numFmt w:val="bullet"/>
      <w:lvlText w:val="•"/>
      <w:lvlJc w:val="left"/>
      <w:pPr>
        <w:ind w:left="6539" w:hanging="601"/>
      </w:pPr>
      <w:rPr>
        <w:rFonts w:hint="default"/>
        <w:lang w:val="zh-CN" w:eastAsia="zh-CN" w:bidi="zh-CN"/>
      </w:rPr>
    </w:lvl>
    <w:lvl w:ilvl="7">
      <w:start w:val="0"/>
      <w:numFmt w:val="bullet"/>
      <w:lvlText w:val="•"/>
      <w:lvlJc w:val="left"/>
      <w:pPr>
        <w:ind w:left="7296" w:hanging="601"/>
      </w:pPr>
      <w:rPr>
        <w:rFonts w:hint="default"/>
        <w:lang w:val="zh-CN" w:eastAsia="zh-CN" w:bidi="zh-CN"/>
      </w:rPr>
    </w:lvl>
    <w:lvl w:ilvl="8">
      <w:start w:val="0"/>
      <w:numFmt w:val="bullet"/>
      <w:lvlText w:val="•"/>
      <w:lvlJc w:val="left"/>
      <w:pPr>
        <w:ind w:left="8052" w:hanging="601"/>
      </w:pPr>
      <w:rPr>
        <w:rFonts w:hint="default"/>
        <w:lang w:val="zh-CN" w:eastAsia="zh-CN" w:bidi="zh-CN"/>
      </w:rPr>
    </w:lvl>
  </w:abstractNum>
  <w:abstractNum w:abstractNumId="34">
    <w:nsid w:val="67E50D64"/>
    <w:multiLevelType w:val="hybridMultilevel"/>
    <w:tmpl w:val="00000000"/>
    <w:lvl w:ilvl="0">
      <w:start w:val="2"/>
      <w:numFmt w:val="decimal"/>
      <w:lvlText w:val="（%1）"/>
      <w:lvlJc w:val="left"/>
      <w:pPr>
        <w:ind w:left="217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918" w:hanging="601"/>
      </w:pPr>
      <w:rPr>
        <w:rFonts w:hint="default"/>
        <w:lang w:val="zh-CN" w:eastAsia="zh-CN" w:bidi="zh-CN"/>
      </w:rPr>
    </w:lvl>
    <w:lvl w:ilvl="2">
      <w:start w:val="0"/>
      <w:numFmt w:val="bullet"/>
      <w:lvlText w:val="•"/>
      <w:lvlJc w:val="left"/>
      <w:pPr>
        <w:ind w:left="3657" w:hanging="601"/>
      </w:pPr>
      <w:rPr>
        <w:rFonts w:hint="default"/>
        <w:lang w:val="zh-CN" w:eastAsia="zh-CN" w:bidi="zh-CN"/>
      </w:rPr>
    </w:lvl>
    <w:lvl w:ilvl="3">
      <w:start w:val="0"/>
      <w:numFmt w:val="bullet"/>
      <w:lvlText w:val="•"/>
      <w:lvlJc w:val="left"/>
      <w:pPr>
        <w:ind w:left="4395" w:hanging="601"/>
      </w:pPr>
      <w:rPr>
        <w:rFonts w:hint="default"/>
        <w:lang w:val="zh-CN" w:eastAsia="zh-CN" w:bidi="zh-CN"/>
      </w:rPr>
    </w:lvl>
    <w:lvl w:ilvl="4">
      <w:start w:val="0"/>
      <w:numFmt w:val="bullet"/>
      <w:lvlText w:val="•"/>
      <w:lvlJc w:val="left"/>
      <w:pPr>
        <w:ind w:left="5134" w:hanging="601"/>
      </w:pPr>
      <w:rPr>
        <w:rFonts w:hint="default"/>
        <w:lang w:val="zh-CN" w:eastAsia="zh-CN" w:bidi="zh-CN"/>
      </w:rPr>
    </w:lvl>
    <w:lvl w:ilvl="5">
      <w:start w:val="0"/>
      <w:numFmt w:val="bullet"/>
      <w:lvlText w:val="•"/>
      <w:lvlJc w:val="left"/>
      <w:pPr>
        <w:ind w:left="5873" w:hanging="601"/>
      </w:pPr>
      <w:rPr>
        <w:rFonts w:hint="default"/>
        <w:lang w:val="zh-CN" w:eastAsia="zh-CN" w:bidi="zh-CN"/>
      </w:rPr>
    </w:lvl>
    <w:lvl w:ilvl="6">
      <w:start w:val="0"/>
      <w:numFmt w:val="bullet"/>
      <w:lvlText w:val="•"/>
      <w:lvlJc w:val="left"/>
      <w:pPr>
        <w:ind w:left="6611" w:hanging="601"/>
      </w:pPr>
      <w:rPr>
        <w:rFonts w:hint="default"/>
        <w:lang w:val="zh-CN" w:eastAsia="zh-CN" w:bidi="zh-CN"/>
      </w:rPr>
    </w:lvl>
    <w:lvl w:ilvl="7">
      <w:start w:val="0"/>
      <w:numFmt w:val="bullet"/>
      <w:lvlText w:val="•"/>
      <w:lvlJc w:val="left"/>
      <w:pPr>
        <w:ind w:left="7350" w:hanging="601"/>
      </w:pPr>
      <w:rPr>
        <w:rFonts w:hint="default"/>
        <w:lang w:val="zh-CN" w:eastAsia="zh-CN" w:bidi="zh-CN"/>
      </w:rPr>
    </w:lvl>
    <w:lvl w:ilvl="8">
      <w:start w:val="0"/>
      <w:numFmt w:val="bullet"/>
      <w:lvlText w:val="•"/>
      <w:lvlJc w:val="left"/>
      <w:pPr>
        <w:ind w:left="8088" w:hanging="601"/>
      </w:pPr>
      <w:rPr>
        <w:rFonts w:hint="default"/>
        <w:lang w:val="zh-CN" w:eastAsia="zh-CN" w:bidi="zh-CN"/>
      </w:rPr>
    </w:lvl>
  </w:abstractNum>
  <w:abstractNum w:abstractNumId="35">
    <w:nsid w:val="6D7CCE08"/>
    <w:multiLevelType w:val="hybridMultilevel"/>
    <w:tmpl w:val="00000000"/>
    <w:lvl w:ilvl="0">
      <w:start w:val="1"/>
      <w:numFmt w:val="decimal"/>
      <w:lvlText w:val="（%1）"/>
      <w:lvlJc w:val="left"/>
      <w:pPr>
        <w:ind w:left="2246"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972" w:hanging="601"/>
      </w:pPr>
      <w:rPr>
        <w:rFonts w:hint="default"/>
        <w:lang w:val="zh-CN" w:eastAsia="zh-CN" w:bidi="zh-CN"/>
      </w:rPr>
    </w:lvl>
    <w:lvl w:ilvl="2">
      <w:start w:val="0"/>
      <w:numFmt w:val="bullet"/>
      <w:lvlText w:val="•"/>
      <w:lvlJc w:val="left"/>
      <w:pPr>
        <w:ind w:left="3705" w:hanging="601"/>
      </w:pPr>
      <w:rPr>
        <w:rFonts w:hint="default"/>
        <w:lang w:val="zh-CN" w:eastAsia="zh-CN" w:bidi="zh-CN"/>
      </w:rPr>
    </w:lvl>
    <w:lvl w:ilvl="3">
      <w:start w:val="0"/>
      <w:numFmt w:val="bullet"/>
      <w:lvlText w:val="•"/>
      <w:lvlJc w:val="left"/>
      <w:pPr>
        <w:ind w:left="4437" w:hanging="601"/>
      </w:pPr>
      <w:rPr>
        <w:rFonts w:hint="default"/>
        <w:lang w:val="zh-CN" w:eastAsia="zh-CN" w:bidi="zh-CN"/>
      </w:rPr>
    </w:lvl>
    <w:lvl w:ilvl="4">
      <w:start w:val="0"/>
      <w:numFmt w:val="bullet"/>
      <w:lvlText w:val="•"/>
      <w:lvlJc w:val="left"/>
      <w:pPr>
        <w:ind w:left="5170" w:hanging="601"/>
      </w:pPr>
      <w:rPr>
        <w:rFonts w:hint="default"/>
        <w:lang w:val="zh-CN" w:eastAsia="zh-CN" w:bidi="zh-CN"/>
      </w:rPr>
    </w:lvl>
    <w:lvl w:ilvl="5">
      <w:start w:val="0"/>
      <w:numFmt w:val="bullet"/>
      <w:lvlText w:val="•"/>
      <w:lvlJc w:val="left"/>
      <w:pPr>
        <w:ind w:left="5903" w:hanging="601"/>
      </w:pPr>
      <w:rPr>
        <w:rFonts w:hint="default"/>
        <w:lang w:val="zh-CN" w:eastAsia="zh-CN" w:bidi="zh-CN"/>
      </w:rPr>
    </w:lvl>
    <w:lvl w:ilvl="6">
      <w:start w:val="0"/>
      <w:numFmt w:val="bullet"/>
      <w:lvlText w:val="•"/>
      <w:lvlJc w:val="left"/>
      <w:pPr>
        <w:ind w:left="6635" w:hanging="601"/>
      </w:pPr>
      <w:rPr>
        <w:rFonts w:hint="default"/>
        <w:lang w:val="zh-CN" w:eastAsia="zh-CN" w:bidi="zh-CN"/>
      </w:rPr>
    </w:lvl>
    <w:lvl w:ilvl="7">
      <w:start w:val="0"/>
      <w:numFmt w:val="bullet"/>
      <w:lvlText w:val="•"/>
      <w:lvlJc w:val="left"/>
      <w:pPr>
        <w:ind w:left="7368" w:hanging="601"/>
      </w:pPr>
      <w:rPr>
        <w:rFonts w:hint="default"/>
        <w:lang w:val="zh-CN" w:eastAsia="zh-CN" w:bidi="zh-CN"/>
      </w:rPr>
    </w:lvl>
    <w:lvl w:ilvl="8">
      <w:start w:val="0"/>
      <w:numFmt w:val="bullet"/>
      <w:lvlText w:val="•"/>
      <w:lvlJc w:val="left"/>
      <w:pPr>
        <w:ind w:left="8100" w:hanging="601"/>
      </w:pPr>
      <w:rPr>
        <w:rFonts w:hint="default"/>
        <w:lang w:val="zh-CN" w:eastAsia="zh-CN" w:bidi="zh-CN"/>
      </w:rPr>
    </w:lvl>
  </w:abstractNum>
  <w:abstractNum w:abstractNumId="36">
    <w:nsid w:val="714B47AA"/>
    <w:multiLevelType w:val="hybridMultilevel"/>
    <w:tmpl w:val="00000000"/>
    <w:lvl w:ilvl="0">
      <w:start w:val="1"/>
      <w:numFmt w:val="decimal"/>
      <w:lvlText w:val="%1."/>
      <w:lvlJc w:val="left"/>
      <w:pPr>
        <w:ind w:left="9"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547" w:hanging="159"/>
      </w:pPr>
      <w:rPr>
        <w:rFonts w:hint="default"/>
        <w:lang w:val="zh-CN" w:eastAsia="zh-CN" w:bidi="zh-CN"/>
      </w:rPr>
    </w:lvl>
    <w:lvl w:ilvl="2">
      <w:start w:val="0"/>
      <w:numFmt w:val="bullet"/>
      <w:lvlText w:val="•"/>
      <w:lvlJc w:val="left"/>
      <w:pPr>
        <w:ind w:left="1094" w:hanging="159"/>
      </w:pPr>
      <w:rPr>
        <w:rFonts w:hint="default"/>
        <w:lang w:val="zh-CN" w:eastAsia="zh-CN" w:bidi="zh-CN"/>
      </w:rPr>
    </w:lvl>
    <w:lvl w:ilvl="3">
      <w:start w:val="0"/>
      <w:numFmt w:val="bullet"/>
      <w:lvlText w:val="•"/>
      <w:lvlJc w:val="left"/>
      <w:pPr>
        <w:ind w:left="1641" w:hanging="159"/>
      </w:pPr>
      <w:rPr>
        <w:rFonts w:hint="default"/>
        <w:lang w:val="zh-CN" w:eastAsia="zh-CN" w:bidi="zh-CN"/>
      </w:rPr>
    </w:lvl>
    <w:lvl w:ilvl="4">
      <w:start w:val="0"/>
      <w:numFmt w:val="bullet"/>
      <w:lvlText w:val="•"/>
      <w:lvlJc w:val="left"/>
      <w:pPr>
        <w:ind w:left="2188" w:hanging="159"/>
      </w:pPr>
      <w:rPr>
        <w:rFonts w:hint="default"/>
        <w:lang w:val="zh-CN" w:eastAsia="zh-CN" w:bidi="zh-CN"/>
      </w:rPr>
    </w:lvl>
    <w:lvl w:ilvl="5">
      <w:start w:val="0"/>
      <w:numFmt w:val="bullet"/>
      <w:lvlText w:val="•"/>
      <w:lvlJc w:val="left"/>
      <w:pPr>
        <w:ind w:left="2736" w:hanging="159"/>
      </w:pPr>
      <w:rPr>
        <w:rFonts w:hint="default"/>
        <w:lang w:val="zh-CN" w:eastAsia="zh-CN" w:bidi="zh-CN"/>
      </w:rPr>
    </w:lvl>
    <w:lvl w:ilvl="6">
      <w:start w:val="0"/>
      <w:numFmt w:val="bullet"/>
      <w:lvlText w:val="•"/>
      <w:lvlJc w:val="left"/>
      <w:pPr>
        <w:ind w:left="3283" w:hanging="159"/>
      </w:pPr>
      <w:rPr>
        <w:rFonts w:hint="default"/>
        <w:lang w:val="zh-CN" w:eastAsia="zh-CN" w:bidi="zh-CN"/>
      </w:rPr>
    </w:lvl>
    <w:lvl w:ilvl="7">
      <w:start w:val="0"/>
      <w:numFmt w:val="bullet"/>
      <w:lvlText w:val="•"/>
      <w:lvlJc w:val="left"/>
      <w:pPr>
        <w:ind w:left="3830" w:hanging="159"/>
      </w:pPr>
      <w:rPr>
        <w:rFonts w:hint="default"/>
        <w:lang w:val="zh-CN" w:eastAsia="zh-CN" w:bidi="zh-CN"/>
      </w:rPr>
    </w:lvl>
    <w:lvl w:ilvl="8">
      <w:start w:val="0"/>
      <w:numFmt w:val="bullet"/>
      <w:lvlText w:val="•"/>
      <w:lvlJc w:val="left"/>
      <w:pPr>
        <w:ind w:left="4377" w:hanging="159"/>
      </w:pPr>
      <w:rPr>
        <w:rFonts w:hint="default"/>
        <w:lang w:val="zh-CN" w:eastAsia="zh-CN" w:bidi="zh-CN"/>
      </w:rPr>
    </w:lvl>
  </w:abstractNum>
  <w:abstractNum w:abstractNumId="37">
    <w:nsid w:val="77131E2F"/>
    <w:multiLevelType w:val="hybridMultilevel"/>
    <w:tmpl w:val="00000000"/>
    <w:lvl w:ilvl="0">
      <w:start w:val="2"/>
      <w:numFmt w:val="decimal"/>
      <w:lvlText w:val="（%1）"/>
      <w:lvlJc w:val="left"/>
      <w:pPr>
        <w:ind w:left="118" w:hanging="601"/>
        <w:jc w:val="left"/>
      </w:pPr>
      <w:rPr>
        <w:rFonts w:ascii="宋体" w:eastAsia="宋体" w:hAnsi="宋体" w:cs="宋体" w:hint="default"/>
        <w:spacing w:val="-10"/>
        <w:w w:val="100"/>
        <w:sz w:val="22"/>
        <w:szCs w:val="22"/>
        <w:lang w:val="zh-CN" w:eastAsia="zh-CN" w:bidi="zh-CN"/>
      </w:rPr>
    </w:lvl>
    <w:lvl w:ilvl="1">
      <w:start w:val="1"/>
      <w:numFmt w:val="decimal"/>
      <w:lvlText w:val="（%2）"/>
      <w:lvlJc w:val="left"/>
      <w:pPr>
        <w:ind w:left="988" w:hanging="601"/>
        <w:jc w:val="left"/>
      </w:pPr>
      <w:rPr>
        <w:rFonts w:ascii="宋体" w:eastAsia="宋体" w:hAnsi="宋体" w:cs="宋体" w:hint="default"/>
        <w:spacing w:val="-12"/>
        <w:w w:val="100"/>
        <w:sz w:val="22"/>
        <w:szCs w:val="22"/>
        <w:lang w:val="zh-CN" w:eastAsia="zh-CN" w:bidi="zh-CN"/>
      </w:rPr>
    </w:lvl>
    <w:lvl w:ilvl="2">
      <w:start w:val="0"/>
      <w:numFmt w:val="bullet"/>
      <w:lvlText w:val="•"/>
      <w:lvlJc w:val="left"/>
      <w:pPr>
        <w:ind w:left="1837" w:hanging="601"/>
      </w:pPr>
      <w:rPr>
        <w:rFonts w:hint="default"/>
        <w:lang w:val="zh-CN" w:eastAsia="zh-CN" w:bidi="zh-CN"/>
      </w:rPr>
    </w:lvl>
    <w:lvl w:ilvl="3">
      <w:start w:val="0"/>
      <w:numFmt w:val="bullet"/>
      <w:lvlText w:val="•"/>
      <w:lvlJc w:val="left"/>
      <w:pPr>
        <w:ind w:left="2694" w:hanging="601"/>
      </w:pPr>
      <w:rPr>
        <w:rFonts w:hint="default"/>
        <w:lang w:val="zh-CN" w:eastAsia="zh-CN" w:bidi="zh-CN"/>
      </w:rPr>
    </w:lvl>
    <w:lvl w:ilvl="4">
      <w:start w:val="0"/>
      <w:numFmt w:val="bullet"/>
      <w:lvlText w:val="•"/>
      <w:lvlJc w:val="left"/>
      <w:pPr>
        <w:ind w:left="3552" w:hanging="601"/>
      </w:pPr>
      <w:rPr>
        <w:rFonts w:hint="default"/>
        <w:lang w:val="zh-CN" w:eastAsia="zh-CN" w:bidi="zh-CN"/>
      </w:rPr>
    </w:lvl>
    <w:lvl w:ilvl="5">
      <w:start w:val="0"/>
      <w:numFmt w:val="bullet"/>
      <w:lvlText w:val="•"/>
      <w:lvlJc w:val="left"/>
      <w:pPr>
        <w:ind w:left="4409" w:hanging="601"/>
      </w:pPr>
      <w:rPr>
        <w:rFonts w:hint="default"/>
        <w:lang w:val="zh-CN" w:eastAsia="zh-CN" w:bidi="zh-CN"/>
      </w:rPr>
    </w:lvl>
    <w:lvl w:ilvl="6">
      <w:start w:val="0"/>
      <w:numFmt w:val="bullet"/>
      <w:lvlText w:val="•"/>
      <w:lvlJc w:val="left"/>
      <w:pPr>
        <w:ind w:left="5266" w:hanging="601"/>
      </w:pPr>
      <w:rPr>
        <w:rFonts w:hint="default"/>
        <w:lang w:val="zh-CN" w:eastAsia="zh-CN" w:bidi="zh-CN"/>
      </w:rPr>
    </w:lvl>
    <w:lvl w:ilvl="7">
      <w:start w:val="0"/>
      <w:numFmt w:val="bullet"/>
      <w:lvlText w:val="•"/>
      <w:lvlJc w:val="left"/>
      <w:pPr>
        <w:ind w:left="6124" w:hanging="601"/>
      </w:pPr>
      <w:rPr>
        <w:rFonts w:hint="default"/>
        <w:lang w:val="zh-CN" w:eastAsia="zh-CN" w:bidi="zh-CN"/>
      </w:rPr>
    </w:lvl>
    <w:lvl w:ilvl="8">
      <w:start w:val="0"/>
      <w:numFmt w:val="bullet"/>
      <w:lvlText w:val="•"/>
      <w:lvlJc w:val="left"/>
      <w:pPr>
        <w:ind w:left="6981" w:hanging="601"/>
      </w:pPr>
      <w:rPr>
        <w:rFonts w:hint="default"/>
        <w:lang w:val="zh-CN" w:eastAsia="zh-CN" w:bidi="zh-CN"/>
      </w:rPr>
    </w:lvl>
  </w:abstractNum>
  <w:abstractNum w:abstractNumId="38">
    <w:nsid w:val="7A54E654"/>
    <w:multiLevelType w:val="hybridMultilevel"/>
    <w:tmpl w:val="00000000"/>
    <w:lvl w:ilvl="0">
      <w:start w:val="5"/>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20" w:hanging="601"/>
      </w:pPr>
      <w:rPr>
        <w:rFonts w:hint="default"/>
        <w:lang w:val="zh-CN" w:eastAsia="zh-CN" w:bidi="zh-CN"/>
      </w:rPr>
    </w:lvl>
    <w:lvl w:ilvl="2">
      <w:start w:val="0"/>
      <w:numFmt w:val="bullet"/>
      <w:lvlText w:val="•"/>
      <w:lvlJc w:val="left"/>
      <w:pPr>
        <w:ind w:left="2641" w:hanging="601"/>
      </w:pPr>
      <w:rPr>
        <w:rFonts w:hint="default"/>
        <w:lang w:val="zh-CN" w:eastAsia="zh-CN" w:bidi="zh-CN"/>
      </w:rPr>
    </w:lvl>
    <w:lvl w:ilvl="3">
      <w:start w:val="0"/>
      <w:numFmt w:val="bullet"/>
      <w:lvlText w:val="•"/>
      <w:lvlJc w:val="left"/>
      <w:pPr>
        <w:ind w:left="3362" w:hanging="601"/>
      </w:pPr>
      <w:rPr>
        <w:rFonts w:hint="default"/>
        <w:lang w:val="zh-CN" w:eastAsia="zh-CN" w:bidi="zh-CN"/>
      </w:rPr>
    </w:lvl>
    <w:lvl w:ilvl="4">
      <w:start w:val="0"/>
      <w:numFmt w:val="bullet"/>
      <w:lvlText w:val="•"/>
      <w:lvlJc w:val="left"/>
      <w:pPr>
        <w:ind w:left="4083" w:hanging="601"/>
      </w:pPr>
      <w:rPr>
        <w:rFonts w:hint="default"/>
        <w:lang w:val="zh-CN" w:eastAsia="zh-CN" w:bidi="zh-CN"/>
      </w:rPr>
    </w:lvl>
    <w:lvl w:ilvl="5">
      <w:start w:val="0"/>
      <w:numFmt w:val="bullet"/>
      <w:lvlText w:val="•"/>
      <w:lvlJc w:val="left"/>
      <w:pPr>
        <w:ind w:left="4804" w:hanging="601"/>
      </w:pPr>
      <w:rPr>
        <w:rFonts w:hint="default"/>
        <w:lang w:val="zh-CN" w:eastAsia="zh-CN" w:bidi="zh-CN"/>
      </w:rPr>
    </w:lvl>
    <w:lvl w:ilvl="6">
      <w:start w:val="0"/>
      <w:numFmt w:val="bullet"/>
      <w:lvlText w:val="•"/>
      <w:lvlJc w:val="left"/>
      <w:pPr>
        <w:ind w:left="5525" w:hanging="601"/>
      </w:pPr>
      <w:rPr>
        <w:rFonts w:hint="default"/>
        <w:lang w:val="zh-CN" w:eastAsia="zh-CN" w:bidi="zh-CN"/>
      </w:rPr>
    </w:lvl>
    <w:lvl w:ilvl="7">
      <w:start w:val="0"/>
      <w:numFmt w:val="bullet"/>
      <w:lvlText w:val="•"/>
      <w:lvlJc w:val="left"/>
      <w:pPr>
        <w:ind w:left="6246" w:hanging="601"/>
      </w:pPr>
      <w:rPr>
        <w:rFonts w:hint="default"/>
        <w:lang w:val="zh-CN" w:eastAsia="zh-CN" w:bidi="zh-CN"/>
      </w:rPr>
    </w:lvl>
    <w:lvl w:ilvl="8">
      <w:start w:val="0"/>
      <w:numFmt w:val="bullet"/>
      <w:lvlText w:val="•"/>
      <w:lvlJc w:val="left"/>
      <w:pPr>
        <w:ind w:left="6967" w:hanging="601"/>
      </w:pPr>
      <w:rPr>
        <w:rFonts w:hint="default"/>
        <w:lang w:val="zh-CN" w:eastAsia="zh-CN" w:bidi="zh-CN"/>
      </w:rPr>
    </w:lvl>
  </w:abstractNum>
  <w:abstractNum w:abstractNumId="39">
    <w:nsid w:val="7FFEC658"/>
    <w:multiLevelType w:val="hybridMultilevel"/>
    <w:tmpl w:val="00000000"/>
    <w:lvl w:ilvl="0">
      <w:start w:val="1"/>
      <w:numFmt w:val="decimal"/>
      <w:lvlText w:val="%1."/>
      <w:lvlJc w:val="left"/>
      <w:pPr>
        <w:ind w:left="112" w:hanging="212"/>
        <w:jc w:val="left"/>
      </w:pPr>
      <w:rPr>
        <w:rFonts w:ascii="宋体" w:eastAsia="宋体" w:hAnsi="宋体" w:cs="宋体" w:hint="default"/>
        <w:color w:val="FF0000"/>
        <w:spacing w:val="-2"/>
        <w:w w:val="99"/>
        <w:sz w:val="19"/>
        <w:szCs w:val="19"/>
        <w:lang w:val="zh-CN" w:eastAsia="zh-CN" w:bidi="zh-CN"/>
      </w:rPr>
    </w:lvl>
    <w:lvl w:ilvl="1">
      <w:start w:val="0"/>
      <w:numFmt w:val="bullet"/>
      <w:lvlText w:val="•"/>
      <w:lvlJc w:val="left"/>
      <w:pPr>
        <w:ind w:left="634" w:hanging="212"/>
      </w:pPr>
      <w:rPr>
        <w:rFonts w:hint="default"/>
        <w:lang w:val="zh-CN" w:eastAsia="zh-CN" w:bidi="zh-CN"/>
      </w:rPr>
    </w:lvl>
    <w:lvl w:ilvl="2">
      <w:start w:val="0"/>
      <w:numFmt w:val="bullet"/>
      <w:lvlText w:val="•"/>
      <w:lvlJc w:val="left"/>
      <w:pPr>
        <w:ind w:left="1149" w:hanging="212"/>
      </w:pPr>
      <w:rPr>
        <w:rFonts w:hint="default"/>
        <w:lang w:val="zh-CN" w:eastAsia="zh-CN" w:bidi="zh-CN"/>
      </w:rPr>
    </w:lvl>
    <w:lvl w:ilvl="3">
      <w:start w:val="0"/>
      <w:numFmt w:val="bullet"/>
      <w:lvlText w:val="•"/>
      <w:lvlJc w:val="left"/>
      <w:pPr>
        <w:ind w:left="1664" w:hanging="212"/>
      </w:pPr>
      <w:rPr>
        <w:rFonts w:hint="default"/>
        <w:lang w:val="zh-CN" w:eastAsia="zh-CN" w:bidi="zh-CN"/>
      </w:rPr>
    </w:lvl>
    <w:lvl w:ilvl="4">
      <w:start w:val="0"/>
      <w:numFmt w:val="bullet"/>
      <w:lvlText w:val="•"/>
      <w:lvlJc w:val="left"/>
      <w:pPr>
        <w:ind w:left="2179" w:hanging="212"/>
      </w:pPr>
      <w:rPr>
        <w:rFonts w:hint="default"/>
        <w:lang w:val="zh-CN" w:eastAsia="zh-CN" w:bidi="zh-CN"/>
      </w:rPr>
    </w:lvl>
    <w:lvl w:ilvl="5">
      <w:start w:val="0"/>
      <w:numFmt w:val="bullet"/>
      <w:lvlText w:val="•"/>
      <w:lvlJc w:val="left"/>
      <w:pPr>
        <w:ind w:left="2694" w:hanging="212"/>
      </w:pPr>
      <w:rPr>
        <w:rFonts w:hint="default"/>
        <w:lang w:val="zh-CN" w:eastAsia="zh-CN" w:bidi="zh-CN"/>
      </w:rPr>
    </w:lvl>
    <w:lvl w:ilvl="6">
      <w:start w:val="0"/>
      <w:numFmt w:val="bullet"/>
      <w:lvlText w:val="•"/>
      <w:lvlJc w:val="left"/>
      <w:pPr>
        <w:ind w:left="3208" w:hanging="212"/>
      </w:pPr>
      <w:rPr>
        <w:rFonts w:hint="default"/>
        <w:lang w:val="zh-CN" w:eastAsia="zh-CN" w:bidi="zh-CN"/>
      </w:rPr>
    </w:lvl>
    <w:lvl w:ilvl="7">
      <w:start w:val="0"/>
      <w:numFmt w:val="bullet"/>
      <w:lvlText w:val="•"/>
      <w:lvlJc w:val="left"/>
      <w:pPr>
        <w:ind w:left="3723" w:hanging="212"/>
      </w:pPr>
      <w:rPr>
        <w:rFonts w:hint="default"/>
        <w:lang w:val="zh-CN" w:eastAsia="zh-CN" w:bidi="zh-CN"/>
      </w:rPr>
    </w:lvl>
    <w:lvl w:ilvl="8">
      <w:start w:val="0"/>
      <w:numFmt w:val="bullet"/>
      <w:lvlText w:val="•"/>
      <w:lvlJc w:val="left"/>
      <w:pPr>
        <w:ind w:left="4238" w:hanging="212"/>
      </w:pPr>
      <w:rPr>
        <w:rFonts w:hint="default"/>
        <w:lang w:val="zh-CN" w:eastAsia="zh-CN" w:bidi="zh-CN"/>
      </w:rPr>
    </w:lvl>
  </w:abstractNum>
  <w:num w:numId="1">
    <w:abstractNumId w:val="29"/>
  </w:num>
  <w:num w:numId="2">
    <w:abstractNumId w:val="5"/>
  </w:num>
  <w:num w:numId="3">
    <w:abstractNumId w:val="33"/>
  </w:num>
  <w:num w:numId="4">
    <w:abstractNumId w:val="1"/>
  </w:num>
  <w:num w:numId="5">
    <w:abstractNumId w:val="4"/>
  </w:num>
  <w:num w:numId="6">
    <w:abstractNumId w:val="16"/>
  </w:num>
  <w:num w:numId="7">
    <w:abstractNumId w:val="15"/>
  </w:num>
  <w:num w:numId="8">
    <w:abstractNumId w:val="24"/>
  </w:num>
  <w:num w:numId="9">
    <w:abstractNumId w:val="37"/>
  </w:num>
  <w:num w:numId="10">
    <w:abstractNumId w:val="23"/>
  </w:num>
  <w:num w:numId="11">
    <w:abstractNumId w:val="30"/>
  </w:num>
  <w:num w:numId="12">
    <w:abstractNumId w:val="34"/>
  </w:num>
  <w:num w:numId="13">
    <w:abstractNumId w:val="35"/>
  </w:num>
  <w:num w:numId="14">
    <w:abstractNumId w:val="8"/>
  </w:num>
  <w:num w:numId="15">
    <w:abstractNumId w:val="38"/>
  </w:num>
  <w:num w:numId="16">
    <w:abstractNumId w:val="31"/>
  </w:num>
  <w:num w:numId="17">
    <w:abstractNumId w:val="12"/>
  </w:num>
  <w:num w:numId="18">
    <w:abstractNumId w:val="36"/>
  </w:num>
  <w:num w:numId="19">
    <w:abstractNumId w:val="20"/>
  </w:num>
  <w:num w:numId="20">
    <w:abstractNumId w:val="0"/>
  </w:num>
  <w:num w:numId="21">
    <w:abstractNumId w:val="26"/>
  </w:num>
  <w:num w:numId="22">
    <w:abstractNumId w:val="39"/>
  </w:num>
  <w:num w:numId="23">
    <w:abstractNumId w:val="28"/>
  </w:num>
  <w:num w:numId="24">
    <w:abstractNumId w:val="9"/>
  </w:num>
  <w:num w:numId="25">
    <w:abstractNumId w:val="6"/>
  </w:num>
  <w:num w:numId="26">
    <w:abstractNumId w:val="18"/>
  </w:num>
  <w:num w:numId="27">
    <w:abstractNumId w:val="10"/>
  </w:num>
  <w:num w:numId="28">
    <w:abstractNumId w:val="11"/>
  </w:num>
  <w:num w:numId="29">
    <w:abstractNumId w:val="21"/>
  </w:num>
  <w:num w:numId="30">
    <w:abstractNumId w:val="3"/>
  </w:num>
  <w:num w:numId="31">
    <w:abstractNumId w:val="32"/>
  </w:num>
  <w:num w:numId="32">
    <w:abstractNumId w:val="25"/>
  </w:num>
  <w:num w:numId="33">
    <w:abstractNumId w:val="13"/>
  </w:num>
  <w:num w:numId="34">
    <w:abstractNumId w:val="17"/>
  </w:num>
  <w:num w:numId="35">
    <w:abstractNumId w:val="19"/>
  </w:num>
  <w:num w:numId="36">
    <w:abstractNumId w:val="2"/>
  </w:num>
  <w:num w:numId="37">
    <w:abstractNumId w:val="7"/>
  </w:num>
  <w:num w:numId="38">
    <w:abstractNumId w:val="22"/>
  </w:num>
  <w:num w:numId="39">
    <w:abstractNumId w:val="27"/>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spacing w:before="58"/>
      <w:ind w:right="101"/>
      <w:jc w:val="center"/>
      <w:outlineLvl w:val="0"/>
    </w:pPr>
    <w:rPr>
      <w:rFonts w:ascii="宋体" w:eastAsia="宋体" w:hAnsi="宋体" w:cs="宋体"/>
      <w:sz w:val="30"/>
      <w:szCs w:val="30"/>
      <w:lang w:val="zh-CN" w:eastAsia="zh-CN" w:bidi="zh-CN"/>
    </w:rPr>
  </w:style>
  <w:style w:type="paragraph" w:styleId="Heading2">
    <w:name w:val="heading 2"/>
    <w:basedOn w:val="Normal"/>
    <w:uiPriority w:val="1"/>
    <w:qFormat/>
    <w:pPr>
      <w:ind w:left="559"/>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58"/>
      <w:ind w:right="97"/>
      <w:jc w:val="center"/>
    </w:pPr>
    <w:rPr>
      <w:rFonts w:ascii="宋体" w:eastAsia="宋体" w:hAnsi="宋体" w:cs="宋体"/>
      <w:sz w:val="24"/>
      <w:szCs w:val="24"/>
      <w:lang w:val="zh-CN" w:eastAsia="zh-CN" w:bidi="zh-CN"/>
    </w:r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ListParagraph">
    <w:name w:val="List Paragraph"/>
    <w:basedOn w:val="Normal"/>
    <w:uiPriority w:val="1"/>
    <w:qFormat/>
    <w:pPr>
      <w:ind w:left="2069" w:hanging="601"/>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 w:type="table" w:customStyle="1" w:styleId="TableNormal14">
    <w:name w:val="Table Normal_14"/>
    <w:uiPriority w:val="2"/>
    <w:semiHidden/>
    <w:unhideWhenUsed/>
    <w:qFormat/>
    <w:tblPr>
      <w:tblInd w:w="0" w:type="dxa"/>
      <w:tblCellMar>
        <w:top w:w="0" w:type="dxa"/>
        <w:left w:w="0" w:type="dxa"/>
        <w:bottom w:w="0" w:type="dxa"/>
        <w:right w:w="0" w:type="dxa"/>
      </w:tblCellMar>
    </w:tblPr>
  </w:style>
  <w:style w:type="table" w:customStyle="1" w:styleId="TableNormal15">
    <w:name w:val="Table Normal_15"/>
    <w:uiPriority w:val="2"/>
    <w:semiHidden/>
    <w:unhideWhenUsed/>
    <w:qFormat/>
    <w:tblPr>
      <w:tblInd w:w="0" w:type="dxa"/>
      <w:tblCellMar>
        <w:top w:w="0" w:type="dxa"/>
        <w:left w:w="0" w:type="dxa"/>
        <w:bottom w:w="0" w:type="dxa"/>
        <w:right w:w="0" w:type="dxa"/>
      </w:tblCellMar>
    </w:tblPr>
  </w:style>
  <w:style w:type="table" w:customStyle="1" w:styleId="TableNormal16">
    <w:name w:val="Table Normal_16"/>
    <w:uiPriority w:val="2"/>
    <w:semiHidden/>
    <w:unhideWhenUsed/>
    <w:qFormat/>
    <w:tblPr>
      <w:tblInd w:w="0" w:type="dxa"/>
      <w:tblCellMar>
        <w:top w:w="0" w:type="dxa"/>
        <w:left w:w="0" w:type="dxa"/>
        <w:bottom w:w="0" w:type="dxa"/>
        <w:right w:w="0" w:type="dxa"/>
      </w:tblCellMar>
    </w:tblPr>
  </w:style>
  <w:style w:type="table" w:customStyle="1" w:styleId="TableNormal17">
    <w:name w:val="Table Normal_17"/>
    <w:uiPriority w:val="2"/>
    <w:semiHidden/>
    <w:unhideWhenUsed/>
    <w:qFormat/>
    <w:tblPr>
      <w:tblInd w:w="0" w:type="dxa"/>
      <w:tblCellMar>
        <w:top w:w="0" w:type="dxa"/>
        <w:left w:w="0" w:type="dxa"/>
        <w:bottom w:w="0" w:type="dxa"/>
        <w:right w:w="0" w:type="dxa"/>
      </w:tblCellMar>
    </w:tblPr>
  </w:style>
  <w:style w:type="table" w:customStyle="1" w:styleId="TableNormal18">
    <w:name w:val="Table Normal_18"/>
    <w:uiPriority w:val="2"/>
    <w:semiHidden/>
    <w:unhideWhenUsed/>
    <w:qFormat/>
    <w:tblPr>
      <w:tblInd w:w="0" w:type="dxa"/>
      <w:tblCellMar>
        <w:top w:w="0" w:type="dxa"/>
        <w:left w:w="0" w:type="dxa"/>
        <w:bottom w:w="0" w:type="dxa"/>
        <w:right w:w="0" w:type="dxa"/>
      </w:tblCellMar>
    </w:tblPr>
  </w:style>
  <w:style w:type="table" w:customStyle="1" w:styleId="TableNormal19">
    <w:name w:val="Table Normal_19"/>
    <w:uiPriority w:val="2"/>
    <w:semiHidden/>
    <w:unhideWhenUsed/>
    <w:qFormat/>
    <w:tblPr>
      <w:tblInd w:w="0" w:type="dxa"/>
      <w:tblCellMar>
        <w:top w:w="0" w:type="dxa"/>
        <w:left w:w="0" w:type="dxa"/>
        <w:bottom w:w="0" w:type="dxa"/>
        <w:right w:w="0" w:type="dxa"/>
      </w:tblCellMar>
    </w:tblPr>
  </w:style>
  <w:style w:type="table" w:customStyle="1" w:styleId="TableNormal20">
    <w:name w:val="Table Normal_20"/>
    <w:uiPriority w:val="2"/>
    <w:semiHidden/>
    <w:unhideWhenUsed/>
    <w:qFormat/>
    <w:tblPr>
      <w:tblInd w:w="0" w:type="dxa"/>
      <w:tblCellMar>
        <w:top w:w="0" w:type="dxa"/>
        <w:left w:w="0" w:type="dxa"/>
        <w:bottom w:w="0" w:type="dxa"/>
        <w:right w:w="0" w:type="dxa"/>
      </w:tblCellMar>
    </w:tblPr>
  </w:style>
  <w:style w:type="table" w:customStyle="1" w:styleId="TableNormal21">
    <w:name w:val="Table Normal_21"/>
    <w:uiPriority w:val="2"/>
    <w:semiHidden/>
    <w:unhideWhenUsed/>
    <w:qFormat/>
    <w:tblPr>
      <w:tblInd w:w="0" w:type="dxa"/>
      <w:tblCellMar>
        <w:top w:w="0" w:type="dxa"/>
        <w:left w:w="0" w:type="dxa"/>
        <w:bottom w:w="0" w:type="dxa"/>
        <w:right w:w="0" w:type="dxa"/>
      </w:tblCellMar>
    </w:tblPr>
  </w:style>
  <w:style w:type="table" w:customStyle="1" w:styleId="TableNormal22">
    <w:name w:val="Table Normal_22"/>
    <w:uiPriority w:val="2"/>
    <w:semiHidden/>
    <w:unhideWhenUsed/>
    <w:qFormat/>
    <w:tblPr>
      <w:tblInd w:w="0" w:type="dxa"/>
      <w:tblCellMar>
        <w:top w:w="0" w:type="dxa"/>
        <w:left w:w="0" w:type="dxa"/>
        <w:bottom w:w="0" w:type="dxa"/>
        <w:right w:w="0" w:type="dxa"/>
      </w:tblCellMar>
    </w:tblPr>
  </w:style>
  <w:style w:type="table" w:customStyle="1" w:styleId="TableNormal23">
    <w:name w:val="Table Normal_23"/>
    <w:uiPriority w:val="2"/>
    <w:semiHidden/>
    <w:unhideWhenUsed/>
    <w:qFormat/>
    <w:tblPr>
      <w:tblInd w:w="0" w:type="dxa"/>
      <w:tblCellMar>
        <w:top w:w="0" w:type="dxa"/>
        <w:left w:w="0" w:type="dxa"/>
        <w:bottom w:w="0" w:type="dxa"/>
        <w:right w:w="0" w:type="dxa"/>
      </w:tblCellMar>
    </w:tblPr>
  </w:style>
  <w:style w:type="table" w:customStyle="1" w:styleId="TableNormal24">
    <w:name w:val="Table Normal_24"/>
    <w:uiPriority w:val="2"/>
    <w:semiHidden/>
    <w:unhideWhenUsed/>
    <w:qFormat/>
    <w:tblPr>
      <w:tblInd w:w="0" w:type="dxa"/>
      <w:tblCellMar>
        <w:top w:w="0" w:type="dxa"/>
        <w:left w:w="0" w:type="dxa"/>
        <w:bottom w:w="0" w:type="dxa"/>
        <w:right w:w="0" w:type="dxa"/>
      </w:tblCellMar>
    </w:tblPr>
  </w:style>
  <w:style w:type="table" w:customStyle="1" w:styleId="TableNormal25">
    <w:name w:val="Table Normal_25"/>
    <w:uiPriority w:val="2"/>
    <w:semiHidden/>
    <w:unhideWhenUsed/>
    <w:qFormat/>
    <w:tblPr>
      <w:tblInd w:w="0" w:type="dxa"/>
      <w:tblCellMar>
        <w:top w:w="0" w:type="dxa"/>
        <w:left w:w="0" w:type="dxa"/>
        <w:bottom w:w="0" w:type="dxa"/>
        <w:right w:w="0" w:type="dxa"/>
      </w:tblCellMar>
    </w:tblPr>
  </w:style>
  <w:style w:type="table" w:customStyle="1" w:styleId="TableNormal26">
    <w:name w:val="Table Normal_26"/>
    <w:uiPriority w:val="2"/>
    <w:semiHidden/>
    <w:unhideWhenUsed/>
    <w:qFormat/>
    <w:tblPr>
      <w:tblInd w:w="0" w:type="dxa"/>
      <w:tblCellMar>
        <w:top w:w="0" w:type="dxa"/>
        <w:left w:w="0" w:type="dxa"/>
        <w:bottom w:w="0" w:type="dxa"/>
        <w:right w:w="0" w:type="dxa"/>
      </w:tblCellMar>
    </w:tblPr>
  </w:style>
  <w:style w:type="table" w:customStyle="1" w:styleId="TableNormal27">
    <w:name w:val="Table Normal_27"/>
    <w:uiPriority w:val="2"/>
    <w:semiHidden/>
    <w:unhideWhenUsed/>
    <w:qFormat/>
    <w:tblPr>
      <w:tblInd w:w="0" w:type="dxa"/>
      <w:tblCellMar>
        <w:top w:w="0" w:type="dxa"/>
        <w:left w:w="0" w:type="dxa"/>
        <w:bottom w:w="0" w:type="dxa"/>
        <w:right w:w="0" w:type="dxa"/>
      </w:tblCellMar>
    </w:tblPr>
  </w:style>
  <w:style w:type="table" w:customStyle="1" w:styleId="TableNormal28">
    <w:name w:val="Table Normal_28"/>
    <w:uiPriority w:val="2"/>
    <w:semiHidden/>
    <w:unhideWhenUsed/>
    <w:qFormat/>
    <w:tblPr>
      <w:tblInd w:w="0" w:type="dxa"/>
      <w:tblCellMar>
        <w:top w:w="0" w:type="dxa"/>
        <w:left w:w="0" w:type="dxa"/>
        <w:bottom w:w="0" w:type="dxa"/>
        <w:right w:w="0" w:type="dxa"/>
      </w:tblCellMar>
    </w:tblPr>
  </w:style>
  <w:style w:type="table" w:customStyle="1" w:styleId="TableNormal29">
    <w:name w:val="Table Normal_29"/>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image" Target="media/image1.png" /><Relationship Id="rId71" Type="http://schemas.openxmlformats.org/officeDocument/2006/relationships/hyperlink" Target="https://d.book118.com/807124106026006054" TargetMode="External" /><Relationship Id="rId72" Type="http://schemas.openxmlformats.org/officeDocument/2006/relationships/header" Target="header34.xml" /><Relationship Id="rId73" Type="http://schemas.openxmlformats.org/officeDocument/2006/relationships/footer" Target="footer34.xml" /><Relationship Id="rId74" Type="http://schemas.openxmlformats.org/officeDocument/2006/relationships/theme" Target="theme/theme1.xml" /><Relationship Id="rId75" Type="http://schemas.openxmlformats.org/officeDocument/2006/relationships/numbering" Target="numbering.xml" /><Relationship Id="rId76"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lhj</dc:creator>
  <cp:revision>0</cp:revision>
  <dcterms:created xsi:type="dcterms:W3CDTF">2024-03-12T08:14:06Z</dcterms:created>
  <dcterms:modified xsi:type="dcterms:W3CDTF">2024-03-12T08:14:06Z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2024-02-18T00:00:00Z</vt:filetime>
  </property>
  <property fmtid="{D5CDD505-2E9C-101B-9397-08002B2CF9AE}" pid="3" name="Creator">
    <vt:lpwstr>WPS 文字</vt:lpwstr>
  </property>
  <property fmtid="{D5CDD505-2E9C-101B-9397-08002B2CF9AE}" pid="4" name="LastSaved">
    <vt:filetime>2024-03-12T00:00:00Z</vt:filetime>
  </property>
</Properties>
</file>