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宫颈上皮内癌的新型筛查策略</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1755264911"/>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宫颈上皮内癌的定义和分</w:t>
            </w:r>
            <w:r>
              <w:rPr>
                <w:spacing w:val="-10"/>
              </w:rPr>
              <w:t>类</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bookmark1" w:history="1">
            <w:r>
              <w:t>第二部</w:t>
            </w:r>
            <w:r>
              <w:rPr>
                <w:spacing w:val="-10"/>
              </w:rPr>
              <w:t>分</w:t>
            </w:r>
            <w:r>
              <w:tab/>
              <w:t>现有筛查策略的局限</w:t>
            </w:r>
            <w:r>
              <w:rPr>
                <w:spacing w:val="-10"/>
              </w:rPr>
              <w:t>性</w:t>
            </w:r>
            <w:r>
              <w:rPr>
                <w:rFonts w:ascii="Times New Roman" w:eastAsia="Times New Roman"/>
              </w:rPr>
              <w:tab/>
            </w:r>
            <w:r>
              <w:rPr>
                <w:rFonts w:ascii="Times New Roman" w:eastAsia="Times New Roman"/>
                <w:spacing w:val="-10"/>
              </w:rPr>
              <w:t>3</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HPV-DNA</w:t>
            </w:r>
            <w:r>
              <w:rPr>
                <w:spacing w:val="-53"/>
              </w:rPr>
              <w:t xml:space="preserve"> </w:t>
            </w:r>
            <w:r>
              <w:t>检测技术的发展与应</w:t>
            </w:r>
            <w:r>
              <w:rPr>
                <w:spacing w:val="-10"/>
              </w:rPr>
              <w:t>用</w:t>
            </w:r>
            <w:r>
              <w:rPr>
                <w:rFonts w:ascii="Times New Roman" w:eastAsia="Times New Roman"/>
              </w:rPr>
              <w:tab/>
            </w:r>
            <w:r>
              <w:rPr>
                <w:rFonts w:ascii="Times New Roman" w:eastAsia="Times New Roman"/>
                <w:spacing w:val="-10"/>
              </w:rPr>
              <w:t>6</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新型筛查策略的研究背</w:t>
            </w:r>
            <w:r>
              <w:rPr>
                <w:spacing w:val="-10"/>
              </w:rPr>
              <w:t>景</w:t>
            </w:r>
            <w:r>
              <w:rPr>
                <w:rFonts w:ascii="Times New Roman" w:eastAsia="Times New Roman"/>
              </w:rPr>
              <w:tab/>
            </w:r>
            <w:r>
              <w:rPr>
                <w:rFonts w:ascii="Times New Roman" w:eastAsia="Times New Roman"/>
                <w:spacing w:val="-10"/>
              </w:rPr>
              <w:t>9</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基因组学在新型筛查策略中的作</w:t>
            </w:r>
            <w:r>
              <w:rPr>
                <w:spacing w:val="-10"/>
              </w:rPr>
              <w:t>用</w:t>
            </w:r>
            <w:r>
              <w:rPr>
                <w:rFonts w:ascii="Times New Roman" w:eastAsia="Times New Roman"/>
              </w:rPr>
              <w:tab/>
            </w:r>
            <w:r>
              <w:rPr>
                <w:rFonts w:ascii="Times New Roman" w:eastAsia="Times New Roman"/>
                <w:spacing w:val="-5"/>
              </w:rPr>
              <w:t>11</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液体活检技术在宫颈筛查中的进</w:t>
            </w:r>
            <w:r>
              <w:rPr>
                <w:spacing w:val="-10"/>
              </w:rPr>
              <w:t>展</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人工智能辅助诊断的应用前</w:t>
            </w:r>
            <w:r>
              <w:rPr>
                <w:spacing w:val="-10"/>
              </w:rPr>
              <w:t>景</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新型筛查策略的未来发展趋</w:t>
            </w:r>
            <w:r>
              <w:rPr>
                <w:spacing w:val="-10"/>
              </w:rPr>
              <w:t>势</w:t>
            </w:r>
            <w:r>
              <w:rPr>
                <w:rFonts w:ascii="Times New Roman" w:eastAsia="Times New Roman"/>
              </w:rPr>
              <w:tab/>
            </w:r>
            <w:r>
              <w:rPr>
                <w:rFonts w:ascii="Times New Roman" w:eastAsia="Times New Roman"/>
                <w:spacing w:val="-5"/>
              </w:rPr>
              <w:t>23</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宫</w:t>
      </w:r>
      <w:r>
        <w:t>颈</w:t>
      </w:r>
      <w:r>
        <w:t>上</w:t>
      </w:r>
      <w:r>
        <w:t>皮</w:t>
      </w:r>
      <w:r>
        <w:t>内</w:t>
      </w:r>
      <w:r>
        <w:t>癌</w:t>
      </w:r>
      <w:r>
        <w:t>的</w:t>
      </w:r>
      <w:r>
        <w:t>定</w:t>
      </w:r>
      <w:r>
        <w:t>义</w:t>
      </w:r>
      <w:r>
        <w:t>和</w:t>
      </w:r>
      <w:r>
        <w:t>分</w:t>
      </w:r>
      <w:r>
        <w:rPr>
          <w:spacing w:val="-10"/>
        </w:rPr>
        <w:t>类</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7"/>
        <w:gridCol w:w="552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7" w:type="dxa"/>
          </w:tcPr>
          <w:p>
            <w:pPr>
              <w:pStyle w:val="TableParagraph"/>
              <w:spacing w:before="23"/>
              <w:rPr>
                <w:sz w:val="21"/>
              </w:rPr>
            </w:pPr>
            <w:r>
              <w:rPr>
                <w:spacing w:val="-4"/>
                <w:sz w:val="21"/>
              </w:rPr>
              <w:t>关键词</w:t>
            </w:r>
          </w:p>
        </w:tc>
        <w:tc>
          <w:tcPr>
            <w:tcW w:w="552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7" w:type="dxa"/>
          </w:tcPr>
          <w:p>
            <w:pPr>
              <w:pStyle w:val="TableParagraph"/>
              <w:spacing w:before="23"/>
              <w:rPr>
                <w:sz w:val="21"/>
              </w:rPr>
            </w:pPr>
            <w:r>
              <w:rPr>
                <w:spacing w:val="-1"/>
                <w:sz w:val="21"/>
              </w:rPr>
              <w:t>【宫颈上皮内癌的定义】：</w:t>
            </w:r>
          </w:p>
        </w:tc>
        <w:tc>
          <w:tcPr>
            <w:tcW w:w="5529" w:type="dxa"/>
          </w:tcPr>
          <w:p>
            <w:pPr>
              <w:pStyle w:val="TableParagraph"/>
              <w:spacing w:before="4"/>
              <w:ind w:left="0"/>
              <w:rPr>
                <w:rFonts w:ascii="Microsoft JhengHei"/>
                <w:b/>
                <w:sz w:val="18"/>
              </w:rPr>
            </w:pPr>
          </w:p>
          <w:p>
            <w:pPr>
              <w:pStyle w:val="TableParagraph"/>
              <w:numPr>
                <w:ilvl w:val="0"/>
                <w:numId w:val="40"/>
              </w:numPr>
              <w:tabs>
                <w:tab w:val="left" w:pos="371"/>
              </w:tabs>
              <w:spacing w:before="0" w:after="0" w:line="278" w:lineRule="auto"/>
              <w:ind w:left="108" w:right="61" w:firstLine="0"/>
              <w:jc w:val="both"/>
              <w:rPr>
                <w:sz w:val="21"/>
              </w:rPr>
            </w:pPr>
            <w:r>
              <w:rPr>
                <w:sz w:val="21"/>
              </w:rPr>
              <w:t>宫颈上皮内癌（</w:t>
            </w:r>
            <w:r>
              <w:rPr>
                <w:rFonts w:ascii="Times New Roman" w:eastAsia="Times New Roman"/>
                <w:sz w:val="21"/>
              </w:rPr>
              <w:t>Cervical</w:t>
            </w:r>
            <w:r>
              <w:rPr>
                <w:rFonts w:ascii="Times New Roman" w:eastAsia="Times New Roman"/>
                <w:spacing w:val="-14"/>
                <w:sz w:val="21"/>
              </w:rPr>
              <w:t xml:space="preserve"> </w:t>
            </w:r>
            <w:r>
              <w:rPr>
                <w:rFonts w:ascii="Times New Roman" w:eastAsia="Times New Roman"/>
                <w:sz w:val="21"/>
              </w:rPr>
              <w:t>Intraepithelial</w:t>
            </w:r>
            <w:r>
              <w:rPr>
                <w:rFonts w:ascii="Times New Roman" w:eastAsia="Times New Roman"/>
                <w:spacing w:val="-13"/>
                <w:sz w:val="21"/>
              </w:rPr>
              <w:t xml:space="preserve"> </w:t>
            </w:r>
            <w:r>
              <w:rPr>
                <w:rFonts w:ascii="Times New Roman" w:eastAsia="Times New Roman"/>
                <w:sz w:val="21"/>
              </w:rPr>
              <w:t>Neoplasia</w:t>
            </w:r>
            <w:r>
              <w:rPr>
                <w:sz w:val="21"/>
              </w:rPr>
              <w:t>，</w:t>
            </w:r>
            <w:r>
              <w:rPr>
                <w:rFonts w:ascii="Times New Roman" w:eastAsia="Times New Roman"/>
                <w:sz w:val="21"/>
              </w:rPr>
              <w:t>CIN</w:t>
            </w:r>
            <w:r>
              <w:rPr>
                <w:sz w:val="21"/>
              </w:rPr>
              <w:t>）</w:t>
            </w:r>
            <w:r>
              <w:rPr>
                <w:spacing w:val="-2"/>
                <w:sz w:val="21"/>
              </w:rPr>
              <w:t>是指宫颈上皮细胞在形态和生物学行为上发生异常改变的</w:t>
            </w:r>
            <w:r>
              <w:rPr>
                <w:spacing w:val="-2"/>
                <w:sz w:val="21"/>
              </w:rPr>
              <w:t>一种病变。</w:t>
            </w:r>
          </w:p>
          <w:p>
            <w:pPr>
              <w:pStyle w:val="TableParagraph"/>
              <w:numPr>
                <w:ilvl w:val="0"/>
                <w:numId w:val="40"/>
              </w:numPr>
              <w:tabs>
                <w:tab w:val="left" w:pos="318"/>
              </w:tabs>
              <w:spacing w:before="0" w:after="0" w:line="269" w:lineRule="exact"/>
              <w:ind w:left="318" w:right="0" w:hanging="210"/>
              <w:jc w:val="both"/>
              <w:rPr>
                <w:rFonts w:ascii="Times New Roman" w:eastAsia="Times New Roman"/>
                <w:sz w:val="21"/>
              </w:rPr>
            </w:pPr>
            <w:r>
              <w:rPr>
                <w:rFonts w:ascii="Times New Roman" w:eastAsia="Times New Roman"/>
                <w:sz w:val="21"/>
              </w:rPr>
              <w:t>CIN</w:t>
            </w:r>
            <w:r>
              <w:rPr>
                <w:rFonts w:ascii="Times New Roman" w:eastAsia="Times New Roman"/>
                <w:spacing w:val="-10"/>
                <w:sz w:val="21"/>
              </w:rPr>
              <w:t xml:space="preserve"> </w:t>
            </w:r>
            <w:r>
              <w:rPr>
                <w:sz w:val="21"/>
              </w:rPr>
              <w:t>分为三个等级：</w:t>
            </w:r>
            <w:r>
              <w:rPr>
                <w:rFonts w:ascii="Times New Roman" w:eastAsia="Times New Roman"/>
                <w:sz w:val="21"/>
              </w:rPr>
              <w:t>CIN1</w:t>
            </w:r>
            <w:r>
              <w:rPr>
                <w:sz w:val="21"/>
              </w:rPr>
              <w:t>、</w:t>
            </w:r>
            <w:r>
              <w:rPr>
                <w:rFonts w:ascii="Times New Roman" w:eastAsia="Times New Roman"/>
                <w:sz w:val="21"/>
              </w:rPr>
              <w:t>CIN2</w:t>
            </w:r>
            <w:r>
              <w:rPr>
                <w:rFonts w:ascii="Times New Roman" w:eastAsia="Times New Roman"/>
                <w:spacing w:val="-4"/>
                <w:sz w:val="21"/>
              </w:rPr>
              <w:t xml:space="preserve"> </w:t>
            </w:r>
            <w:r>
              <w:rPr>
                <w:spacing w:val="-27"/>
                <w:sz w:val="21"/>
              </w:rPr>
              <w:t xml:space="preserve">和 </w:t>
            </w:r>
            <w:r>
              <w:rPr>
                <w:rFonts w:ascii="Times New Roman" w:eastAsia="Times New Roman"/>
                <w:sz w:val="21"/>
              </w:rPr>
              <w:t>CIN3</w:t>
            </w:r>
            <w:r>
              <w:rPr>
                <w:spacing w:val="-1"/>
                <w:sz w:val="21"/>
              </w:rPr>
              <w:t>。其中，</w:t>
            </w:r>
            <w:r>
              <w:rPr>
                <w:rFonts w:ascii="Times New Roman" w:eastAsia="Times New Roman"/>
                <w:spacing w:val="-2"/>
                <w:sz w:val="21"/>
              </w:rPr>
              <w:t>CIN1</w:t>
            </w:r>
          </w:p>
          <w:p>
            <w:pPr>
              <w:pStyle w:val="TableParagraph"/>
              <w:spacing w:before="43"/>
              <w:ind w:right="-15"/>
              <w:rPr>
                <w:sz w:val="21"/>
              </w:rPr>
            </w:pPr>
            <w:r>
              <w:rPr>
                <w:spacing w:val="-2"/>
                <w:sz w:val="21"/>
              </w:rPr>
              <w:t>表示轻度异常，</w:t>
            </w:r>
            <w:r>
              <w:rPr>
                <w:rFonts w:ascii="Times New Roman" w:eastAsia="Times New Roman"/>
                <w:spacing w:val="-2"/>
                <w:sz w:val="21"/>
              </w:rPr>
              <w:t>CIN2</w:t>
            </w:r>
            <w:r>
              <w:rPr>
                <w:rFonts w:ascii="Times New Roman" w:eastAsia="Times New Roman"/>
                <w:spacing w:val="10"/>
                <w:sz w:val="21"/>
              </w:rPr>
              <w:t xml:space="preserve"> </w:t>
            </w:r>
            <w:r>
              <w:rPr>
                <w:spacing w:val="-2"/>
                <w:sz w:val="21"/>
              </w:rPr>
              <w:t>表示中度异常，</w:t>
            </w:r>
            <w:r>
              <w:rPr>
                <w:rFonts w:ascii="Times New Roman" w:eastAsia="Times New Roman"/>
                <w:spacing w:val="-2"/>
                <w:sz w:val="21"/>
              </w:rPr>
              <w:t>CIN3</w:t>
            </w:r>
            <w:r>
              <w:rPr>
                <w:rFonts w:ascii="Times New Roman" w:eastAsia="Times New Roman"/>
                <w:spacing w:val="12"/>
                <w:sz w:val="21"/>
              </w:rPr>
              <w:t xml:space="preserve"> </w:t>
            </w:r>
            <w:r>
              <w:rPr>
                <w:spacing w:val="-4"/>
                <w:sz w:val="21"/>
              </w:rPr>
              <w:t>表示重度异常。</w:t>
            </w:r>
          </w:p>
          <w:p>
            <w:pPr>
              <w:pStyle w:val="TableParagraph"/>
              <w:numPr>
                <w:ilvl w:val="0"/>
                <w:numId w:val="40"/>
              </w:numPr>
              <w:tabs>
                <w:tab w:val="left" w:pos="318"/>
              </w:tabs>
              <w:spacing w:before="43" w:after="0" w:line="240" w:lineRule="auto"/>
              <w:ind w:left="318" w:right="0" w:hanging="210"/>
              <w:jc w:val="left"/>
              <w:rPr>
                <w:rFonts w:ascii="Times New Roman" w:eastAsia="Times New Roman"/>
                <w:sz w:val="21"/>
              </w:rPr>
            </w:pPr>
            <w:r>
              <w:rPr>
                <w:rFonts w:ascii="Times New Roman" w:eastAsia="Times New Roman"/>
                <w:sz w:val="21"/>
              </w:rPr>
              <w:t xml:space="preserve">CIN </w:t>
            </w:r>
            <w:r>
              <w:rPr>
                <w:spacing w:val="-14"/>
                <w:sz w:val="21"/>
              </w:rPr>
              <w:t xml:space="preserve">是宫颈癌前病变，如果不进行治疗或干预，部分 </w:t>
            </w:r>
            <w:r>
              <w:rPr>
                <w:rFonts w:ascii="Times New Roman" w:eastAsia="Times New Roman"/>
                <w:spacing w:val="-5"/>
                <w:sz w:val="21"/>
              </w:rPr>
              <w:t>CIN</w:t>
            </w:r>
          </w:p>
          <w:p>
            <w:pPr>
              <w:pStyle w:val="TableParagraph"/>
              <w:spacing w:before="43"/>
              <w:rPr>
                <w:sz w:val="21"/>
              </w:rPr>
            </w:pPr>
            <w:r>
              <w:rPr>
                <w:spacing w:val="-1"/>
                <w:sz w:val="21"/>
              </w:rPr>
              <w:t>病例可能会发展为浸润性宫颈癌。</w:t>
            </w:r>
          </w:p>
          <w:p>
            <w:pPr>
              <w:pStyle w:val="TableParagraph"/>
              <w:spacing w:before="43"/>
              <w:rPr>
                <w:sz w:val="21"/>
              </w:rPr>
            </w:pPr>
            <w:r>
              <w:rPr>
                <w:spacing w:val="-1"/>
                <w:sz w:val="21"/>
              </w:rPr>
              <w:t>【宫颈上皮内癌的分类】：</w:t>
            </w:r>
          </w:p>
        </w:tc>
      </w:tr>
    </w:tbl>
    <w:p>
      <w:pPr>
        <w:pStyle w:val="BodyText"/>
        <w:spacing w:before="135" w:line="417" w:lineRule="auto"/>
        <w:ind w:left="120" w:right="320" w:firstLine="560"/>
      </w:pPr>
      <w:r>
        <w:rPr>
          <w:spacing w:val="4"/>
        </w:rPr>
        <w:t>宫颈上皮内癌（</w:t>
      </w:r>
      <w:r>
        <w:t>Cervical</w:t>
      </w:r>
      <w:r>
        <w:rPr>
          <w:spacing w:val="4"/>
        </w:rPr>
        <w:t xml:space="preserve"> </w:t>
      </w:r>
      <w:r>
        <w:t>Intraepithelial</w:t>
      </w:r>
      <w:r>
        <w:rPr>
          <w:spacing w:val="4"/>
        </w:rPr>
        <w:t xml:space="preserve"> </w:t>
      </w:r>
      <w:r>
        <w:t>Neoplasia</w:t>
      </w:r>
      <w:r>
        <w:rPr>
          <w:spacing w:val="4"/>
        </w:rPr>
        <w:t>，</w:t>
      </w:r>
      <w:r>
        <w:t>CIN）</w:t>
      </w:r>
      <w:r>
        <w:rPr>
          <w:spacing w:val="-5"/>
        </w:rPr>
        <w:t>是指发生在子宫颈上皮内的非侵袭性前癌病变。这种病变通常由人乳</w:t>
      </w:r>
      <w:r>
        <w:rPr>
          <w:spacing w:val="1"/>
        </w:rPr>
        <w:t>头瘤病毒（</w:t>
      </w:r>
      <w:r>
        <w:t>HPV</w:t>
      </w:r>
      <w:r>
        <w:rPr>
          <w:spacing w:val="1"/>
        </w:rPr>
        <w:t>）</w:t>
      </w:r>
      <w:r>
        <w:t>感染引起，是导致宫颈癌的主要原因之一。根据病</w:t>
      </w:r>
      <w:r>
        <w:rPr>
          <w:spacing w:val="-11"/>
        </w:rPr>
        <w:t>变的严重程度和病理学特征，</w:t>
      </w:r>
      <w:r>
        <w:t>CIN</w:t>
      </w:r>
      <w:r>
        <w:rPr>
          <w:spacing w:val="-30"/>
        </w:rPr>
        <w:t xml:space="preserve"> 被分为三个级别：</w:t>
      </w:r>
      <w:r>
        <w:t>CIN1</w:t>
      </w:r>
      <w:r>
        <w:rPr>
          <w:spacing w:val="-140"/>
        </w:rPr>
        <w:t>、</w:t>
      </w:r>
      <w:r>
        <w:t>CIN2</w:t>
      </w:r>
      <w:r>
        <w:rPr>
          <w:spacing w:val="-35"/>
        </w:rPr>
        <w:t xml:space="preserve"> 和</w:t>
      </w:r>
      <w:r>
        <w:t>CIN3</w:t>
      </w:r>
      <w:r>
        <w:rPr>
          <w:spacing w:val="-19"/>
        </w:rPr>
        <w:t>。</w:t>
      </w:r>
    </w:p>
    <w:p>
      <w:pPr>
        <w:pStyle w:val="BodyText"/>
      </w:pPr>
    </w:p>
    <w:p>
      <w:pPr>
        <w:pStyle w:val="BodyText"/>
        <w:spacing w:before="7"/>
        <w:rPr>
          <w:sz w:val="20"/>
        </w:rPr>
      </w:pPr>
    </w:p>
    <w:p>
      <w:pPr>
        <w:pStyle w:val="ListParagraph"/>
        <w:numPr>
          <w:ilvl w:val="0"/>
          <w:numId w:val="39"/>
        </w:numPr>
        <w:tabs>
          <w:tab w:val="left" w:pos="540"/>
        </w:tabs>
        <w:spacing w:before="1" w:after="0" w:line="240" w:lineRule="auto"/>
        <w:ind w:left="540" w:right="0" w:hanging="420"/>
        <w:jc w:val="left"/>
        <w:rPr>
          <w:sz w:val="28"/>
        </w:rPr>
      </w:pPr>
      <w:r>
        <w:rPr>
          <w:spacing w:val="-4"/>
          <w:sz w:val="28"/>
        </w:rPr>
        <w:t>CIN1</w:t>
      </w:r>
    </w:p>
    <w:p>
      <w:pPr>
        <w:pStyle w:val="BodyText"/>
        <w:spacing w:before="8"/>
        <w:rPr>
          <w:sz w:val="20"/>
        </w:rPr>
      </w:pPr>
    </w:p>
    <w:p>
      <w:pPr>
        <w:pStyle w:val="BodyText"/>
        <w:spacing w:before="1" w:line="417" w:lineRule="auto"/>
        <w:ind w:left="120" w:right="238"/>
      </w:pPr>
      <w:r>
        <w:t>CIN1</w:t>
      </w:r>
      <w:r>
        <w:rPr>
          <w:spacing w:val="-7"/>
        </w:rPr>
        <w:t xml:space="preserve"> 是最轻微级别的宫颈上皮内病变，也称为轻度非典型增生。在</w:t>
      </w:r>
      <w:r>
        <w:t xml:space="preserve"> </w:t>
      </w:r>
      <w:r>
        <w:rPr>
          <w:spacing w:val="-9"/>
        </w:rPr>
        <w:t>显微镜下观察，病变更迭局限于上皮层的下</w:t>
      </w:r>
      <w:r>
        <w:t>1/3</w:t>
      </w:r>
      <w:r>
        <w:rPr>
          <w:spacing w:val="-32"/>
        </w:rPr>
        <w:t xml:space="preserve"> 区域。大约</w:t>
      </w:r>
      <w:r>
        <w:t>90%</w:t>
      </w:r>
      <w:r>
        <w:rPr>
          <w:spacing w:val="46"/>
        </w:rPr>
        <w:t>的</w:t>
      </w:r>
      <w:r>
        <w:t xml:space="preserve">CIN1 </w:t>
      </w:r>
      <w:r>
        <w:rPr>
          <w:spacing w:val="-5"/>
        </w:rPr>
        <w:t xml:space="preserve">病例会在两年内自然消退。虽然 </w:t>
      </w:r>
      <w:r>
        <w:t>CIN1</w:t>
      </w:r>
      <w:r>
        <w:rPr>
          <w:spacing w:val="-9"/>
        </w:rPr>
        <w:t xml:space="preserve"> 发展为宫颈癌的风险相对较低，</w:t>
      </w:r>
      <w:r>
        <w:rPr>
          <w:spacing w:val="-2"/>
        </w:rPr>
        <w:t>但仍然需要定期随访和检查。</w:t>
      </w:r>
    </w:p>
    <w:p>
      <w:pPr>
        <w:pStyle w:val="BodyText"/>
      </w:pPr>
    </w:p>
    <w:p>
      <w:pPr>
        <w:pStyle w:val="BodyText"/>
        <w:spacing w:before="8"/>
        <w:rPr>
          <w:sz w:val="20"/>
        </w:rPr>
      </w:pPr>
    </w:p>
    <w:p>
      <w:pPr>
        <w:pStyle w:val="ListParagraph"/>
        <w:numPr>
          <w:ilvl w:val="0"/>
          <w:numId w:val="39"/>
        </w:numPr>
        <w:tabs>
          <w:tab w:val="left" w:pos="540"/>
        </w:tabs>
        <w:spacing w:before="0" w:after="0" w:line="240" w:lineRule="auto"/>
        <w:ind w:left="540" w:right="0" w:hanging="420"/>
        <w:jc w:val="left"/>
        <w:rPr>
          <w:sz w:val="28"/>
        </w:rPr>
      </w:pPr>
      <w:r>
        <w:rPr>
          <w:spacing w:val="-4"/>
          <w:sz w:val="28"/>
        </w:rPr>
        <w:t>CIN2</w:t>
      </w:r>
    </w:p>
    <w:p>
      <w:pPr>
        <w:pStyle w:val="BodyText"/>
        <w:spacing w:before="9"/>
        <w:rPr>
          <w:sz w:val="20"/>
        </w:rPr>
      </w:pPr>
    </w:p>
    <w:p>
      <w:pPr>
        <w:pStyle w:val="BodyText"/>
        <w:spacing w:line="417" w:lineRule="auto"/>
        <w:ind w:left="120" w:right="518"/>
        <w:jc w:val="both"/>
      </w:pPr>
      <w:r>
        <w:t>CIN2</w:t>
      </w:r>
      <w:r>
        <w:rPr>
          <w:spacing w:val="-8"/>
        </w:rPr>
        <w:t xml:space="preserve"> 被视为中度非典型增生，病变涉及到上皮层的中下 </w:t>
      </w:r>
      <w:r>
        <w:t>2/3</w:t>
      </w:r>
      <w:r>
        <w:rPr>
          <w:spacing w:val="-9"/>
        </w:rPr>
        <w:t xml:space="preserve"> 区域。</w:t>
      </w:r>
      <w:r>
        <w:rPr>
          <w:spacing w:val="-10"/>
        </w:rPr>
        <w:t xml:space="preserve">相比 </w:t>
      </w:r>
      <w:r>
        <w:rPr>
          <w:spacing w:val="-6"/>
        </w:rPr>
        <w:t>CIN1，CIN2</w:t>
      </w:r>
      <w:r>
        <w:rPr>
          <w:spacing w:val="-10"/>
        </w:rPr>
        <w:t xml:space="preserve"> 的发展为宫颈癌的可能性更高，约为 </w:t>
      </w:r>
      <w:r>
        <w:rPr>
          <w:spacing w:val="-6"/>
        </w:rPr>
        <w:t xml:space="preserve">10-15%。对于 </w:t>
      </w:r>
      <w:r>
        <w:t>CIN2</w:t>
      </w:r>
      <w:r>
        <w:rPr>
          <w:spacing w:val="-1"/>
        </w:rPr>
        <w:t xml:space="preserve"> 的管理策略可能包括密切监测、保守治疗或手术切除，取决于</w:t>
      </w:r>
    </w:p>
    <w:p>
      <w:pPr>
        <w:spacing w:after="0" w:line="417" w:lineRule="auto"/>
        <w:jc w:val="both"/>
        <w:sectPr>
          <w:footerReference w:type="default" r:id="rId6"/>
          <w:pgSz w:w="11910" w:h="16840"/>
          <w:pgMar w:top="1500" w:right="1280" w:bottom="1380" w:left="1680" w:header="0" w:footer="1198"/>
          <w:pgNumType w:start="2"/>
          <w:cols w:space="708"/>
        </w:sectPr>
      </w:pPr>
    </w:p>
    <w:p>
      <w:pPr>
        <w:pStyle w:val="BodyText"/>
        <w:spacing w:before="37"/>
        <w:ind w:left="120"/>
      </w:pPr>
      <w:r>
        <w:rPr>
          <w:spacing w:val="-1"/>
        </w:rPr>
        <w:t>患者的年龄、生育愿望和其他因素。</w:t>
      </w:r>
    </w:p>
    <w:p>
      <w:pPr>
        <w:pStyle w:val="BodyText"/>
      </w:pPr>
    </w:p>
    <w:p>
      <w:pPr>
        <w:pStyle w:val="BodyText"/>
        <w:spacing w:before="5"/>
        <w:rPr>
          <w:sz w:val="41"/>
        </w:rPr>
      </w:pPr>
    </w:p>
    <w:p>
      <w:pPr>
        <w:pStyle w:val="ListParagraph"/>
        <w:numPr>
          <w:ilvl w:val="0"/>
          <w:numId w:val="39"/>
        </w:numPr>
        <w:tabs>
          <w:tab w:val="left" w:pos="540"/>
        </w:tabs>
        <w:spacing w:before="0" w:after="0" w:line="240" w:lineRule="auto"/>
        <w:ind w:left="540" w:right="0" w:hanging="420"/>
        <w:jc w:val="left"/>
        <w:rPr>
          <w:sz w:val="28"/>
        </w:rPr>
      </w:pPr>
      <w:r>
        <w:rPr>
          <w:spacing w:val="-4"/>
          <w:sz w:val="28"/>
        </w:rPr>
        <w:t>CIN3</w:t>
      </w:r>
    </w:p>
    <w:p>
      <w:pPr>
        <w:pStyle w:val="BodyText"/>
        <w:spacing w:before="9"/>
        <w:rPr>
          <w:sz w:val="20"/>
        </w:rPr>
      </w:pPr>
    </w:p>
    <w:p>
      <w:pPr>
        <w:pStyle w:val="BodyText"/>
        <w:spacing w:line="417" w:lineRule="auto"/>
        <w:ind w:left="120" w:right="518"/>
        <w:jc w:val="both"/>
      </w:pPr>
      <w:r>
        <w:t>CIN3 是宫颈上皮内病变中最严重的级别，也被称作重度非典型增生</w:t>
      </w:r>
      <w:r>
        <w:rPr>
          <w:spacing w:val="-2"/>
        </w:rPr>
        <w:t>或原位癌。在显微镜下，CIN3</w:t>
      </w:r>
      <w:r>
        <w:rPr>
          <w:spacing w:val="-8"/>
        </w:rPr>
        <w:t xml:space="preserve"> 病变几乎遍及整个上皮层。</w:t>
      </w:r>
      <w:r>
        <w:rPr>
          <w:spacing w:val="-2"/>
        </w:rPr>
        <w:t>CIN3</w:t>
      </w:r>
      <w:r>
        <w:rPr>
          <w:spacing w:val="-12"/>
        </w:rPr>
        <w:t xml:space="preserve"> 有较</w:t>
      </w:r>
      <w:r>
        <w:rPr>
          <w:spacing w:val="-4"/>
        </w:rPr>
        <w:t xml:space="preserve">高的风险进展为浸润性宫颈癌，概率高达 </w:t>
      </w:r>
      <w:r>
        <w:rPr>
          <w:spacing w:val="-2"/>
        </w:rPr>
        <w:t>30-40%。因此，CIN3</w:t>
      </w:r>
      <w:r>
        <w:rPr>
          <w:spacing w:val="-12"/>
        </w:rPr>
        <w:t xml:space="preserve"> 通常</w:t>
      </w:r>
      <w:r>
        <w:rPr>
          <w:spacing w:val="-2"/>
        </w:rPr>
        <w:t>推荐进行积极的治疗措施，以防止病情进一步恶化。</w:t>
      </w:r>
    </w:p>
    <w:p>
      <w:pPr>
        <w:pStyle w:val="BodyText"/>
      </w:pPr>
    </w:p>
    <w:p>
      <w:pPr>
        <w:pStyle w:val="BodyText"/>
        <w:spacing w:before="8"/>
        <w:rPr>
          <w:sz w:val="20"/>
        </w:rPr>
      </w:pPr>
    </w:p>
    <w:p>
      <w:pPr>
        <w:pStyle w:val="BodyText"/>
        <w:spacing w:line="417" w:lineRule="auto"/>
        <w:ind w:left="120" w:right="518"/>
        <w:jc w:val="both"/>
      </w:pPr>
      <w:r>
        <w:rPr>
          <w:spacing w:val="-4"/>
        </w:rPr>
        <w:t>总体而言，宫颈上皮内癌的分类系统有助于识别病变的程度，并指导</w:t>
      </w:r>
      <w:r>
        <w:rPr>
          <w:spacing w:val="-4"/>
        </w:rPr>
        <w:t>临床医生选择合适的管理策略。随着新型筛查技术的发展，如液基细</w:t>
      </w:r>
      <w:r>
        <w:t>胞学、HPV</w:t>
      </w:r>
      <w:r>
        <w:rPr>
          <w:spacing w:val="-35"/>
        </w:rPr>
        <w:t xml:space="preserve"> </w:t>
      </w:r>
      <w:r>
        <w:t>DNA</w:t>
      </w:r>
      <w:r>
        <w:rPr>
          <w:spacing w:val="-6"/>
        </w:rPr>
        <w:t xml:space="preserve"> 检测以及更先进的成像技术，</w:t>
      </w:r>
      <w:r>
        <w:t>CIN</w:t>
      </w:r>
      <w:r>
        <w:rPr>
          <w:spacing w:val="-6"/>
        </w:rPr>
        <w:t xml:space="preserve"> 的诊断和预后评估</w:t>
      </w:r>
      <w:r>
        <w:rPr>
          <w:spacing w:val="-4"/>
        </w:rPr>
        <w:t>越来越精确。这些进步将有利于早期发现和干预宫颈上皮内癌，从而</w:t>
      </w:r>
      <w:r>
        <w:rPr>
          <w:spacing w:val="-2"/>
        </w:rPr>
        <w:t>降低宫颈癌的发生率和死亡率。</w:t>
      </w:r>
    </w:p>
    <w:p>
      <w:pPr>
        <w:pStyle w:val="BodyText"/>
      </w:pPr>
    </w:p>
    <w:p>
      <w:pPr>
        <w:pStyle w:val="Heading1"/>
        <w:spacing w:before="237"/>
        <w:jc w:val="both"/>
      </w:pPr>
      <w:bookmarkStart w:id="1" w:name="_bookmark1"/>
      <w:bookmarkEnd w:id="1"/>
      <w:r>
        <w:t>第二部分</w:t>
      </w:r>
      <w:r>
        <w:rPr>
          <w:spacing w:val="213"/>
          <w:w w:val="150"/>
        </w:rPr>
        <w:t xml:space="preserve"> </w:t>
      </w:r>
      <w:r>
        <w:rPr>
          <w:spacing w:val="-1"/>
        </w:rPr>
        <w:t>现有筛查策略的局限性</w:t>
      </w:r>
    </w:p>
    <w:p>
      <w:pPr>
        <w:pStyle w:val="BodyText"/>
        <w:spacing w:before="16"/>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5" w:type="dxa"/>
          </w:tcPr>
          <w:p>
            <w:pPr>
              <w:pStyle w:val="TableParagraph"/>
              <w:spacing w:before="23"/>
              <w:rPr>
                <w:sz w:val="21"/>
              </w:rPr>
            </w:pPr>
            <w:r>
              <w:rPr>
                <w:spacing w:val="-4"/>
                <w:sz w:val="21"/>
              </w:rPr>
              <w:t>关键词</w:t>
            </w:r>
          </w:p>
        </w:tc>
        <w:tc>
          <w:tcPr>
            <w:tcW w:w="5521"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5" w:type="dxa"/>
          </w:tcPr>
          <w:p>
            <w:pPr>
              <w:pStyle w:val="TableParagraph"/>
              <w:spacing w:before="23"/>
              <w:rPr>
                <w:sz w:val="21"/>
              </w:rPr>
            </w:pPr>
            <w:r>
              <w:rPr>
                <w:spacing w:val="-1"/>
                <w:sz w:val="21"/>
              </w:rPr>
              <w:t>局限性一：筛查覆盖率低</w:t>
            </w:r>
          </w:p>
        </w:tc>
        <w:tc>
          <w:tcPr>
            <w:tcW w:w="5521" w:type="dxa"/>
          </w:tcPr>
          <w:p>
            <w:pPr>
              <w:pStyle w:val="TableParagraph"/>
              <w:spacing w:before="4"/>
              <w:ind w:left="0"/>
              <w:rPr>
                <w:rFonts w:ascii="Microsoft JhengHei"/>
                <w:b/>
                <w:sz w:val="18"/>
              </w:rPr>
            </w:pPr>
          </w:p>
          <w:p>
            <w:pPr>
              <w:pStyle w:val="TableParagraph"/>
              <w:numPr>
                <w:ilvl w:val="0"/>
                <w:numId w:val="38"/>
              </w:numPr>
              <w:tabs>
                <w:tab w:val="left" w:pos="371"/>
              </w:tabs>
              <w:spacing w:before="0" w:after="0" w:line="278" w:lineRule="auto"/>
              <w:ind w:left="108" w:right="96" w:firstLine="0"/>
              <w:jc w:val="left"/>
              <w:rPr>
                <w:sz w:val="21"/>
              </w:rPr>
            </w:pPr>
            <w:r>
              <w:rPr>
                <w:spacing w:val="-2"/>
                <w:sz w:val="21"/>
              </w:rPr>
              <w:t>屏蔽现象严重：由于宫颈上皮内癌症状的不明显，患者</w:t>
            </w:r>
            <w:r>
              <w:rPr>
                <w:spacing w:val="-2"/>
                <w:sz w:val="21"/>
              </w:rPr>
              <w:t>往往不易察觉，导致筛查覆盖率较低。</w:t>
            </w:r>
          </w:p>
          <w:p>
            <w:pPr>
              <w:pStyle w:val="TableParagraph"/>
              <w:numPr>
                <w:ilvl w:val="0"/>
                <w:numId w:val="38"/>
              </w:numPr>
              <w:tabs>
                <w:tab w:val="left" w:pos="371"/>
              </w:tabs>
              <w:spacing w:before="0" w:after="0" w:line="278" w:lineRule="auto"/>
              <w:ind w:left="108" w:right="96" w:firstLine="0"/>
              <w:jc w:val="left"/>
              <w:rPr>
                <w:sz w:val="21"/>
              </w:rPr>
            </w:pPr>
            <w:r>
              <w:rPr>
                <w:spacing w:val="-2"/>
                <w:sz w:val="21"/>
              </w:rPr>
              <w:t>高风险人群难以识别：现有策略无法准确地识别高风险</w:t>
            </w:r>
            <w:r>
              <w:rPr>
                <w:spacing w:val="-2"/>
                <w:sz w:val="21"/>
              </w:rPr>
              <w:t>人群，使得筛查资源分配不合理。</w:t>
            </w:r>
          </w:p>
          <w:p>
            <w:pPr>
              <w:pStyle w:val="TableParagraph"/>
              <w:numPr>
                <w:ilvl w:val="0"/>
                <w:numId w:val="38"/>
              </w:numPr>
              <w:tabs>
                <w:tab w:val="left" w:pos="371"/>
              </w:tabs>
              <w:spacing w:before="0" w:after="0" w:line="278" w:lineRule="auto"/>
              <w:ind w:left="108" w:right="96" w:firstLine="0"/>
              <w:jc w:val="left"/>
              <w:rPr>
                <w:sz w:val="21"/>
              </w:rPr>
            </w:pPr>
            <w:r>
              <w:rPr>
                <w:spacing w:val="-2"/>
                <w:sz w:val="21"/>
              </w:rPr>
              <w:t>屏蔽率较高：筛查覆盖率不足导致筛查屏蔽率较高，延</w:t>
            </w:r>
            <w:r>
              <w:rPr>
                <w:spacing w:val="-2"/>
                <w:sz w:val="21"/>
              </w:rPr>
              <w:t>误疾病的发现和治疗。</w:t>
            </w:r>
          </w:p>
        </w:tc>
      </w:tr>
      <w:tr>
        <w:tblPrEx>
          <w:tblW w:w="0" w:type="auto"/>
          <w:jc w:val="left"/>
          <w:tblInd w:w="130" w:type="dxa"/>
          <w:tblLayout w:type="fixed"/>
          <w:tblCellMar>
            <w:top w:w="0" w:type="dxa"/>
            <w:left w:w="0" w:type="dxa"/>
            <w:bottom w:w="0" w:type="dxa"/>
            <w:right w:w="0" w:type="dxa"/>
          </w:tblCellMar>
          <w:tblLook w:val="01E0"/>
        </w:tblPrEx>
        <w:trPr>
          <w:trHeight w:val="1248"/>
          <w:jc w:val="left"/>
        </w:trPr>
        <w:tc>
          <w:tcPr>
            <w:tcW w:w="2775" w:type="dxa"/>
          </w:tcPr>
          <w:p>
            <w:pPr>
              <w:pStyle w:val="TableParagraph"/>
              <w:spacing w:before="23"/>
              <w:rPr>
                <w:sz w:val="21"/>
              </w:rPr>
            </w:pPr>
            <w:r>
              <w:rPr>
                <w:spacing w:val="-1"/>
                <w:sz w:val="21"/>
              </w:rPr>
              <w:t>局限性二：筛查方法有限</w:t>
            </w:r>
          </w:p>
        </w:tc>
        <w:tc>
          <w:tcPr>
            <w:tcW w:w="5521" w:type="dxa"/>
          </w:tcPr>
          <w:p>
            <w:pPr>
              <w:pStyle w:val="TableParagraph"/>
              <w:spacing w:before="4"/>
              <w:ind w:left="0"/>
              <w:rPr>
                <w:rFonts w:ascii="Microsoft JhengHei"/>
                <w:b/>
                <w:sz w:val="18"/>
              </w:rPr>
            </w:pPr>
          </w:p>
          <w:p>
            <w:pPr>
              <w:pStyle w:val="TableParagraph"/>
              <w:numPr>
                <w:ilvl w:val="0"/>
                <w:numId w:val="37"/>
              </w:numPr>
              <w:tabs>
                <w:tab w:val="left" w:pos="318"/>
              </w:tabs>
              <w:spacing w:before="0" w:after="0" w:line="240" w:lineRule="auto"/>
              <w:ind w:left="318" w:right="0" w:hanging="210"/>
              <w:jc w:val="left"/>
              <w:rPr>
                <w:sz w:val="21"/>
              </w:rPr>
            </w:pPr>
            <w:r>
              <w:rPr>
                <w:rFonts w:ascii="Times New Roman" w:eastAsia="Times New Roman"/>
                <w:sz w:val="21"/>
              </w:rPr>
              <w:t>HPV</w:t>
            </w:r>
            <w:r>
              <w:rPr>
                <w:rFonts w:ascii="Times New Roman" w:eastAsia="Times New Roman"/>
                <w:spacing w:val="-4"/>
                <w:sz w:val="21"/>
              </w:rPr>
              <w:t xml:space="preserve"> </w:t>
            </w:r>
            <w:r>
              <w:rPr>
                <w:spacing w:val="-16"/>
                <w:sz w:val="21"/>
              </w:rPr>
              <w:t xml:space="preserve">检测单一化：过度依赖 </w:t>
            </w:r>
            <w:r>
              <w:rPr>
                <w:rFonts w:ascii="Times New Roman" w:eastAsia="Times New Roman"/>
                <w:sz w:val="21"/>
              </w:rPr>
              <w:t>HPV</w:t>
            </w:r>
            <w:r>
              <w:rPr>
                <w:rFonts w:ascii="Times New Roman" w:eastAsia="Times New Roman"/>
                <w:spacing w:val="-2"/>
                <w:sz w:val="21"/>
              </w:rPr>
              <w:t xml:space="preserve"> </w:t>
            </w:r>
            <w:r>
              <w:rPr>
                <w:spacing w:val="-1"/>
                <w:sz w:val="21"/>
              </w:rPr>
              <w:t>检测，可能漏诊部分非</w:t>
            </w:r>
          </w:p>
          <w:p>
            <w:pPr>
              <w:pStyle w:val="TableParagraph"/>
              <w:spacing w:before="43"/>
              <w:rPr>
                <w:sz w:val="21"/>
              </w:rPr>
            </w:pPr>
            <w:r>
              <w:rPr>
                <w:rFonts w:ascii="Times New Roman" w:eastAsia="Times New Roman"/>
                <w:sz w:val="21"/>
              </w:rPr>
              <w:t>HPV</w:t>
            </w:r>
            <w:r>
              <w:rPr>
                <w:rFonts w:ascii="Times New Roman" w:eastAsia="Times New Roman"/>
                <w:spacing w:val="-3"/>
                <w:sz w:val="21"/>
              </w:rPr>
              <w:t xml:space="preserve"> </w:t>
            </w:r>
            <w:r>
              <w:rPr>
                <w:spacing w:val="-1"/>
                <w:sz w:val="21"/>
              </w:rPr>
              <w:t>相关宫颈上皮内病变。</w:t>
            </w:r>
          </w:p>
          <w:p>
            <w:pPr>
              <w:pStyle w:val="TableParagraph"/>
              <w:numPr>
                <w:ilvl w:val="0"/>
                <w:numId w:val="37"/>
              </w:numPr>
              <w:tabs>
                <w:tab w:val="left" w:pos="371"/>
              </w:tabs>
              <w:spacing w:before="43" w:after="0" w:line="240" w:lineRule="auto"/>
              <w:ind w:left="370" w:right="0" w:hanging="263"/>
              <w:jc w:val="left"/>
              <w:rPr>
                <w:sz w:val="21"/>
              </w:rPr>
            </w:pPr>
            <w:r>
              <w:rPr>
                <w:spacing w:val="-1"/>
                <w:sz w:val="21"/>
              </w:rPr>
              <w:t>病理检查误判率：现行病理学诊断方法存在一定的主观</w:t>
            </w:r>
          </w:p>
        </w:tc>
      </w:tr>
    </w:tbl>
    <w:p>
      <w:pPr>
        <w:spacing w:after="0" w:line="240" w:lineRule="auto"/>
        <w:jc w:val="left"/>
        <w:rPr>
          <w:sz w:val="21"/>
        </w:rPr>
        <w:sectPr>
          <w:footerReference w:type="default" r:id="rId7"/>
          <w:pgSz w:w="11910" w:h="16840"/>
          <w:pgMar w:top="1520" w:right="1280" w:bottom="1380" w:left="1680" w:header="0" w:footer="1198"/>
          <w:pgNumType w:start="3"/>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5521"/>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2775" w:type="dxa"/>
          </w:tcPr>
          <w:p>
            <w:pPr>
              <w:pStyle w:val="TableParagraph"/>
              <w:ind w:left="0"/>
              <w:rPr>
                <w:rFonts w:ascii="Times New Roman"/>
                <w:sz w:val="22"/>
              </w:rPr>
            </w:pPr>
          </w:p>
        </w:tc>
        <w:tc>
          <w:tcPr>
            <w:tcW w:w="5521" w:type="dxa"/>
          </w:tcPr>
          <w:p>
            <w:pPr>
              <w:pStyle w:val="TableParagraph"/>
              <w:spacing w:before="23"/>
              <w:rPr>
                <w:sz w:val="21"/>
              </w:rPr>
            </w:pPr>
            <w:r>
              <w:rPr>
                <w:spacing w:val="-1"/>
                <w:sz w:val="21"/>
              </w:rPr>
              <w:t>性和误判率，影响筛查准确性。</w:t>
            </w:r>
          </w:p>
          <w:p>
            <w:pPr>
              <w:pStyle w:val="TableParagraph"/>
              <w:spacing w:before="43" w:line="278" w:lineRule="auto"/>
              <w:ind w:right="96"/>
              <w:rPr>
                <w:sz w:val="21"/>
              </w:rPr>
            </w:pPr>
            <w:r>
              <w:rPr>
                <w:rFonts w:ascii="Times New Roman" w:eastAsia="Times New Roman"/>
                <w:sz w:val="21"/>
              </w:rPr>
              <w:t>3.</w:t>
            </w:r>
            <w:r>
              <w:rPr>
                <w:rFonts w:ascii="Times New Roman" w:eastAsia="Times New Roman"/>
                <w:spacing w:val="16"/>
                <w:sz w:val="21"/>
              </w:rPr>
              <w:t xml:space="preserve"> </w:t>
            </w:r>
            <w:r>
              <w:rPr>
                <w:sz w:val="21"/>
              </w:rPr>
              <w:t>定量分析不足：缺乏定量评估病情严重程度的方法，不</w:t>
            </w:r>
            <w:r>
              <w:rPr>
                <w:spacing w:val="-2"/>
                <w:sz w:val="21"/>
              </w:rPr>
              <w:t>利于个性化治疗方案制定。</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75" w:type="dxa"/>
          </w:tcPr>
          <w:p>
            <w:pPr>
              <w:pStyle w:val="TableParagraph"/>
              <w:spacing w:before="23"/>
              <w:rPr>
                <w:sz w:val="21"/>
              </w:rPr>
            </w:pPr>
            <w:r>
              <w:rPr>
                <w:spacing w:val="-1"/>
                <w:sz w:val="21"/>
              </w:rPr>
              <w:t>局限性三：筛选阈值固定</w:t>
            </w:r>
          </w:p>
        </w:tc>
        <w:tc>
          <w:tcPr>
            <w:tcW w:w="5521"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78" w:lineRule="auto"/>
              <w:ind w:left="108" w:right="96" w:firstLine="0"/>
              <w:jc w:val="left"/>
              <w:rPr>
                <w:sz w:val="21"/>
              </w:rPr>
            </w:pPr>
            <w:r>
              <w:rPr>
                <w:spacing w:val="-2"/>
                <w:sz w:val="21"/>
              </w:rPr>
              <w:t>固定阈值无法满足个体差异：所有女性采用同一筛选阈</w:t>
            </w:r>
            <w:r>
              <w:rPr>
                <w:spacing w:val="-2"/>
                <w:sz w:val="21"/>
              </w:rPr>
              <w:t>值，忽视了个体差异。</w:t>
            </w:r>
          </w:p>
          <w:p>
            <w:pPr>
              <w:pStyle w:val="TableParagraph"/>
              <w:numPr>
                <w:ilvl w:val="0"/>
                <w:numId w:val="36"/>
              </w:numPr>
              <w:tabs>
                <w:tab w:val="left" w:pos="371"/>
              </w:tabs>
              <w:spacing w:before="0" w:after="0" w:line="278" w:lineRule="auto"/>
              <w:ind w:left="108" w:right="96" w:firstLine="0"/>
              <w:jc w:val="left"/>
              <w:rPr>
                <w:sz w:val="21"/>
              </w:rPr>
            </w:pPr>
            <w:r>
              <w:rPr>
                <w:spacing w:val="-2"/>
                <w:sz w:val="21"/>
              </w:rPr>
              <w:t>过高的阈值可能导致漏诊：阈值设定过高可能导致部分</w:t>
            </w:r>
            <w:r>
              <w:rPr>
                <w:spacing w:val="-2"/>
                <w:sz w:val="21"/>
              </w:rPr>
              <w:t>早期病例被遗漏。</w:t>
            </w:r>
          </w:p>
          <w:p>
            <w:pPr>
              <w:pStyle w:val="TableParagraph"/>
              <w:numPr>
                <w:ilvl w:val="0"/>
                <w:numId w:val="36"/>
              </w:numPr>
              <w:tabs>
                <w:tab w:val="left" w:pos="371"/>
              </w:tabs>
              <w:spacing w:before="0" w:after="0" w:line="278" w:lineRule="auto"/>
              <w:ind w:left="108" w:right="96" w:firstLine="0"/>
              <w:jc w:val="left"/>
              <w:rPr>
                <w:sz w:val="21"/>
              </w:rPr>
            </w:pPr>
            <w:r>
              <w:rPr>
                <w:spacing w:val="-2"/>
                <w:sz w:val="21"/>
              </w:rPr>
              <w:t>适应性差：不同年龄、地区和种族背景的女性对同一种</w:t>
            </w:r>
            <w:r>
              <w:rPr>
                <w:spacing w:val="-2"/>
                <w:sz w:val="21"/>
              </w:rPr>
              <w:t>筛选阈值反应可能存在差异。</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75" w:type="dxa"/>
          </w:tcPr>
          <w:p>
            <w:pPr>
              <w:pStyle w:val="TableParagraph"/>
              <w:spacing w:before="23"/>
              <w:rPr>
                <w:sz w:val="21"/>
              </w:rPr>
            </w:pPr>
            <w:r>
              <w:rPr>
                <w:spacing w:val="-1"/>
                <w:sz w:val="21"/>
              </w:rPr>
              <w:t>局限性四：成本效益比不高</w:t>
            </w:r>
          </w:p>
        </w:tc>
        <w:tc>
          <w:tcPr>
            <w:tcW w:w="5521" w:type="dxa"/>
          </w:tcPr>
          <w:p>
            <w:pPr>
              <w:pStyle w:val="TableParagraph"/>
              <w:spacing w:before="4"/>
              <w:ind w:left="0"/>
              <w:rPr>
                <w:rFonts w:ascii="Microsoft JhengHei"/>
                <w:b/>
                <w:sz w:val="18"/>
              </w:rPr>
            </w:pPr>
          </w:p>
          <w:p>
            <w:pPr>
              <w:pStyle w:val="TableParagraph"/>
              <w:numPr>
                <w:ilvl w:val="0"/>
                <w:numId w:val="35"/>
              </w:numPr>
              <w:tabs>
                <w:tab w:val="left" w:pos="371"/>
              </w:tabs>
              <w:spacing w:before="0" w:after="0" w:line="278" w:lineRule="auto"/>
              <w:ind w:left="108" w:right="-15" w:firstLine="0"/>
              <w:jc w:val="left"/>
              <w:rPr>
                <w:sz w:val="21"/>
              </w:rPr>
            </w:pPr>
            <w:r>
              <w:rPr>
                <w:spacing w:val="-13"/>
                <w:sz w:val="21"/>
              </w:rPr>
              <w:t>资源浪费：由于筛选方法的选择和筛选阈值的设定问题，</w:t>
            </w:r>
            <w:r>
              <w:rPr>
                <w:spacing w:val="-2"/>
                <w:sz w:val="21"/>
              </w:rPr>
              <w:t>可能导致医疗资源的浪费。</w:t>
            </w:r>
          </w:p>
          <w:p>
            <w:pPr>
              <w:pStyle w:val="TableParagraph"/>
              <w:numPr>
                <w:ilvl w:val="0"/>
                <w:numId w:val="35"/>
              </w:numPr>
              <w:tabs>
                <w:tab w:val="left" w:pos="371"/>
              </w:tabs>
              <w:spacing w:before="0" w:after="0" w:line="278" w:lineRule="auto"/>
              <w:ind w:left="108" w:right="96" w:firstLine="0"/>
              <w:jc w:val="left"/>
              <w:rPr>
                <w:sz w:val="21"/>
              </w:rPr>
            </w:pPr>
            <w:r>
              <w:rPr>
                <w:spacing w:val="-2"/>
                <w:sz w:val="21"/>
              </w:rPr>
              <w:t>筛查成本高昂：目前的筛查策略通常需要频繁进行，增</w:t>
            </w:r>
            <w:r>
              <w:rPr>
                <w:spacing w:val="-2"/>
                <w:sz w:val="21"/>
              </w:rPr>
              <w:t>加了筛查成本。</w:t>
            </w:r>
          </w:p>
          <w:p>
            <w:pPr>
              <w:pStyle w:val="TableParagraph"/>
              <w:numPr>
                <w:ilvl w:val="0"/>
                <w:numId w:val="35"/>
              </w:numPr>
              <w:tabs>
                <w:tab w:val="left" w:pos="371"/>
              </w:tabs>
              <w:spacing w:before="0" w:after="0" w:line="278" w:lineRule="auto"/>
              <w:ind w:left="108" w:right="96" w:firstLine="0"/>
              <w:jc w:val="left"/>
              <w:rPr>
                <w:sz w:val="21"/>
              </w:rPr>
            </w:pPr>
            <w:r>
              <w:rPr>
                <w:spacing w:val="-2"/>
                <w:sz w:val="21"/>
              </w:rPr>
              <w:t>直接和间接费用高：筛查过程中的直接和间接费用可能</w:t>
            </w:r>
            <w:r>
              <w:rPr>
                <w:spacing w:val="-2"/>
                <w:sz w:val="21"/>
              </w:rPr>
              <w:t>导致部分经济条件较差的人群放弃筛查。</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75" w:type="dxa"/>
          </w:tcPr>
          <w:p>
            <w:pPr>
              <w:pStyle w:val="TableParagraph"/>
              <w:spacing w:before="23"/>
              <w:rPr>
                <w:sz w:val="21"/>
              </w:rPr>
            </w:pPr>
            <w:r>
              <w:rPr>
                <w:spacing w:val="-1"/>
                <w:sz w:val="21"/>
              </w:rPr>
              <w:t>局限性五：筛查频率不适当</w:t>
            </w:r>
          </w:p>
        </w:tc>
        <w:tc>
          <w:tcPr>
            <w:tcW w:w="5521" w:type="dxa"/>
          </w:tcPr>
          <w:p>
            <w:pPr>
              <w:pStyle w:val="TableParagraph"/>
              <w:spacing w:before="4"/>
              <w:ind w:left="0"/>
              <w:rPr>
                <w:rFonts w:ascii="Microsoft JhengHei"/>
                <w:b/>
                <w:sz w:val="18"/>
              </w:rPr>
            </w:pPr>
          </w:p>
          <w:p>
            <w:pPr>
              <w:pStyle w:val="TableParagraph"/>
              <w:numPr>
                <w:ilvl w:val="0"/>
                <w:numId w:val="34"/>
              </w:numPr>
              <w:tabs>
                <w:tab w:val="left" w:pos="371"/>
              </w:tabs>
              <w:spacing w:before="0" w:after="0" w:line="278" w:lineRule="auto"/>
              <w:ind w:left="108" w:right="96" w:firstLine="0"/>
              <w:jc w:val="left"/>
              <w:rPr>
                <w:sz w:val="21"/>
              </w:rPr>
            </w:pPr>
            <w:r>
              <w:rPr>
                <w:spacing w:val="-2"/>
                <w:sz w:val="21"/>
              </w:rPr>
              <w:t>屏幕频率过高或过低：过度筛查可能导致不必要的焦虑</w:t>
            </w:r>
            <w:r>
              <w:rPr>
                <w:spacing w:val="-2"/>
                <w:sz w:val="21"/>
              </w:rPr>
              <w:t>和负担；筛查频率过低可能会错过最佳诊疗时机。</w:t>
            </w:r>
          </w:p>
          <w:p>
            <w:pPr>
              <w:pStyle w:val="TableParagraph"/>
              <w:numPr>
                <w:ilvl w:val="0"/>
                <w:numId w:val="34"/>
              </w:numPr>
              <w:tabs>
                <w:tab w:val="left" w:pos="371"/>
              </w:tabs>
              <w:spacing w:before="0" w:after="0" w:line="278" w:lineRule="auto"/>
              <w:ind w:left="108" w:right="-15" w:firstLine="0"/>
              <w:jc w:val="left"/>
              <w:rPr>
                <w:sz w:val="21"/>
              </w:rPr>
            </w:pPr>
            <w:r>
              <w:rPr>
                <w:spacing w:val="-2"/>
                <w:sz w:val="21"/>
              </w:rPr>
              <w:t>缺乏针对不同风险群体的筛查间隔推荐：现有筛查策略</w:t>
            </w:r>
            <w:r>
              <w:rPr>
                <w:spacing w:val="-2"/>
                <w:sz w:val="21"/>
              </w:rPr>
              <w:t>没有考虑到不同风险群体的特异性，导致筛查频率不恰当。</w:t>
            </w:r>
          </w:p>
          <w:p>
            <w:pPr>
              <w:pStyle w:val="TableParagraph"/>
              <w:numPr>
                <w:ilvl w:val="0"/>
                <w:numId w:val="34"/>
              </w:numPr>
              <w:tabs>
                <w:tab w:val="left" w:pos="371"/>
              </w:tabs>
              <w:spacing w:before="0" w:after="0" w:line="278" w:lineRule="auto"/>
              <w:ind w:left="108" w:right="96" w:firstLine="0"/>
              <w:jc w:val="left"/>
              <w:rPr>
                <w:sz w:val="21"/>
              </w:rPr>
            </w:pPr>
            <w:r>
              <w:rPr>
                <w:spacing w:val="-2"/>
                <w:sz w:val="21"/>
              </w:rPr>
              <w:t>筛查间隔不统一：不同的国家和地区对于筛查间隔的规</w:t>
            </w:r>
            <w:r>
              <w:rPr>
                <w:spacing w:val="-2"/>
                <w:sz w:val="21"/>
              </w:rPr>
              <w:t>定不一致，可能导致比较困难。</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75" w:type="dxa"/>
          </w:tcPr>
          <w:p>
            <w:pPr>
              <w:pStyle w:val="TableParagraph"/>
              <w:spacing w:before="23"/>
              <w:rPr>
                <w:sz w:val="21"/>
              </w:rPr>
            </w:pPr>
            <w:r>
              <w:rPr>
                <w:spacing w:val="-1"/>
                <w:sz w:val="21"/>
              </w:rPr>
              <w:t>局限性六：后续管理欠佳</w:t>
            </w:r>
          </w:p>
        </w:tc>
        <w:tc>
          <w:tcPr>
            <w:tcW w:w="5521"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8" w:right="96" w:firstLine="0"/>
              <w:jc w:val="left"/>
              <w:rPr>
                <w:sz w:val="21"/>
              </w:rPr>
            </w:pPr>
            <w:r>
              <w:rPr>
                <w:spacing w:val="-2"/>
                <w:sz w:val="21"/>
              </w:rPr>
              <w:t>治疗后跟踪随访不够：现有的筛查策略中，对于接受治</w:t>
            </w:r>
            <w:r>
              <w:rPr>
                <w:spacing w:val="-2"/>
                <w:sz w:val="21"/>
              </w:rPr>
              <w:t>疗后的患者的跟踪随访不够完善。</w:t>
            </w:r>
          </w:p>
          <w:p>
            <w:pPr>
              <w:pStyle w:val="TableParagraph"/>
              <w:numPr>
                <w:ilvl w:val="0"/>
                <w:numId w:val="33"/>
              </w:numPr>
              <w:tabs>
                <w:tab w:val="left" w:pos="371"/>
              </w:tabs>
              <w:spacing w:before="0" w:after="0" w:line="278" w:lineRule="auto"/>
              <w:ind w:left="108" w:right="96" w:firstLine="0"/>
              <w:jc w:val="left"/>
              <w:rPr>
                <w:sz w:val="21"/>
              </w:rPr>
            </w:pPr>
            <w:r>
              <w:rPr>
                <w:spacing w:val="-2"/>
                <w:sz w:val="21"/>
              </w:rPr>
              <w:t>忽视预防措施推广：筛查策略过于侧重于诊断，而忽视</w:t>
            </w:r>
            <w:r>
              <w:rPr>
                <w:spacing w:val="-2"/>
                <w:sz w:val="21"/>
              </w:rPr>
              <w:t>了预防措施的普及和推广。</w:t>
            </w:r>
          </w:p>
          <w:p>
            <w:pPr>
              <w:pStyle w:val="TableParagraph"/>
              <w:numPr>
                <w:ilvl w:val="0"/>
                <w:numId w:val="33"/>
              </w:numPr>
              <w:tabs>
                <w:tab w:val="left" w:pos="371"/>
              </w:tabs>
              <w:spacing w:before="0" w:after="0" w:line="269" w:lineRule="exact"/>
              <w:ind w:left="370" w:right="0" w:hanging="263"/>
              <w:jc w:val="left"/>
              <w:rPr>
                <w:sz w:val="21"/>
              </w:rPr>
            </w:pPr>
            <w:r>
              <w:rPr>
                <w:spacing w:val="-1"/>
                <w:sz w:val="21"/>
              </w:rPr>
              <w:t>社区卫生资源利用不足：社区卫生资源在宫颈上皮内癌</w:t>
            </w:r>
          </w:p>
          <w:p>
            <w:pPr>
              <w:pStyle w:val="TableParagraph"/>
              <w:spacing w:before="43"/>
              <w:rPr>
                <w:sz w:val="21"/>
              </w:rPr>
            </w:pPr>
            <w:r>
              <w:rPr>
                <w:spacing w:val="-1"/>
                <w:sz w:val="21"/>
              </w:rPr>
              <w:t>筛查中的作用尚未得到充分利用。</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75" w:type="dxa"/>
          </w:tcPr>
          <w:p>
            <w:pPr>
              <w:pStyle w:val="TableParagraph"/>
              <w:ind w:left="0"/>
              <w:rPr>
                <w:rFonts w:ascii="Times New Roman"/>
                <w:sz w:val="22"/>
              </w:rPr>
            </w:pPr>
          </w:p>
        </w:tc>
        <w:tc>
          <w:tcPr>
            <w:tcW w:w="5521" w:type="dxa"/>
          </w:tcPr>
          <w:p>
            <w:pPr>
              <w:pStyle w:val="TableParagraph"/>
              <w:ind w:left="0"/>
              <w:rPr>
                <w:rFonts w:ascii="Times New Roman"/>
                <w:sz w:val="22"/>
              </w:rPr>
            </w:pPr>
          </w:p>
        </w:tc>
      </w:tr>
    </w:tbl>
    <w:p>
      <w:pPr>
        <w:pStyle w:val="BodyText"/>
        <w:spacing w:before="7"/>
        <w:rPr>
          <w:rFonts w:ascii="Microsoft JhengHei"/>
          <w:b/>
          <w:sz w:val="5"/>
        </w:rPr>
      </w:pPr>
    </w:p>
    <w:p>
      <w:pPr>
        <w:pStyle w:val="BodyText"/>
        <w:spacing w:before="61" w:line="417" w:lineRule="auto"/>
        <w:ind w:left="120" w:right="518" w:firstLine="560"/>
        <w:jc w:val="both"/>
      </w:pPr>
      <w:r>
        <w:t xml:space="preserve">宫颈上皮内癌（Cervical Intraepithelial </w:t>
      </w:r>
      <w:r>
        <w:t>Neoplasia，CIN）</w:t>
      </w:r>
      <w:r>
        <w:rPr>
          <w:spacing w:val="-4"/>
        </w:rPr>
        <w:t>是一种常见的妇科疾病，通常被视为宫颈癌的前驱病变。为了有效预</w:t>
      </w:r>
      <w:r>
        <w:rPr>
          <w:spacing w:val="-8"/>
        </w:rPr>
        <w:t xml:space="preserve">防和控制宫颈癌的发生，对 </w:t>
      </w:r>
      <w:r>
        <w:rPr>
          <w:spacing w:val="-6"/>
        </w:rPr>
        <w:t>CIN</w:t>
      </w:r>
      <w:r>
        <w:rPr>
          <w:spacing w:val="-11"/>
        </w:rPr>
        <w:t xml:space="preserve"> 进行早期筛查至关重要。然而，现有</w:t>
      </w:r>
      <w:r>
        <w:rPr>
          <w:spacing w:val="-2"/>
        </w:rPr>
        <w:t>的筛查策略存在一些局限性。</w:t>
      </w:r>
    </w:p>
    <w:p>
      <w:pPr>
        <w:spacing w:after="0" w:line="417" w:lineRule="auto"/>
        <w:jc w:val="both"/>
        <w:sectPr>
          <w:footerReference w:type="default" r:id="rId8"/>
          <w:type w:val="continuous"/>
          <w:pgSz w:w="11910" w:h="16840"/>
          <w:pgMar w:top="1400" w:right="1280" w:bottom="1380" w:left="1680" w:header="0" w:footer="1198"/>
          <w:pgNumType w:start="4"/>
          <w:cols w:space="708"/>
        </w:sectPr>
      </w:pPr>
    </w:p>
    <w:p>
      <w:pPr>
        <w:pStyle w:val="BodyText"/>
        <w:spacing w:before="8"/>
        <w:rPr>
          <w:sz w:val="15"/>
        </w:rPr>
      </w:pPr>
    </w:p>
    <w:p>
      <w:pPr>
        <w:pStyle w:val="ListParagraph"/>
        <w:numPr>
          <w:ilvl w:val="0"/>
          <w:numId w:val="32"/>
        </w:numPr>
        <w:tabs>
          <w:tab w:val="left" w:pos="542"/>
        </w:tabs>
        <w:spacing w:before="60" w:after="0" w:line="240" w:lineRule="auto"/>
        <w:ind w:left="541" w:right="0" w:hanging="422"/>
        <w:jc w:val="left"/>
        <w:rPr>
          <w:sz w:val="28"/>
        </w:rPr>
      </w:pPr>
      <w:r>
        <w:rPr>
          <w:spacing w:val="-1"/>
          <w:sz w:val="28"/>
        </w:rPr>
        <w:t>筛查方法的敏感性和特异性：目前主要的筛查方法包括涂片检查</w:t>
      </w:r>
    </w:p>
    <w:p>
      <w:pPr>
        <w:pStyle w:val="BodyText"/>
        <w:spacing w:before="9"/>
        <w:rPr>
          <w:sz w:val="20"/>
        </w:rPr>
      </w:pPr>
    </w:p>
    <w:p>
      <w:pPr>
        <w:pStyle w:val="BodyText"/>
        <w:spacing w:line="417" w:lineRule="auto"/>
        <w:ind w:left="120" w:right="238"/>
      </w:pPr>
      <w:r>
        <w:t>（Pap</w:t>
      </w:r>
      <w:r>
        <w:rPr>
          <w:spacing w:val="-35"/>
        </w:rPr>
        <w:t xml:space="preserve"> </w:t>
      </w:r>
      <w:r>
        <w:t>smear）</w:t>
      </w:r>
      <w:r>
        <w:rPr>
          <w:spacing w:val="-9"/>
        </w:rPr>
        <w:t>和人乳头瘤病毒</w:t>
      </w:r>
      <w:r>
        <w:t>（Human</w:t>
      </w:r>
      <w:r>
        <w:rPr>
          <w:spacing w:val="-35"/>
        </w:rPr>
        <w:t xml:space="preserve"> </w:t>
      </w:r>
      <w:r>
        <w:t>Papillomavirus，HPV）检测。</w:t>
      </w:r>
      <w:r>
        <w:rPr>
          <w:spacing w:val="-2"/>
        </w:rPr>
        <w:t>尽管这些方法在临床实践中广泛应用，但它们都存在一定的局限性。</w:t>
      </w:r>
      <w:r>
        <w:rPr>
          <w:spacing w:val="-2"/>
        </w:rPr>
        <w:t xml:space="preserve">涂片检查的敏感度相对较低，漏诊率较高；而 </w:t>
      </w:r>
      <w:r>
        <w:t>HPV</w:t>
      </w:r>
      <w:r>
        <w:rPr>
          <w:spacing w:val="-7"/>
        </w:rPr>
        <w:t xml:space="preserve"> 检测虽然具有较高</w:t>
      </w:r>
      <w:r>
        <w:t xml:space="preserve"> </w:t>
      </w:r>
      <w:r>
        <w:rPr>
          <w:spacing w:val="-2"/>
        </w:rPr>
        <w:t>的敏感性，但也容易出现假阳性结果，导致不必要的进一步检查和治</w:t>
      </w:r>
      <w:r>
        <w:rPr>
          <w:spacing w:val="-2"/>
        </w:rPr>
        <w:t xml:space="preserve"> </w:t>
      </w:r>
      <w:r>
        <w:rPr>
          <w:spacing w:val="-6"/>
        </w:rPr>
        <w:t>疗。</w:t>
      </w:r>
    </w:p>
    <w:p>
      <w:pPr>
        <w:pStyle w:val="ListParagraph"/>
        <w:numPr>
          <w:ilvl w:val="0"/>
          <w:numId w:val="32"/>
        </w:numPr>
        <w:tabs>
          <w:tab w:val="left" w:pos="542"/>
        </w:tabs>
        <w:spacing w:before="0" w:after="0" w:line="417" w:lineRule="auto"/>
        <w:ind w:left="120" w:right="518" w:firstLine="0"/>
        <w:jc w:val="both"/>
        <w:rPr>
          <w:sz w:val="28"/>
        </w:rPr>
      </w:pPr>
      <w:r>
        <w:rPr>
          <w:spacing w:val="-4"/>
          <w:sz w:val="28"/>
        </w:rPr>
        <w:t xml:space="preserve">筛查频率与成本：根据当前的指南建议，女性应定期进行 </w:t>
      </w:r>
      <w:r>
        <w:rPr>
          <w:spacing w:val="-2"/>
          <w:sz w:val="28"/>
        </w:rPr>
        <w:t>CIN</w:t>
      </w:r>
      <w:r>
        <w:rPr>
          <w:spacing w:val="-18"/>
          <w:sz w:val="28"/>
        </w:rPr>
        <w:t xml:space="preserve"> 筛</w:t>
      </w:r>
      <w:r>
        <w:rPr>
          <w:spacing w:val="-4"/>
          <w:sz w:val="28"/>
        </w:rPr>
        <w:t>查。然而，频繁的筛查可能会增加医疗负担，并且可能导致过度诊断</w:t>
      </w:r>
      <w:r>
        <w:rPr>
          <w:spacing w:val="-8"/>
          <w:sz w:val="28"/>
        </w:rPr>
        <w:t xml:space="preserve">和不必要的干预。此外，涂片检查和 </w:t>
      </w:r>
      <w:r>
        <w:rPr>
          <w:spacing w:val="-6"/>
          <w:sz w:val="28"/>
        </w:rPr>
        <w:t>HPV</w:t>
      </w:r>
      <w:r>
        <w:rPr>
          <w:spacing w:val="-11"/>
          <w:sz w:val="28"/>
        </w:rPr>
        <w:t xml:space="preserve"> 检测的成本也会影响筛查策</w:t>
      </w:r>
      <w:r>
        <w:rPr>
          <w:spacing w:val="-2"/>
          <w:sz w:val="28"/>
        </w:rPr>
        <w:t>略的普及程度和可及性。</w:t>
      </w:r>
    </w:p>
    <w:p>
      <w:pPr>
        <w:pStyle w:val="ListParagraph"/>
        <w:numPr>
          <w:ilvl w:val="0"/>
          <w:numId w:val="32"/>
        </w:numPr>
        <w:tabs>
          <w:tab w:val="left" w:pos="540"/>
        </w:tabs>
        <w:spacing w:before="0" w:after="0" w:line="417" w:lineRule="auto"/>
        <w:ind w:left="120" w:right="448" w:firstLine="0"/>
        <w:jc w:val="both"/>
        <w:rPr>
          <w:sz w:val="28"/>
        </w:rPr>
      </w:pPr>
      <w:r>
        <w:rPr>
          <w:spacing w:val="-20"/>
          <w:sz w:val="28"/>
        </w:rPr>
        <w:t xml:space="preserve">年龄限制：传统的筛查策略往往只针对特定年龄段的女性，例如 </w:t>
      </w:r>
      <w:r>
        <w:rPr>
          <w:spacing w:val="-2"/>
          <w:sz w:val="28"/>
        </w:rPr>
        <w:t>21</w:t>
      </w:r>
      <w:r>
        <w:rPr>
          <w:spacing w:val="-6"/>
          <w:sz w:val="28"/>
        </w:rPr>
        <w:t xml:space="preserve">岁以上或 </w:t>
      </w:r>
      <w:r>
        <w:rPr>
          <w:sz w:val="28"/>
        </w:rPr>
        <w:t>30</w:t>
      </w:r>
      <w:r>
        <w:rPr>
          <w:spacing w:val="-6"/>
          <w:sz w:val="28"/>
        </w:rPr>
        <w:t xml:space="preserve"> 岁以上的女性。这种年龄限制可能遗漏了一些年轻女性</w:t>
      </w:r>
      <w:r>
        <w:rPr>
          <w:spacing w:val="-5"/>
          <w:sz w:val="28"/>
        </w:rPr>
        <w:t xml:space="preserve">中发生的 </w:t>
      </w:r>
      <w:r>
        <w:rPr>
          <w:sz w:val="28"/>
        </w:rPr>
        <w:t>CIN</w:t>
      </w:r>
      <w:r>
        <w:rPr>
          <w:spacing w:val="-5"/>
          <w:sz w:val="28"/>
        </w:rPr>
        <w:t xml:space="preserve"> 病例，同时也忽视了老年女性中的风险。</w:t>
      </w:r>
    </w:p>
    <w:p>
      <w:pPr>
        <w:pStyle w:val="ListParagraph"/>
        <w:numPr>
          <w:ilvl w:val="0"/>
          <w:numId w:val="32"/>
        </w:numPr>
        <w:tabs>
          <w:tab w:val="left" w:pos="542"/>
        </w:tabs>
        <w:spacing w:before="0" w:after="0" w:line="417" w:lineRule="auto"/>
        <w:ind w:left="120" w:right="518" w:firstLine="0"/>
        <w:jc w:val="both"/>
        <w:rPr>
          <w:sz w:val="28"/>
        </w:rPr>
      </w:pPr>
      <w:r>
        <w:rPr>
          <w:spacing w:val="-4"/>
          <w:sz w:val="28"/>
        </w:rPr>
        <w:t xml:space="preserve">人群差异：不同的地区、种族和经济状况的人群在 </w:t>
      </w:r>
      <w:r>
        <w:rPr>
          <w:spacing w:val="-2"/>
          <w:sz w:val="28"/>
        </w:rPr>
        <w:t>CIN</w:t>
      </w:r>
      <w:r>
        <w:rPr>
          <w:spacing w:val="-10"/>
          <w:sz w:val="28"/>
        </w:rPr>
        <w:t xml:space="preserve"> 的发病率</w:t>
      </w:r>
      <w:r>
        <w:rPr>
          <w:spacing w:val="-4"/>
          <w:sz w:val="28"/>
        </w:rPr>
        <w:t>和危险因素方面可能存在差异。然而，现有筛查策略并未充分考虑到</w:t>
      </w:r>
      <w:r>
        <w:rPr>
          <w:spacing w:val="-2"/>
          <w:sz w:val="28"/>
        </w:rPr>
        <w:t>这些差异，可能导致部分高危群体未得到足够的关注和保护。</w:t>
      </w:r>
    </w:p>
    <w:p>
      <w:pPr>
        <w:pStyle w:val="ListParagraph"/>
        <w:numPr>
          <w:ilvl w:val="0"/>
          <w:numId w:val="32"/>
        </w:numPr>
        <w:tabs>
          <w:tab w:val="left" w:pos="542"/>
        </w:tabs>
        <w:spacing w:before="0" w:after="0" w:line="417" w:lineRule="auto"/>
        <w:ind w:left="120" w:right="518" w:firstLine="0"/>
        <w:jc w:val="both"/>
        <w:rPr>
          <w:sz w:val="28"/>
        </w:rPr>
      </w:pPr>
      <w:r>
        <w:rPr>
          <w:spacing w:val="-2"/>
          <w:sz w:val="28"/>
        </w:rPr>
        <w:t>缺乏个性化筛查：个体间的生物学差异和生活背景使得不同人群</w:t>
      </w:r>
      <w:r>
        <w:rPr>
          <w:spacing w:val="-18"/>
          <w:sz w:val="28"/>
        </w:rPr>
        <w:t xml:space="preserve">对 </w:t>
      </w:r>
      <w:r>
        <w:rPr>
          <w:spacing w:val="-6"/>
          <w:sz w:val="28"/>
        </w:rPr>
        <w:t>CIN</w:t>
      </w:r>
      <w:r>
        <w:rPr>
          <w:spacing w:val="-11"/>
          <w:sz w:val="28"/>
        </w:rPr>
        <w:t xml:space="preserve"> 的风险各异。然而，现有的筛查策略普遍采用统一的标准和频</w:t>
      </w:r>
      <w:r>
        <w:rPr>
          <w:spacing w:val="-2"/>
          <w:sz w:val="28"/>
        </w:rPr>
        <w:t>率，缺乏针对性和个性化，这可能影响筛查效果和患者满意度。</w:t>
      </w:r>
    </w:p>
    <w:p>
      <w:pPr>
        <w:pStyle w:val="ListParagraph"/>
        <w:numPr>
          <w:ilvl w:val="0"/>
          <w:numId w:val="32"/>
        </w:numPr>
        <w:tabs>
          <w:tab w:val="left" w:pos="542"/>
        </w:tabs>
        <w:spacing w:before="0" w:after="0" w:line="417" w:lineRule="auto"/>
        <w:ind w:left="120" w:right="518" w:firstLine="0"/>
        <w:jc w:val="both"/>
        <w:rPr>
          <w:sz w:val="28"/>
        </w:rPr>
      </w:pPr>
      <w:r>
        <w:rPr>
          <w:spacing w:val="-2"/>
          <w:sz w:val="28"/>
        </w:rPr>
        <w:t>跟踪随访不足：对于筛查阳性的个体，需要进行进一步的评估和</w:t>
      </w:r>
      <w:r>
        <w:rPr>
          <w:spacing w:val="-4"/>
          <w:sz w:val="28"/>
        </w:rPr>
        <w:t>管理。然而，在实际工作中，跟踪随访可能不够及时和系统，可能导</w:t>
      </w:r>
    </w:p>
    <w:p>
      <w:pPr>
        <w:spacing w:after="0" w:line="417" w:lineRule="auto"/>
        <w:jc w:val="both"/>
        <w:rPr>
          <w:sz w:val="28"/>
        </w:rPr>
        <w:sectPr>
          <w:footerReference w:type="default" r:id="rId9"/>
          <w:pgSz w:w="11910" w:h="16840"/>
          <w:pgMar w:top="1920" w:right="1280" w:bottom="1380" w:left="1680" w:header="0" w:footer="1198"/>
          <w:pgNumType w:start="5"/>
          <w:cols w:space="708"/>
        </w:sectPr>
      </w:pPr>
    </w:p>
    <w:p>
      <w:pPr>
        <w:pStyle w:val="BodyText"/>
        <w:spacing w:before="37"/>
        <w:ind w:left="120"/>
      </w:pPr>
      <w:r>
        <w:rPr>
          <w:spacing w:val="-1"/>
        </w:rPr>
        <w:t>致延误诊治和错过最佳治疗时机。</w:t>
      </w:r>
    </w:p>
    <w:p>
      <w:pPr>
        <w:pStyle w:val="BodyText"/>
      </w:pPr>
    </w:p>
    <w:p>
      <w:pPr>
        <w:pStyle w:val="BodyText"/>
        <w:spacing w:before="5"/>
        <w:rPr>
          <w:sz w:val="41"/>
        </w:rPr>
      </w:pPr>
    </w:p>
    <w:p>
      <w:pPr>
        <w:pStyle w:val="BodyText"/>
        <w:spacing w:line="417" w:lineRule="auto"/>
        <w:ind w:left="120" w:right="518"/>
        <w:jc w:val="both"/>
      </w:pPr>
      <w:r>
        <w:rPr>
          <w:spacing w:val="-7"/>
        </w:rPr>
        <w:t xml:space="preserve">因此，为了更有效地防控宫颈癌，我们需要不断探索和完善 </w:t>
      </w:r>
      <w:r>
        <w:rPr>
          <w:spacing w:val="-6"/>
        </w:rPr>
        <w:t>CIN</w:t>
      </w:r>
      <w:r>
        <w:rPr>
          <w:spacing w:val="-14"/>
        </w:rPr>
        <w:t xml:space="preserve"> 的筛</w:t>
      </w:r>
      <w:r>
        <w:rPr>
          <w:spacing w:val="-4"/>
        </w:rPr>
        <w:t>查策略，克服现有策略的局限性，提高筛查效率和准确度，减少不必</w:t>
      </w:r>
      <w:r>
        <w:rPr>
          <w:spacing w:val="-2"/>
        </w:rPr>
        <w:t>要的干预，保障妇女健康权益。</w:t>
      </w:r>
    </w:p>
    <w:p>
      <w:pPr>
        <w:pStyle w:val="BodyText"/>
      </w:pPr>
    </w:p>
    <w:p>
      <w:pPr>
        <w:pStyle w:val="Heading1"/>
        <w:spacing w:before="237"/>
        <w:jc w:val="both"/>
      </w:pPr>
      <w:bookmarkStart w:id="2" w:name="_TOC_250005"/>
      <w:r>
        <w:rPr>
          <w:spacing w:val="5"/>
        </w:rPr>
        <w:t xml:space="preserve">第三部分  </w:t>
      </w:r>
      <w:r>
        <w:rPr>
          <w:rFonts w:ascii="Times New Roman" w:eastAsia="Times New Roman"/>
          <w:spacing w:val="-8"/>
          <w:w w:val="73"/>
        </w:rPr>
        <w:t>H</w:t>
      </w:r>
      <w:r>
        <w:rPr>
          <w:rFonts w:ascii="Times New Roman" w:eastAsia="Times New Roman"/>
          <w:spacing w:val="-8"/>
          <w:w w:val="90"/>
        </w:rPr>
        <w:t>P</w:t>
      </w:r>
      <w:r>
        <w:rPr>
          <w:rFonts w:ascii="Times New Roman" w:eastAsia="Times New Roman"/>
          <w:spacing w:val="-8"/>
          <w:w w:val="78"/>
        </w:rPr>
        <w:t>V</w:t>
      </w:r>
      <w:r>
        <w:rPr>
          <w:rFonts w:ascii="Times New Roman" w:eastAsia="Times New Roman"/>
          <w:spacing w:val="-8"/>
          <w:w w:val="159"/>
        </w:rPr>
        <w:t>-</w:t>
      </w:r>
      <w:r>
        <w:rPr>
          <w:rFonts w:ascii="Times New Roman" w:eastAsia="Times New Roman"/>
          <w:spacing w:val="-8"/>
        </w:rPr>
        <w:t>DNA</w:t>
      </w:r>
      <w:r>
        <w:rPr>
          <w:rFonts w:ascii="Times New Roman" w:eastAsia="Times New Roman"/>
          <w:spacing w:val="-12"/>
        </w:rPr>
        <w:t xml:space="preserve"> </w:t>
      </w:r>
      <w:bookmarkEnd w:id="2"/>
      <w:r>
        <w:rPr>
          <w:spacing w:val="-9"/>
        </w:rPr>
        <w:t>检测技术的发展与应用</w:t>
      </w:r>
    </w:p>
    <w:p>
      <w:pPr>
        <w:pStyle w:val="BodyText"/>
        <w:spacing w:before="16"/>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7800"/>
          <w:jc w:val="left"/>
        </w:trPr>
        <w:tc>
          <w:tcPr>
            <w:tcW w:w="2769" w:type="dxa"/>
          </w:tcPr>
          <w:p>
            <w:pPr>
              <w:pStyle w:val="TableParagraph"/>
              <w:spacing w:before="23" w:line="278" w:lineRule="auto"/>
              <w:ind w:right="96"/>
              <w:rPr>
                <w:sz w:val="21"/>
              </w:rPr>
            </w:pPr>
            <w:r>
              <w:rPr>
                <w:rFonts w:ascii="Times New Roman" w:eastAsia="Times New Roman"/>
                <w:sz w:val="21"/>
              </w:rPr>
              <w:t>HPV-DNA</w:t>
            </w:r>
            <w:r>
              <w:rPr>
                <w:rFonts w:ascii="Times New Roman" w:eastAsia="Times New Roman"/>
                <w:spacing w:val="-14"/>
                <w:sz w:val="21"/>
              </w:rPr>
              <w:t xml:space="preserve"> </w:t>
            </w:r>
            <w:r>
              <w:rPr>
                <w:spacing w:val="11"/>
                <w:sz w:val="21"/>
              </w:rPr>
              <w:t>检测技术的发展</w:t>
            </w:r>
            <w:r>
              <w:rPr>
                <w:spacing w:val="-6"/>
                <w:sz w:val="21"/>
              </w:rPr>
              <w:t>历程</w:t>
            </w:r>
          </w:p>
        </w:tc>
        <w:tc>
          <w:tcPr>
            <w:tcW w:w="5527"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97" w:firstLine="0"/>
              <w:jc w:val="both"/>
              <w:rPr>
                <w:sz w:val="21"/>
              </w:rPr>
            </w:pPr>
            <w:r>
              <w:rPr>
                <w:spacing w:val="-10"/>
                <w:sz w:val="21"/>
              </w:rPr>
              <w:t xml:space="preserve">传统的 </w:t>
            </w:r>
            <w:r>
              <w:rPr>
                <w:rFonts w:ascii="Times New Roman" w:eastAsia="Times New Roman"/>
                <w:spacing w:val="-6"/>
                <w:sz w:val="21"/>
              </w:rPr>
              <w:t>PCR</w:t>
            </w:r>
            <w:r>
              <w:rPr>
                <w:rFonts w:ascii="Times New Roman" w:eastAsia="Times New Roman"/>
                <w:spacing w:val="-7"/>
                <w:sz w:val="21"/>
              </w:rPr>
              <w:t xml:space="preserve"> </w:t>
            </w:r>
            <w:r>
              <w:rPr>
                <w:spacing w:val="-9"/>
                <w:sz w:val="21"/>
              </w:rPr>
              <w:t xml:space="preserve">技术：在 </w:t>
            </w:r>
            <w:r>
              <w:rPr>
                <w:rFonts w:ascii="Times New Roman" w:eastAsia="Times New Roman"/>
                <w:spacing w:val="-6"/>
                <w:sz w:val="21"/>
              </w:rPr>
              <w:t>HPV-DNA</w:t>
            </w:r>
            <w:r>
              <w:rPr>
                <w:rFonts w:ascii="Times New Roman" w:eastAsia="Times New Roman"/>
                <w:spacing w:val="-7"/>
                <w:sz w:val="21"/>
              </w:rPr>
              <w:t xml:space="preserve"> </w:t>
            </w:r>
            <w:r>
              <w:rPr>
                <w:spacing w:val="-6"/>
                <w:sz w:val="21"/>
              </w:rPr>
              <w:t>检测技术的早期，聚合</w:t>
            </w:r>
            <w:r>
              <w:rPr>
                <w:spacing w:val="-2"/>
                <w:sz w:val="21"/>
              </w:rPr>
              <w:t>酶链反应（</w:t>
            </w:r>
            <w:r>
              <w:rPr>
                <w:rFonts w:ascii="Times New Roman" w:eastAsia="Times New Roman"/>
                <w:spacing w:val="-2"/>
                <w:sz w:val="21"/>
              </w:rPr>
              <w:t>PCR</w:t>
            </w:r>
            <w:r>
              <w:rPr>
                <w:spacing w:val="-2"/>
                <w:sz w:val="21"/>
              </w:rPr>
              <w:t>）是最常见的方法。通过扩增和分析特定</w:t>
            </w:r>
            <w:r>
              <w:rPr>
                <w:spacing w:val="-7"/>
                <w:sz w:val="21"/>
              </w:rPr>
              <w:t xml:space="preserve">的 </w:t>
            </w:r>
            <w:r>
              <w:rPr>
                <w:rFonts w:ascii="Times New Roman" w:eastAsia="Times New Roman"/>
                <w:sz w:val="21"/>
              </w:rPr>
              <w:t xml:space="preserve">HPV </w:t>
            </w:r>
            <w:r>
              <w:rPr>
                <w:spacing w:val="-1"/>
                <w:sz w:val="21"/>
              </w:rPr>
              <w:t xml:space="preserve">基因序列，可以检测到样本中的 </w:t>
            </w:r>
            <w:r>
              <w:rPr>
                <w:rFonts w:ascii="Times New Roman" w:eastAsia="Times New Roman"/>
                <w:sz w:val="21"/>
              </w:rPr>
              <w:t xml:space="preserve">HPV </w:t>
            </w:r>
            <w:r>
              <w:rPr>
                <w:sz w:val="21"/>
              </w:rPr>
              <w:t>感染。</w:t>
            </w:r>
          </w:p>
          <w:p>
            <w:pPr>
              <w:pStyle w:val="TableParagraph"/>
              <w:numPr>
                <w:ilvl w:val="0"/>
                <w:numId w:val="31"/>
              </w:numPr>
              <w:tabs>
                <w:tab w:val="left" w:pos="376"/>
              </w:tabs>
              <w:spacing w:before="0" w:after="0" w:line="269" w:lineRule="exact"/>
              <w:ind w:left="375" w:right="0" w:hanging="269"/>
              <w:jc w:val="both"/>
              <w:rPr>
                <w:rFonts w:ascii="Times New Roman" w:eastAsia="Times New Roman"/>
                <w:sz w:val="21"/>
              </w:rPr>
            </w:pPr>
            <w:r>
              <w:rPr>
                <w:spacing w:val="-5"/>
                <w:sz w:val="21"/>
              </w:rPr>
              <w:t xml:space="preserve">荧光定量 </w:t>
            </w:r>
            <w:r>
              <w:rPr>
                <w:rFonts w:ascii="Times New Roman" w:eastAsia="Times New Roman"/>
                <w:sz w:val="21"/>
              </w:rPr>
              <w:t>PCR</w:t>
            </w:r>
            <w:r>
              <w:rPr>
                <w:rFonts w:ascii="Times New Roman" w:eastAsia="Times New Roman"/>
                <w:spacing w:val="25"/>
                <w:sz w:val="21"/>
              </w:rPr>
              <w:t xml:space="preserve"> </w:t>
            </w:r>
            <w:r>
              <w:rPr>
                <w:spacing w:val="-2"/>
                <w:sz w:val="21"/>
              </w:rPr>
              <w:t xml:space="preserve">技术：随着技术的进步，荧光定量 </w:t>
            </w:r>
            <w:r>
              <w:rPr>
                <w:rFonts w:ascii="Times New Roman" w:eastAsia="Times New Roman"/>
                <w:spacing w:val="-5"/>
                <w:sz w:val="21"/>
              </w:rPr>
              <w:t>PCR</w:t>
            </w:r>
          </w:p>
          <w:p>
            <w:pPr>
              <w:pStyle w:val="TableParagraph"/>
              <w:spacing w:before="43" w:line="278" w:lineRule="auto"/>
              <w:ind w:left="107" w:right="96"/>
              <w:jc w:val="both"/>
              <w:rPr>
                <w:sz w:val="21"/>
              </w:rPr>
            </w:pPr>
            <w:r>
              <w:rPr>
                <w:spacing w:val="-2"/>
                <w:sz w:val="21"/>
              </w:rPr>
              <w:t>（</w:t>
            </w:r>
            <w:r>
              <w:rPr>
                <w:rFonts w:ascii="Times New Roman" w:eastAsia="Times New Roman"/>
                <w:spacing w:val="-2"/>
                <w:sz w:val="21"/>
              </w:rPr>
              <w:t>qPCR</w:t>
            </w:r>
            <w:r>
              <w:rPr>
                <w:spacing w:val="-2"/>
                <w:sz w:val="21"/>
              </w:rPr>
              <w:t>）</w:t>
            </w:r>
            <w:r>
              <w:rPr>
                <w:spacing w:val="-6"/>
                <w:sz w:val="21"/>
              </w:rPr>
              <w:t xml:space="preserve">逐渐应用到 </w:t>
            </w:r>
            <w:r>
              <w:rPr>
                <w:rFonts w:ascii="Times New Roman" w:eastAsia="Times New Roman"/>
                <w:spacing w:val="-2"/>
                <w:sz w:val="21"/>
              </w:rPr>
              <w:t>HPV-DNA</w:t>
            </w:r>
            <w:r>
              <w:rPr>
                <w:rFonts w:ascii="Times New Roman" w:eastAsia="Times New Roman"/>
                <w:spacing w:val="-11"/>
                <w:sz w:val="21"/>
              </w:rPr>
              <w:t xml:space="preserve"> </w:t>
            </w:r>
            <w:r>
              <w:rPr>
                <w:spacing w:val="-2"/>
                <w:sz w:val="21"/>
              </w:rPr>
              <w:t>检测中。这种技术不仅能</w:t>
            </w:r>
            <w:r>
              <w:rPr>
                <w:spacing w:val="-9"/>
                <w:sz w:val="21"/>
              </w:rPr>
              <w:t xml:space="preserve">检测到 </w:t>
            </w:r>
            <w:r>
              <w:rPr>
                <w:rFonts w:ascii="Times New Roman" w:eastAsia="Times New Roman"/>
                <w:spacing w:val="-4"/>
                <w:sz w:val="21"/>
              </w:rPr>
              <w:t>HPV</w:t>
            </w:r>
            <w:r>
              <w:rPr>
                <w:rFonts w:ascii="Times New Roman" w:eastAsia="Times New Roman"/>
                <w:spacing w:val="-9"/>
                <w:sz w:val="21"/>
              </w:rPr>
              <w:t xml:space="preserve"> </w:t>
            </w:r>
            <w:r>
              <w:rPr>
                <w:spacing w:val="-6"/>
                <w:sz w:val="21"/>
              </w:rPr>
              <w:t xml:space="preserve">的存在，还能定量测定样本中的 </w:t>
            </w:r>
            <w:r>
              <w:rPr>
                <w:rFonts w:ascii="Times New Roman" w:eastAsia="Times New Roman"/>
                <w:spacing w:val="-4"/>
                <w:sz w:val="21"/>
              </w:rPr>
              <w:t>HPV</w:t>
            </w:r>
            <w:r>
              <w:rPr>
                <w:rFonts w:ascii="Times New Roman" w:eastAsia="Times New Roman"/>
                <w:spacing w:val="-9"/>
                <w:sz w:val="21"/>
              </w:rPr>
              <w:t xml:space="preserve"> </w:t>
            </w:r>
            <w:r>
              <w:rPr>
                <w:rFonts w:ascii="Times New Roman" w:eastAsia="Times New Roman"/>
                <w:spacing w:val="-4"/>
                <w:sz w:val="21"/>
              </w:rPr>
              <w:t>DNA</w:t>
            </w:r>
            <w:r>
              <w:rPr>
                <w:rFonts w:ascii="Times New Roman" w:eastAsia="Times New Roman"/>
                <w:spacing w:val="2"/>
                <w:sz w:val="21"/>
              </w:rPr>
              <w:t xml:space="preserve"> </w:t>
            </w:r>
            <w:r>
              <w:rPr>
                <w:spacing w:val="-4"/>
                <w:sz w:val="21"/>
              </w:rPr>
              <w:t>浓</w:t>
            </w:r>
            <w:r>
              <w:rPr>
                <w:spacing w:val="-2"/>
                <w:sz w:val="21"/>
              </w:rPr>
              <w:t>度，提高了检测的敏感性和准确性。</w:t>
            </w:r>
          </w:p>
          <w:p>
            <w:pPr>
              <w:pStyle w:val="TableParagraph"/>
              <w:numPr>
                <w:ilvl w:val="0"/>
                <w:numId w:val="31"/>
              </w:numPr>
              <w:tabs>
                <w:tab w:val="left" w:pos="372"/>
              </w:tabs>
              <w:spacing w:before="0" w:after="0" w:line="278" w:lineRule="auto"/>
              <w:ind w:left="107" w:right="96" w:firstLine="0"/>
              <w:jc w:val="both"/>
              <w:rPr>
                <w:sz w:val="21"/>
              </w:rPr>
            </w:pPr>
            <w:r>
              <w:rPr>
                <w:spacing w:val="-8"/>
                <w:sz w:val="21"/>
              </w:rPr>
              <w:t xml:space="preserve">数字化 </w:t>
            </w:r>
            <w:r>
              <w:rPr>
                <w:rFonts w:ascii="Times New Roman" w:eastAsia="Times New Roman"/>
                <w:spacing w:val="-2"/>
                <w:sz w:val="21"/>
              </w:rPr>
              <w:t>PCR</w:t>
            </w:r>
            <w:r>
              <w:rPr>
                <w:rFonts w:ascii="Times New Roman" w:eastAsia="Times New Roman"/>
                <w:spacing w:val="-11"/>
                <w:sz w:val="21"/>
              </w:rPr>
              <w:t xml:space="preserve"> </w:t>
            </w:r>
            <w:r>
              <w:rPr>
                <w:spacing w:val="-6"/>
                <w:sz w:val="21"/>
              </w:rPr>
              <w:t xml:space="preserve">技术：数字化 </w:t>
            </w:r>
            <w:r>
              <w:rPr>
                <w:rFonts w:ascii="Times New Roman" w:eastAsia="Times New Roman"/>
                <w:spacing w:val="-2"/>
                <w:sz w:val="21"/>
              </w:rPr>
              <w:t>PCR</w:t>
            </w:r>
            <w:r>
              <w:rPr>
                <w:spacing w:val="-2"/>
                <w:sz w:val="21"/>
              </w:rPr>
              <w:t>（</w:t>
            </w:r>
            <w:r>
              <w:rPr>
                <w:rFonts w:ascii="Times New Roman" w:eastAsia="Times New Roman"/>
                <w:spacing w:val="-2"/>
                <w:sz w:val="21"/>
              </w:rPr>
              <w:t>dPCR</w:t>
            </w:r>
            <w:r>
              <w:rPr>
                <w:spacing w:val="-2"/>
                <w:sz w:val="21"/>
              </w:rPr>
              <w:t>）是一种高精度的分子计数技术，能对单个分子进行绝对定量。这种方法</w:t>
            </w:r>
            <w:r>
              <w:rPr>
                <w:spacing w:val="-7"/>
                <w:sz w:val="21"/>
              </w:rPr>
              <w:t xml:space="preserve">对于低拷贝数的 </w:t>
            </w:r>
            <w:r>
              <w:rPr>
                <w:rFonts w:ascii="Times New Roman" w:eastAsia="Times New Roman"/>
                <w:spacing w:val="-4"/>
                <w:sz w:val="21"/>
              </w:rPr>
              <w:t>HPV</w:t>
            </w:r>
            <w:r>
              <w:rPr>
                <w:rFonts w:ascii="Times New Roman" w:eastAsia="Times New Roman"/>
                <w:spacing w:val="-7"/>
                <w:sz w:val="21"/>
              </w:rPr>
              <w:t xml:space="preserve"> </w:t>
            </w:r>
            <w:r>
              <w:rPr>
                <w:spacing w:val="-4"/>
                <w:sz w:val="21"/>
              </w:rPr>
              <w:t>感染具有更高的灵敏度，有助于早诊</w:t>
            </w:r>
            <w:r>
              <w:rPr>
                <w:spacing w:val="-4"/>
                <w:sz w:val="21"/>
              </w:rPr>
              <w:t>早治。</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高通量测序技术：随着高通量测序技术的发展，研究人</w:t>
            </w:r>
            <w:r>
              <w:rPr>
                <w:spacing w:val="-6"/>
                <w:sz w:val="21"/>
              </w:rPr>
              <w:t xml:space="preserve">员能够全面分析宫颈样本中的所有 </w:t>
            </w:r>
            <w:r>
              <w:rPr>
                <w:rFonts w:ascii="Times New Roman" w:eastAsia="Times New Roman"/>
                <w:spacing w:val="-4"/>
                <w:sz w:val="21"/>
              </w:rPr>
              <w:t>HPV</w:t>
            </w:r>
            <w:r>
              <w:rPr>
                <w:rFonts w:ascii="Times New Roman" w:eastAsia="Times New Roman"/>
                <w:spacing w:val="-7"/>
                <w:sz w:val="21"/>
              </w:rPr>
              <w:t xml:space="preserve"> </w:t>
            </w:r>
            <w:r>
              <w:rPr>
                <w:spacing w:val="-4"/>
                <w:sz w:val="21"/>
              </w:rPr>
              <w:t>类型，并发现新的</w:t>
            </w:r>
            <w:r>
              <w:rPr>
                <w:spacing w:val="-4"/>
                <w:sz w:val="21"/>
              </w:rPr>
              <w:t xml:space="preserve"> </w:t>
            </w:r>
            <w:r>
              <w:rPr>
                <w:rFonts w:ascii="Times New Roman" w:eastAsia="Times New Roman"/>
                <w:sz w:val="21"/>
              </w:rPr>
              <w:t>HPV</w:t>
            </w:r>
            <w:r>
              <w:rPr>
                <w:rFonts w:ascii="Times New Roman" w:eastAsia="Times New Roman"/>
                <w:spacing w:val="-14"/>
                <w:sz w:val="21"/>
              </w:rPr>
              <w:t xml:space="preserve"> </w:t>
            </w:r>
            <w:r>
              <w:rPr>
                <w:sz w:val="21"/>
              </w:rPr>
              <w:t>亚型。这对于理解和预防宫颈癌的发病机制有重要意</w:t>
            </w:r>
            <w:r>
              <w:rPr>
                <w:spacing w:val="-6"/>
                <w:sz w:val="21"/>
              </w:rPr>
              <w:t>义。</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纳米孔测序技术：纳米孔测序是一种新兴的测序技术，</w:t>
            </w:r>
            <w:r>
              <w:rPr>
                <w:sz w:val="21"/>
              </w:rPr>
              <w:t xml:space="preserve">它通过蛋白质或固态纳米孔测量 </w:t>
            </w:r>
            <w:r>
              <w:rPr>
                <w:rFonts w:ascii="Times New Roman" w:eastAsia="Times New Roman"/>
                <w:sz w:val="21"/>
              </w:rPr>
              <w:t>DNA</w:t>
            </w:r>
            <w:r>
              <w:rPr>
                <w:rFonts w:ascii="Times New Roman" w:eastAsia="Times New Roman"/>
                <w:spacing w:val="40"/>
                <w:sz w:val="21"/>
              </w:rPr>
              <w:t xml:space="preserve"> </w:t>
            </w:r>
            <w:r>
              <w:rPr>
                <w:sz w:val="21"/>
              </w:rPr>
              <w:t>分子的电导率变化</w:t>
            </w:r>
            <w:r>
              <w:rPr>
                <w:spacing w:val="-2"/>
                <w:sz w:val="21"/>
              </w:rPr>
              <w:t>来实现测序。由于其便携、实时和低成本的优点，有可能</w:t>
            </w:r>
            <w:r>
              <w:rPr>
                <w:spacing w:val="-5"/>
                <w:sz w:val="21"/>
              </w:rPr>
              <w:t xml:space="preserve">成为未来 </w:t>
            </w:r>
            <w:r>
              <w:rPr>
                <w:rFonts w:ascii="Times New Roman" w:eastAsia="Times New Roman"/>
                <w:sz w:val="21"/>
              </w:rPr>
              <w:t xml:space="preserve">HPV-DNA </w:t>
            </w:r>
            <w:r>
              <w:rPr>
                <w:sz w:val="21"/>
              </w:rPr>
              <w:t>检测的一种新选择。</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多模态检测技术：结合不同的检测技术和生物信息学方</w:t>
            </w:r>
            <w:r>
              <w:rPr>
                <w:spacing w:val="-2"/>
                <w:sz w:val="21"/>
              </w:rPr>
              <w:t xml:space="preserve">法，科学家们正在开发多模态的 </w:t>
            </w:r>
            <w:r>
              <w:rPr>
                <w:rFonts w:ascii="Times New Roman" w:eastAsia="Times New Roman"/>
                <w:sz w:val="21"/>
              </w:rPr>
              <w:t>HPV-DNA</w:t>
            </w:r>
            <w:r>
              <w:rPr>
                <w:rFonts w:ascii="Times New Roman" w:eastAsia="Times New Roman"/>
                <w:spacing w:val="-2"/>
                <w:sz w:val="21"/>
              </w:rPr>
              <w:t xml:space="preserve"> </w:t>
            </w:r>
            <w:r>
              <w:rPr>
                <w:sz w:val="21"/>
              </w:rPr>
              <w:t>检测策略。这</w:t>
            </w:r>
            <w:r>
              <w:rPr>
                <w:spacing w:val="-2"/>
                <w:sz w:val="21"/>
              </w:rPr>
              <w:t>种策略不仅可以提高检测的准确性和效率，还可以为个体</w:t>
            </w:r>
            <w:r>
              <w:rPr>
                <w:spacing w:val="-2"/>
                <w:sz w:val="21"/>
              </w:rPr>
              <w:t>化治疗提供更多的信息。</w:t>
            </w: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69" w:type="dxa"/>
          </w:tcPr>
          <w:p>
            <w:pPr>
              <w:pStyle w:val="TableParagraph"/>
              <w:spacing w:before="23" w:line="278" w:lineRule="auto"/>
              <w:ind w:right="96"/>
              <w:rPr>
                <w:sz w:val="21"/>
              </w:rPr>
            </w:pPr>
            <w:r>
              <w:rPr>
                <w:rFonts w:ascii="Times New Roman" w:eastAsia="Times New Roman"/>
                <w:sz w:val="21"/>
              </w:rPr>
              <w:t>HPV-DNA</w:t>
            </w:r>
            <w:r>
              <w:rPr>
                <w:rFonts w:ascii="Times New Roman" w:eastAsia="Times New Roman"/>
                <w:spacing w:val="-14"/>
                <w:sz w:val="21"/>
              </w:rPr>
              <w:t xml:space="preserve"> </w:t>
            </w:r>
            <w:r>
              <w:rPr>
                <w:spacing w:val="11"/>
                <w:sz w:val="21"/>
              </w:rPr>
              <w:t>检测技术的应用</w:t>
            </w:r>
            <w:r>
              <w:rPr>
                <w:spacing w:val="-6"/>
                <w:sz w:val="21"/>
              </w:rPr>
              <w:t>场景</w:t>
            </w:r>
          </w:p>
        </w:tc>
        <w:tc>
          <w:tcPr>
            <w:tcW w:w="5527" w:type="dxa"/>
          </w:tcPr>
          <w:p>
            <w:pPr>
              <w:pStyle w:val="TableParagraph"/>
              <w:spacing w:before="18"/>
              <w:ind w:left="0"/>
              <w:rPr>
                <w:rFonts w:ascii="Microsoft JhengHei"/>
                <w:b/>
                <w:sz w:val="15"/>
              </w:rPr>
            </w:pPr>
          </w:p>
          <w:p>
            <w:pPr>
              <w:pStyle w:val="TableParagraph"/>
              <w:numPr>
                <w:ilvl w:val="0"/>
                <w:numId w:val="30"/>
              </w:numPr>
              <w:tabs>
                <w:tab w:val="left" w:pos="374"/>
              </w:tabs>
              <w:spacing w:before="0" w:after="0" w:line="310" w:lineRule="atLeast"/>
              <w:ind w:left="107" w:right="96" w:firstLine="0"/>
              <w:jc w:val="left"/>
              <w:rPr>
                <w:rFonts w:ascii="Times New Roman" w:eastAsia="Times New Roman"/>
                <w:sz w:val="21"/>
              </w:rPr>
            </w:pPr>
            <w:r>
              <w:rPr>
                <w:sz w:val="21"/>
              </w:rPr>
              <w:t>宫颈癌筛查：</w:t>
            </w:r>
            <w:r>
              <w:rPr>
                <w:rFonts w:ascii="Times New Roman" w:eastAsia="Times New Roman"/>
                <w:sz w:val="21"/>
              </w:rPr>
              <w:t xml:space="preserve">HPV-DNA </w:t>
            </w:r>
            <w:r>
              <w:rPr>
                <w:sz w:val="21"/>
              </w:rPr>
              <w:t>检测是目前最常用的宫颈癌筛</w:t>
            </w:r>
            <w:r>
              <w:rPr>
                <w:spacing w:val="-19"/>
                <w:sz w:val="21"/>
              </w:rPr>
              <w:t xml:space="preserve">查手段之一，尤其适合于初筛。它可以有效地识别出有 </w:t>
            </w:r>
            <w:r>
              <w:rPr>
                <w:rFonts w:ascii="Times New Roman" w:eastAsia="Times New Roman"/>
                <w:spacing w:val="-2"/>
                <w:sz w:val="21"/>
              </w:rPr>
              <w:t>HPV</w:t>
            </w:r>
          </w:p>
        </w:tc>
      </w:tr>
    </w:tbl>
    <w:p>
      <w:pPr>
        <w:spacing w:after="0" w:line="310" w:lineRule="atLeast"/>
        <w:jc w:val="left"/>
        <w:rPr>
          <w:rFonts w:ascii="Times New Roman" w:eastAsia="Times New Roman"/>
          <w:sz w:val="21"/>
        </w:rPr>
        <w:sectPr>
          <w:footerReference w:type="default" r:id="rId10"/>
          <w:pgSz w:w="11910" w:h="16840"/>
          <w:pgMar w:top="1520" w:right="1280" w:bottom="1380" w:left="1680" w:header="0" w:footer="1198"/>
          <w:pgNumType w:start="6"/>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5615"/>
          <w:jc w:val="left"/>
        </w:trPr>
        <w:tc>
          <w:tcPr>
            <w:tcW w:w="2769" w:type="dxa"/>
          </w:tcPr>
          <w:p>
            <w:pPr>
              <w:pStyle w:val="TableParagraph"/>
              <w:ind w:left="0"/>
              <w:rPr>
                <w:rFonts w:ascii="Times New Roman"/>
                <w:sz w:val="22"/>
              </w:rPr>
            </w:pPr>
          </w:p>
        </w:tc>
        <w:tc>
          <w:tcPr>
            <w:tcW w:w="5527" w:type="dxa"/>
          </w:tcPr>
          <w:p>
            <w:pPr>
              <w:pStyle w:val="TableParagraph"/>
              <w:spacing w:before="23"/>
              <w:ind w:left="107"/>
              <w:rPr>
                <w:sz w:val="21"/>
              </w:rPr>
            </w:pPr>
            <w:r>
              <w:rPr>
                <w:spacing w:val="-1"/>
                <w:sz w:val="21"/>
              </w:rPr>
              <w:t>感染风险的女性，从而及时进行进一步检查和治疗。</w:t>
            </w:r>
          </w:p>
          <w:p>
            <w:pPr>
              <w:pStyle w:val="TableParagraph"/>
              <w:numPr>
                <w:ilvl w:val="0"/>
                <w:numId w:val="29"/>
              </w:numPr>
              <w:tabs>
                <w:tab w:val="left" w:pos="374"/>
              </w:tabs>
              <w:spacing w:before="43" w:after="0" w:line="278" w:lineRule="auto"/>
              <w:ind w:left="107" w:right="96" w:firstLine="0"/>
              <w:jc w:val="both"/>
              <w:rPr>
                <w:sz w:val="21"/>
              </w:rPr>
            </w:pPr>
            <w:r>
              <w:rPr>
                <w:sz w:val="21"/>
              </w:rPr>
              <w:t>预后评估：</w:t>
            </w:r>
            <w:r>
              <w:rPr>
                <w:rFonts w:ascii="Times New Roman" w:eastAsia="Times New Roman"/>
                <w:sz w:val="21"/>
              </w:rPr>
              <w:t xml:space="preserve">HPV-DNA </w:t>
            </w:r>
            <w:r>
              <w:rPr>
                <w:sz w:val="21"/>
              </w:rPr>
              <w:t>检测也被用于评估宫颈癌患者的</w:t>
            </w:r>
            <w:r>
              <w:rPr>
                <w:spacing w:val="-3"/>
                <w:sz w:val="21"/>
              </w:rPr>
              <w:t xml:space="preserve">预后。研究发现，术后 </w:t>
            </w:r>
            <w:r>
              <w:rPr>
                <w:rFonts w:ascii="Times New Roman" w:eastAsia="Times New Roman"/>
                <w:sz w:val="21"/>
              </w:rPr>
              <w:t>HPV</w:t>
            </w:r>
            <w:r>
              <w:rPr>
                <w:rFonts w:ascii="Times New Roman" w:eastAsia="Times New Roman"/>
                <w:spacing w:val="5"/>
                <w:sz w:val="21"/>
              </w:rPr>
              <w:t xml:space="preserve"> </w:t>
            </w:r>
            <w:r>
              <w:rPr>
                <w:rFonts w:ascii="Times New Roman" w:eastAsia="Times New Roman"/>
                <w:sz w:val="21"/>
              </w:rPr>
              <w:t xml:space="preserve">DNA </w:t>
            </w:r>
            <w:r>
              <w:rPr>
                <w:sz w:val="21"/>
              </w:rPr>
              <w:t>持续阳性与复发风险显</w:t>
            </w:r>
            <w:r>
              <w:rPr>
                <w:spacing w:val="-2"/>
                <w:sz w:val="21"/>
              </w:rPr>
              <w:t>著相关，因此，该检测结果可作为临床决策的重要参考。</w:t>
            </w:r>
          </w:p>
          <w:p>
            <w:pPr>
              <w:pStyle w:val="TableParagraph"/>
              <w:numPr>
                <w:ilvl w:val="0"/>
                <w:numId w:val="29"/>
              </w:numPr>
              <w:tabs>
                <w:tab w:val="left" w:pos="371"/>
              </w:tabs>
              <w:spacing w:before="0" w:after="0" w:line="269" w:lineRule="exact"/>
              <w:ind w:left="370" w:right="0" w:hanging="264"/>
              <w:jc w:val="both"/>
              <w:rPr>
                <w:rFonts w:ascii="Times New Roman" w:eastAsia="Times New Roman"/>
                <w:sz w:val="21"/>
              </w:rPr>
            </w:pPr>
            <w:r>
              <w:rPr>
                <w:spacing w:val="-15"/>
                <w:sz w:val="21"/>
              </w:rPr>
              <w:t xml:space="preserve">治疗监测：在宫颈病变治疗过程中，定期进行 </w:t>
            </w:r>
            <w:r>
              <w:rPr>
                <w:rFonts w:ascii="Times New Roman" w:eastAsia="Times New Roman"/>
                <w:spacing w:val="-4"/>
                <w:sz w:val="21"/>
              </w:rPr>
              <w:t>HPV-</w:t>
            </w:r>
            <w:r>
              <w:rPr>
                <w:rFonts w:ascii="Times New Roman" w:eastAsia="Times New Roman"/>
                <w:spacing w:val="-5"/>
                <w:sz w:val="21"/>
              </w:rPr>
              <w:t>DNA</w:t>
            </w:r>
          </w:p>
          <w:p>
            <w:pPr>
              <w:pStyle w:val="TableParagraph"/>
              <w:spacing w:before="43"/>
              <w:ind w:left="107"/>
              <w:rPr>
                <w:sz w:val="21"/>
              </w:rPr>
            </w:pPr>
            <w:r>
              <w:rPr>
                <w:spacing w:val="-1"/>
                <w:sz w:val="21"/>
              </w:rPr>
              <w:t>检测可以帮助医生了解治疗效果，及时调整治疗方案。</w:t>
            </w:r>
          </w:p>
          <w:p>
            <w:pPr>
              <w:pStyle w:val="TableParagraph"/>
              <w:numPr>
                <w:ilvl w:val="0"/>
                <w:numId w:val="29"/>
              </w:numPr>
              <w:tabs>
                <w:tab w:val="left" w:pos="371"/>
              </w:tabs>
              <w:spacing w:before="43" w:after="0" w:line="278" w:lineRule="auto"/>
              <w:ind w:left="107" w:right="96" w:firstLine="0"/>
              <w:jc w:val="both"/>
              <w:rPr>
                <w:sz w:val="21"/>
              </w:rPr>
            </w:pPr>
            <w:r>
              <w:rPr>
                <w:spacing w:val="-4"/>
                <w:sz w:val="21"/>
              </w:rPr>
              <w:t xml:space="preserve">公共卫生监控：大规模的 </w:t>
            </w:r>
            <w:r>
              <w:rPr>
                <w:rFonts w:ascii="Times New Roman" w:eastAsia="Times New Roman"/>
                <w:spacing w:val="-2"/>
                <w:sz w:val="21"/>
              </w:rPr>
              <w:t>HPV-DNA</w:t>
            </w:r>
            <w:r>
              <w:rPr>
                <w:rFonts w:ascii="Times New Roman" w:eastAsia="Times New Roman"/>
                <w:spacing w:val="-6"/>
                <w:sz w:val="21"/>
              </w:rPr>
              <w:t xml:space="preserve"> </w:t>
            </w:r>
            <w:r>
              <w:rPr>
                <w:spacing w:val="-2"/>
                <w:sz w:val="21"/>
              </w:rPr>
              <w:t>检测可以揭示人群</w:t>
            </w:r>
            <w:r>
              <w:rPr>
                <w:spacing w:val="-14"/>
                <w:sz w:val="21"/>
              </w:rPr>
              <w:t xml:space="preserve">中 </w:t>
            </w:r>
            <w:r>
              <w:rPr>
                <w:rFonts w:ascii="Times New Roman" w:eastAsia="Times New Roman"/>
                <w:spacing w:val="-4"/>
                <w:sz w:val="21"/>
              </w:rPr>
              <w:t>HPV</w:t>
            </w:r>
            <w:r>
              <w:rPr>
                <w:rFonts w:ascii="Times New Roman" w:eastAsia="Times New Roman"/>
                <w:spacing w:val="-7"/>
                <w:sz w:val="21"/>
              </w:rPr>
              <w:t xml:space="preserve"> </w:t>
            </w:r>
            <w:r>
              <w:rPr>
                <w:spacing w:val="-4"/>
                <w:sz w:val="21"/>
              </w:rPr>
              <w:t>感染的流行状况，为公共卫生政策制定者提供数据</w:t>
            </w:r>
            <w:r>
              <w:rPr>
                <w:spacing w:val="-4"/>
                <w:sz w:val="21"/>
              </w:rPr>
              <w:t>支持。</w:t>
            </w:r>
          </w:p>
          <w:p>
            <w:pPr>
              <w:pStyle w:val="TableParagraph"/>
              <w:numPr>
                <w:ilvl w:val="0"/>
                <w:numId w:val="29"/>
              </w:numPr>
              <w:tabs>
                <w:tab w:val="left" w:pos="318"/>
              </w:tabs>
              <w:spacing w:before="0" w:after="0" w:line="269" w:lineRule="exact"/>
              <w:ind w:left="318" w:right="0" w:hanging="211"/>
              <w:jc w:val="both"/>
              <w:rPr>
                <w:rFonts w:ascii="Times New Roman" w:eastAsia="Times New Roman"/>
                <w:sz w:val="21"/>
              </w:rPr>
            </w:pPr>
            <w:r>
              <w:rPr>
                <w:rFonts w:ascii="Times New Roman" w:eastAsia="Times New Roman"/>
                <w:sz w:val="21"/>
              </w:rPr>
              <w:t>HPV</w:t>
            </w:r>
            <w:r>
              <w:rPr>
                <w:rFonts w:ascii="Times New Roman" w:eastAsia="Times New Roman"/>
                <w:spacing w:val="-22"/>
                <w:sz w:val="21"/>
              </w:rPr>
              <w:t xml:space="preserve"> </w:t>
            </w:r>
            <w:r>
              <w:rPr>
                <w:spacing w:val="-10"/>
                <w:sz w:val="21"/>
              </w:rPr>
              <w:t>疫苗接种效果评价：通过对接种人群进行</w:t>
            </w:r>
            <w:r>
              <w:rPr>
                <w:rFonts w:ascii="Times New Roman" w:eastAsia="Times New Roman"/>
                <w:sz w:val="21"/>
              </w:rPr>
              <w:t>HPV-</w:t>
            </w:r>
            <w:r>
              <w:rPr>
                <w:rFonts w:ascii="Times New Roman" w:eastAsia="Times New Roman"/>
                <w:spacing w:val="-5"/>
                <w:sz w:val="21"/>
              </w:rPr>
              <w:t>DNA</w:t>
            </w:r>
          </w:p>
          <w:p>
            <w:pPr>
              <w:pStyle w:val="TableParagraph"/>
              <w:spacing w:before="43"/>
              <w:ind w:left="107" w:right="-15"/>
              <w:rPr>
                <w:sz w:val="21"/>
              </w:rPr>
            </w:pPr>
            <w:r>
              <w:rPr>
                <w:spacing w:val="-3"/>
                <w:sz w:val="21"/>
              </w:rPr>
              <w:t>检测，可以评估疫苗的有效性，指导疫苗接种策略的优化。</w:t>
            </w:r>
          </w:p>
          <w:p>
            <w:pPr>
              <w:pStyle w:val="TableParagraph"/>
              <w:numPr>
                <w:ilvl w:val="0"/>
                <w:numId w:val="29"/>
              </w:numPr>
              <w:tabs>
                <w:tab w:val="left" w:pos="318"/>
              </w:tabs>
              <w:spacing w:before="42" w:after="0" w:line="278" w:lineRule="auto"/>
              <w:ind w:left="107" w:right="96" w:firstLine="0"/>
              <w:jc w:val="both"/>
              <w:rPr>
                <w:sz w:val="21"/>
              </w:rPr>
            </w:pPr>
            <w:r>
              <w:rPr>
                <w:rFonts w:ascii="Times New Roman" w:eastAsia="Times New Roman"/>
                <w:spacing w:val="-2"/>
                <w:sz w:val="21"/>
              </w:rPr>
              <w:t>HPV</w:t>
            </w:r>
            <w:r>
              <w:rPr>
                <w:rFonts w:ascii="Times New Roman" w:eastAsia="Times New Roman"/>
                <w:spacing w:val="-12"/>
                <w:sz w:val="21"/>
              </w:rPr>
              <w:t xml:space="preserve"> </w:t>
            </w:r>
            <w:r>
              <w:rPr>
                <w:spacing w:val="-2"/>
                <w:sz w:val="21"/>
              </w:rPr>
              <w:t>相关的其他疾病诊断：除了宫颈癌外，</w:t>
            </w:r>
            <w:r>
              <w:rPr>
                <w:rFonts w:ascii="Times New Roman" w:eastAsia="Times New Roman"/>
                <w:spacing w:val="-2"/>
                <w:sz w:val="21"/>
              </w:rPr>
              <w:t>HPV</w:t>
            </w:r>
            <w:r>
              <w:rPr>
                <w:rFonts w:ascii="Times New Roman" w:eastAsia="Times New Roman"/>
                <w:spacing w:val="-11"/>
                <w:sz w:val="21"/>
              </w:rPr>
              <w:t xml:space="preserve"> </w:t>
            </w:r>
            <w:r>
              <w:rPr>
                <w:spacing w:val="-2"/>
                <w:sz w:val="21"/>
              </w:rPr>
              <w:t>还与一</w:t>
            </w:r>
            <w:r>
              <w:rPr>
                <w:spacing w:val="-6"/>
                <w:sz w:val="21"/>
              </w:rPr>
              <w:t>些其他的恶性肿瘤如头颈部癌等有关。</w:t>
            </w:r>
            <w:r>
              <w:rPr>
                <w:rFonts w:ascii="Times New Roman" w:eastAsia="Times New Roman"/>
                <w:sz w:val="21"/>
              </w:rPr>
              <w:t>HPV-DNA</w:t>
            </w:r>
            <w:r>
              <w:rPr>
                <w:rFonts w:ascii="Times New Roman" w:eastAsia="Times New Roman"/>
                <w:spacing w:val="-14"/>
                <w:sz w:val="21"/>
              </w:rPr>
              <w:t xml:space="preserve"> </w:t>
            </w:r>
            <w:r>
              <w:rPr>
                <w:sz w:val="21"/>
              </w:rPr>
              <w:t>检测也在</w:t>
            </w:r>
            <w:r>
              <w:rPr>
                <w:spacing w:val="-2"/>
                <w:sz w:val="21"/>
              </w:rPr>
              <w:t>这些疾病的早期发现和诊疗中发挥了重要作用。</w:t>
            </w:r>
          </w:p>
          <w:p>
            <w:pPr>
              <w:pStyle w:val="TableParagraph"/>
              <w:spacing w:line="278" w:lineRule="auto"/>
              <w:ind w:left="107" w:right="96"/>
              <w:jc w:val="both"/>
              <w:rPr>
                <w:sz w:val="21"/>
              </w:rPr>
            </w:pPr>
            <w:r>
              <w:rPr>
                <w:spacing w:val="-4"/>
                <w:sz w:val="21"/>
              </w:rPr>
              <w:t xml:space="preserve">以上只是部分关于 </w:t>
            </w:r>
            <w:r>
              <w:rPr>
                <w:rFonts w:ascii="Times New Roman" w:eastAsia="Times New Roman"/>
                <w:sz w:val="21"/>
              </w:rPr>
              <w:t>HPV-DNA</w:t>
            </w:r>
            <w:r>
              <w:rPr>
                <w:rFonts w:ascii="Times New Roman" w:eastAsia="Times New Roman"/>
                <w:spacing w:val="-2"/>
                <w:sz w:val="21"/>
              </w:rPr>
              <w:t xml:space="preserve"> </w:t>
            </w:r>
            <w:r>
              <w:rPr>
                <w:sz w:val="21"/>
              </w:rPr>
              <w:t>检测技术的发展与应用方面</w:t>
            </w:r>
            <w:r>
              <w:rPr>
                <w:spacing w:val="-2"/>
                <w:sz w:val="21"/>
              </w:rPr>
              <w:t>的内容，更深入的研究和讨论需要综合考虑多种因素，包</w:t>
            </w:r>
            <w:r>
              <w:rPr>
                <w:spacing w:val="-1"/>
                <w:sz w:val="21"/>
              </w:rPr>
              <w:t>括技术本身的特性、适用范围以及各种实际应用场景的具</w:t>
            </w:r>
          </w:p>
          <w:p>
            <w:pPr>
              <w:pStyle w:val="TableParagraph"/>
              <w:spacing w:line="269" w:lineRule="exact"/>
              <w:ind w:left="107"/>
              <w:rPr>
                <w:sz w:val="21"/>
              </w:rPr>
            </w:pPr>
            <w:r>
              <w:rPr>
                <w:spacing w:val="-2"/>
                <w:sz w:val="21"/>
              </w:rPr>
              <w:t>体需求等。</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5"/>
        <w:rPr>
          <w:rFonts w:ascii="Microsoft JhengHei"/>
          <w:b/>
          <w:sz w:val="5"/>
        </w:rPr>
      </w:pPr>
    </w:p>
    <w:p>
      <w:pPr>
        <w:pStyle w:val="BodyText"/>
        <w:spacing w:before="61" w:line="417" w:lineRule="auto"/>
        <w:ind w:left="120" w:right="238" w:firstLine="560"/>
      </w:pPr>
      <w:r>
        <w:rPr>
          <w:spacing w:val="14"/>
        </w:rPr>
        <w:t>宫颈上皮内癌</w:t>
      </w:r>
      <w:r>
        <w:t>（Cervical Intraepithelial Neoplasia, CIN）</w:t>
      </w:r>
      <w:r>
        <w:rPr>
          <w:spacing w:val="-2"/>
        </w:rPr>
        <w:t>是女性常见的一种良性病变，具有高度进展为子宫颈癌的潜在风险。</w:t>
      </w:r>
      <w:r>
        <w:rPr>
          <w:spacing w:val="-21"/>
        </w:rPr>
        <w:t xml:space="preserve">因此，对于 </w:t>
      </w:r>
      <w:r>
        <w:t>CIN</w:t>
      </w:r>
      <w:r>
        <w:rPr>
          <w:spacing w:val="-5"/>
        </w:rPr>
        <w:t xml:space="preserve"> 的早期筛查和干预对于降低子宫颈癌的发生率至关重</w:t>
      </w:r>
      <w:r>
        <w:t xml:space="preserve"> 要。HPV-DNA</w:t>
      </w:r>
      <w:r>
        <w:rPr>
          <w:spacing w:val="-7"/>
        </w:rPr>
        <w:t xml:space="preserve"> 检测技术的发展与应用，已经成为当前 </w:t>
      </w:r>
      <w:r>
        <w:t>CIN</w:t>
      </w:r>
      <w:r>
        <w:rPr>
          <w:spacing w:val="-5"/>
        </w:rPr>
        <w:t xml:space="preserve"> 筛查的重要</w:t>
      </w:r>
      <w:r>
        <w:t xml:space="preserve"> </w:t>
      </w:r>
      <w:r>
        <w:rPr>
          <w:spacing w:val="-2"/>
        </w:rPr>
        <w:t>手段之一。</w:t>
      </w:r>
    </w:p>
    <w:p>
      <w:pPr>
        <w:pStyle w:val="BodyText"/>
      </w:pPr>
    </w:p>
    <w:p>
      <w:pPr>
        <w:pStyle w:val="BodyText"/>
        <w:spacing w:before="7"/>
        <w:rPr>
          <w:sz w:val="20"/>
        </w:rPr>
      </w:pPr>
    </w:p>
    <w:p>
      <w:pPr>
        <w:pStyle w:val="BodyText"/>
        <w:ind w:left="120"/>
      </w:pPr>
      <w:r>
        <w:t>一、HPV-DNA</w:t>
      </w:r>
      <w:r>
        <w:rPr>
          <w:spacing w:val="-12"/>
        </w:rPr>
        <w:t xml:space="preserve"> 检测技术的发展</w:t>
      </w:r>
    </w:p>
    <w:p>
      <w:pPr>
        <w:pStyle w:val="BodyText"/>
      </w:pPr>
    </w:p>
    <w:p>
      <w:pPr>
        <w:pStyle w:val="BodyText"/>
        <w:spacing w:before="5"/>
        <w:rPr>
          <w:sz w:val="41"/>
        </w:rPr>
      </w:pPr>
    </w:p>
    <w:p>
      <w:pPr>
        <w:pStyle w:val="ListParagraph"/>
        <w:numPr>
          <w:ilvl w:val="0"/>
          <w:numId w:val="28"/>
        </w:numPr>
        <w:tabs>
          <w:tab w:val="left" w:pos="540"/>
        </w:tabs>
        <w:spacing w:before="1" w:after="0" w:line="417" w:lineRule="auto"/>
        <w:ind w:left="120" w:right="518" w:firstLine="0"/>
        <w:jc w:val="both"/>
        <w:rPr>
          <w:sz w:val="28"/>
        </w:rPr>
      </w:pPr>
      <w:r>
        <w:rPr>
          <w:spacing w:val="-12"/>
          <w:sz w:val="28"/>
        </w:rPr>
        <w:t xml:space="preserve">初期发展：在 </w:t>
      </w:r>
      <w:r>
        <w:rPr>
          <w:spacing w:val="-10"/>
          <w:sz w:val="28"/>
        </w:rPr>
        <w:t>20</w:t>
      </w:r>
      <w:r>
        <w:rPr>
          <w:spacing w:val="-17"/>
          <w:sz w:val="28"/>
        </w:rPr>
        <w:t xml:space="preserve"> 世纪 </w:t>
      </w:r>
      <w:r>
        <w:rPr>
          <w:spacing w:val="-10"/>
          <w:sz w:val="28"/>
        </w:rPr>
        <w:t>90</w:t>
      </w:r>
      <w:r>
        <w:rPr>
          <w:spacing w:val="-14"/>
          <w:sz w:val="28"/>
        </w:rPr>
        <w:t xml:space="preserve"> 年代初，基于聚合酶链反应</w:t>
      </w:r>
      <w:r>
        <w:rPr>
          <w:spacing w:val="-10"/>
          <w:sz w:val="28"/>
        </w:rPr>
        <w:t>(PCR)技术的</w:t>
      </w:r>
      <w:r>
        <w:rPr>
          <w:spacing w:val="-10"/>
          <w:sz w:val="28"/>
        </w:rPr>
        <w:t xml:space="preserve"> </w:t>
      </w:r>
      <w:r>
        <w:rPr>
          <w:spacing w:val="-6"/>
          <w:sz w:val="28"/>
        </w:rPr>
        <w:t>HPV-DNA</w:t>
      </w:r>
      <w:r>
        <w:rPr>
          <w:spacing w:val="-11"/>
          <w:sz w:val="28"/>
        </w:rPr>
        <w:t xml:space="preserve"> 检测开始进入临床研究阶段。然而，由于 </w:t>
      </w:r>
      <w:r>
        <w:rPr>
          <w:spacing w:val="-6"/>
          <w:sz w:val="28"/>
        </w:rPr>
        <w:t>PCR</w:t>
      </w:r>
      <w:r>
        <w:rPr>
          <w:spacing w:val="-10"/>
          <w:sz w:val="28"/>
        </w:rPr>
        <w:t xml:space="preserve"> 技术存在较高</w:t>
      </w:r>
      <w:r>
        <w:rPr>
          <w:spacing w:val="-8"/>
          <w:sz w:val="28"/>
        </w:rPr>
        <w:t xml:space="preserve">的假阳性率，以及无法区分高危型和低危型 </w:t>
      </w:r>
      <w:r>
        <w:rPr>
          <w:spacing w:val="-6"/>
          <w:sz w:val="28"/>
        </w:rPr>
        <w:t>HPV</w:t>
      </w:r>
      <w:r>
        <w:rPr>
          <w:spacing w:val="-11"/>
          <w:sz w:val="28"/>
        </w:rPr>
        <w:t xml:space="preserve"> 等问题，其在临床实</w:t>
      </w:r>
      <w:r>
        <w:rPr>
          <w:spacing w:val="-2"/>
          <w:sz w:val="28"/>
        </w:rPr>
        <w:t>际中的应用受到了一定的限制。</w:t>
      </w:r>
    </w:p>
    <w:p>
      <w:pPr>
        <w:spacing w:after="0" w:line="417" w:lineRule="auto"/>
        <w:jc w:val="both"/>
        <w:rPr>
          <w:sz w:val="28"/>
        </w:rPr>
        <w:sectPr>
          <w:footerReference w:type="default" r:id="rId11"/>
          <w:type w:val="continuous"/>
          <w:pgSz w:w="11910" w:h="16840"/>
          <w:pgMar w:top="1400" w:right="1280" w:bottom="1380" w:left="1680" w:header="0" w:footer="1198"/>
          <w:pgNumType w:start="7"/>
          <w:cols w:space="708"/>
        </w:sectPr>
      </w:pPr>
    </w:p>
    <w:p>
      <w:pPr>
        <w:pStyle w:val="ListParagraph"/>
        <w:numPr>
          <w:ilvl w:val="0"/>
          <w:numId w:val="28"/>
        </w:numPr>
        <w:tabs>
          <w:tab w:val="left" w:pos="554"/>
        </w:tabs>
        <w:spacing w:before="37" w:after="0" w:line="417" w:lineRule="auto"/>
        <w:ind w:left="120" w:right="518" w:firstLine="0"/>
        <w:jc w:val="both"/>
        <w:rPr>
          <w:sz w:val="28"/>
        </w:rPr>
      </w:pPr>
      <w:r>
        <w:rPr>
          <w:spacing w:val="11"/>
          <w:sz w:val="28"/>
        </w:rPr>
        <w:t>中期发展：随着分子生物学技术的进步，杂交捕获法</w:t>
      </w:r>
      <w:r>
        <w:rPr>
          <w:sz w:val="28"/>
        </w:rPr>
        <w:t xml:space="preserve">（Hybrid </w:t>
      </w:r>
      <w:r>
        <w:rPr>
          <w:spacing w:val="-4"/>
          <w:sz w:val="28"/>
        </w:rPr>
        <w:t>Capture，HC）</w:t>
      </w:r>
      <w:r>
        <w:rPr>
          <w:spacing w:val="-8"/>
          <w:sz w:val="28"/>
        </w:rPr>
        <w:t xml:space="preserve">和荧光定量 </w:t>
      </w:r>
      <w:r>
        <w:rPr>
          <w:spacing w:val="-4"/>
          <w:sz w:val="28"/>
        </w:rPr>
        <w:t>PCR</w:t>
      </w:r>
      <w:r>
        <w:rPr>
          <w:spacing w:val="-12"/>
          <w:sz w:val="28"/>
        </w:rPr>
        <w:t xml:space="preserve"> 等技术相继出现，使得 </w:t>
      </w:r>
      <w:r>
        <w:rPr>
          <w:spacing w:val="-4"/>
          <w:sz w:val="28"/>
        </w:rPr>
        <w:t>HPV-DNA</w:t>
      </w:r>
      <w:r>
        <w:rPr>
          <w:spacing w:val="-14"/>
          <w:sz w:val="28"/>
        </w:rPr>
        <w:t xml:space="preserve"> 检测</w:t>
      </w:r>
      <w:r>
        <w:rPr>
          <w:spacing w:val="-4"/>
          <w:sz w:val="28"/>
        </w:rPr>
        <w:t>的敏感性和特异性都有了显著提高。其中，HC2</w:t>
      </w:r>
      <w:r>
        <w:rPr>
          <w:spacing w:val="-5"/>
          <w:sz w:val="28"/>
        </w:rPr>
        <w:t xml:space="preserve"> 是目前广泛应用于临</w:t>
      </w:r>
      <w:r>
        <w:rPr>
          <w:spacing w:val="-16"/>
          <w:sz w:val="28"/>
        </w:rPr>
        <w:t xml:space="preserve">床实践的一种方法，其能够同时检测 </w:t>
      </w:r>
      <w:r>
        <w:rPr>
          <w:spacing w:val="-8"/>
          <w:sz w:val="28"/>
        </w:rPr>
        <w:t>13</w:t>
      </w:r>
      <w:r>
        <w:rPr>
          <w:spacing w:val="-16"/>
          <w:sz w:val="28"/>
        </w:rPr>
        <w:t xml:space="preserve"> 种高危型 </w:t>
      </w:r>
      <w:r>
        <w:rPr>
          <w:spacing w:val="-8"/>
          <w:sz w:val="28"/>
        </w:rPr>
        <w:t>HPV</w:t>
      </w:r>
      <w:r>
        <w:rPr>
          <w:spacing w:val="-7"/>
          <w:sz w:val="28"/>
        </w:rPr>
        <w:t xml:space="preserve"> </w:t>
      </w:r>
      <w:r>
        <w:rPr>
          <w:spacing w:val="-8"/>
          <w:sz w:val="28"/>
        </w:rPr>
        <w:t>DNA，具有较高</w:t>
      </w:r>
      <w:r>
        <w:rPr>
          <w:spacing w:val="-2"/>
          <w:sz w:val="28"/>
        </w:rPr>
        <w:t>的诊断价值。</w:t>
      </w:r>
    </w:p>
    <w:p>
      <w:pPr>
        <w:pStyle w:val="BodyText"/>
      </w:pPr>
    </w:p>
    <w:p>
      <w:pPr>
        <w:pStyle w:val="BodyText"/>
        <w:spacing w:before="7"/>
        <w:rPr>
          <w:sz w:val="20"/>
        </w:rPr>
      </w:pPr>
    </w:p>
    <w:p>
      <w:pPr>
        <w:pStyle w:val="ListParagraph"/>
        <w:numPr>
          <w:ilvl w:val="0"/>
          <w:numId w:val="28"/>
        </w:numPr>
        <w:tabs>
          <w:tab w:val="left" w:pos="595"/>
        </w:tabs>
        <w:spacing w:before="0" w:after="0" w:line="417" w:lineRule="auto"/>
        <w:ind w:left="120" w:right="518" w:firstLine="0"/>
        <w:jc w:val="both"/>
        <w:rPr>
          <w:sz w:val="28"/>
        </w:rPr>
      </w:pPr>
      <w:r>
        <w:rPr>
          <w:spacing w:val="30"/>
          <w:sz w:val="28"/>
        </w:rPr>
        <w:t>近期发展： 近年来， 基于下一代测序</w:t>
      </w:r>
      <w:r>
        <w:rPr>
          <w:sz w:val="28"/>
        </w:rPr>
        <w:t>（</w:t>
      </w:r>
      <w:r>
        <w:rPr>
          <w:spacing w:val="-35"/>
          <w:sz w:val="28"/>
        </w:rPr>
        <w:t xml:space="preserve"> </w:t>
      </w:r>
      <w:r>
        <w:rPr>
          <w:sz w:val="28"/>
        </w:rPr>
        <w:t>Next</w:t>
      </w:r>
      <w:r>
        <w:rPr>
          <w:spacing w:val="-35"/>
          <w:sz w:val="28"/>
        </w:rPr>
        <w:t xml:space="preserve"> </w:t>
      </w:r>
      <w:r>
        <w:rPr>
          <w:sz w:val="28"/>
        </w:rPr>
        <w:t xml:space="preserve">Generation </w:t>
      </w:r>
      <w:r>
        <w:rPr>
          <w:spacing w:val="-6"/>
          <w:sz w:val="28"/>
        </w:rPr>
        <w:t>Sequencing,</w:t>
      </w:r>
      <w:r>
        <w:rPr>
          <w:spacing w:val="-17"/>
          <w:sz w:val="28"/>
        </w:rPr>
        <w:t xml:space="preserve"> </w:t>
      </w:r>
      <w:r>
        <w:rPr>
          <w:spacing w:val="-6"/>
          <w:sz w:val="28"/>
        </w:rPr>
        <w:t>NGS）</w:t>
      </w:r>
      <w:r>
        <w:rPr>
          <w:spacing w:val="-12"/>
          <w:sz w:val="28"/>
        </w:rPr>
        <w:t xml:space="preserve">技术的 </w:t>
      </w:r>
      <w:r>
        <w:rPr>
          <w:spacing w:val="-6"/>
          <w:sz w:val="28"/>
        </w:rPr>
        <w:t>HPV-DNA</w:t>
      </w:r>
      <w:r>
        <w:rPr>
          <w:spacing w:val="-17"/>
          <w:sz w:val="28"/>
        </w:rPr>
        <w:t xml:space="preserve"> 检测逐渐受到关注。</w:t>
      </w:r>
      <w:r>
        <w:rPr>
          <w:spacing w:val="-6"/>
          <w:sz w:val="28"/>
        </w:rPr>
        <w:t>NGS</w:t>
      </w:r>
      <w:r>
        <w:rPr>
          <w:spacing w:val="-11"/>
          <w:sz w:val="28"/>
        </w:rPr>
        <w:t xml:space="preserve"> 不仅可以</w:t>
      </w:r>
      <w:r>
        <w:rPr>
          <w:spacing w:val="-10"/>
          <w:sz w:val="28"/>
        </w:rPr>
        <w:t xml:space="preserve">实现对所有 </w:t>
      </w:r>
      <w:r>
        <w:rPr>
          <w:spacing w:val="-6"/>
          <w:sz w:val="28"/>
        </w:rPr>
        <w:t>HPV</w:t>
      </w:r>
      <w:r>
        <w:rPr>
          <w:spacing w:val="-19"/>
          <w:sz w:val="28"/>
        </w:rPr>
        <w:t xml:space="preserve"> 型别的精确分型，而且可以对 </w:t>
      </w:r>
      <w:r>
        <w:rPr>
          <w:spacing w:val="-6"/>
          <w:sz w:val="28"/>
        </w:rPr>
        <w:t>HPV</w:t>
      </w:r>
      <w:r>
        <w:rPr>
          <w:spacing w:val="-11"/>
          <w:sz w:val="28"/>
        </w:rPr>
        <w:t xml:space="preserve"> 的基因组变异进行</w:t>
      </w:r>
      <w:r>
        <w:rPr>
          <w:spacing w:val="-3"/>
          <w:sz w:val="28"/>
        </w:rPr>
        <w:t xml:space="preserve">深入分析，为 </w:t>
      </w:r>
      <w:r>
        <w:rPr>
          <w:sz w:val="28"/>
        </w:rPr>
        <w:t>CIN</w:t>
      </w:r>
      <w:r>
        <w:rPr>
          <w:spacing w:val="-5"/>
          <w:sz w:val="28"/>
        </w:rPr>
        <w:t xml:space="preserve"> 的个体化治疗提供了可能。</w:t>
      </w:r>
    </w:p>
    <w:p>
      <w:pPr>
        <w:pStyle w:val="BodyText"/>
      </w:pPr>
    </w:p>
    <w:p>
      <w:pPr>
        <w:pStyle w:val="BodyText"/>
        <w:spacing w:before="8"/>
        <w:rPr>
          <w:sz w:val="20"/>
        </w:rPr>
      </w:pPr>
    </w:p>
    <w:p>
      <w:pPr>
        <w:pStyle w:val="BodyText"/>
        <w:ind w:left="120"/>
      </w:pPr>
      <w:r>
        <w:t>二、HPV-DNA</w:t>
      </w:r>
      <w:r>
        <w:rPr>
          <w:spacing w:val="-12"/>
        </w:rPr>
        <w:t xml:space="preserve"> 检测技术的应用</w:t>
      </w:r>
    </w:p>
    <w:p>
      <w:pPr>
        <w:pStyle w:val="BodyText"/>
      </w:pPr>
    </w:p>
    <w:p>
      <w:pPr>
        <w:pStyle w:val="BodyText"/>
        <w:spacing w:before="5"/>
        <w:rPr>
          <w:sz w:val="41"/>
        </w:rPr>
      </w:pPr>
    </w:p>
    <w:p>
      <w:pPr>
        <w:pStyle w:val="ListParagraph"/>
        <w:numPr>
          <w:ilvl w:val="0"/>
          <w:numId w:val="27"/>
        </w:numPr>
        <w:tabs>
          <w:tab w:val="left" w:pos="540"/>
        </w:tabs>
        <w:spacing w:before="1" w:after="0" w:line="417" w:lineRule="auto"/>
        <w:ind w:left="120" w:right="518" w:firstLine="0"/>
        <w:jc w:val="both"/>
        <w:rPr>
          <w:sz w:val="28"/>
        </w:rPr>
      </w:pPr>
      <w:r>
        <w:rPr>
          <w:spacing w:val="-10"/>
          <w:sz w:val="28"/>
        </w:rPr>
        <w:t>HPV-DNA</w:t>
      </w:r>
      <w:r>
        <w:rPr>
          <w:spacing w:val="-15"/>
          <w:sz w:val="28"/>
        </w:rPr>
        <w:t xml:space="preserve"> 检测在 </w:t>
      </w:r>
      <w:r>
        <w:rPr>
          <w:spacing w:val="-10"/>
          <w:sz w:val="28"/>
        </w:rPr>
        <w:t>CIN</w:t>
      </w:r>
      <w:r>
        <w:rPr>
          <w:spacing w:val="-28"/>
          <w:sz w:val="28"/>
        </w:rPr>
        <w:t xml:space="preserve"> 筛查中的应用：多项大规模研究表明，</w:t>
      </w:r>
      <w:r>
        <w:rPr>
          <w:spacing w:val="18"/>
          <w:sz w:val="28"/>
        </w:rPr>
        <w:t>HPV-</w:t>
      </w:r>
      <w:r>
        <w:rPr>
          <w:spacing w:val="-10"/>
          <w:sz w:val="28"/>
        </w:rPr>
        <w:t>DN</w:t>
      </w:r>
      <w:r>
        <w:rPr>
          <w:spacing w:val="-10"/>
          <w:sz w:val="28"/>
        </w:rPr>
        <w:t>A</w:t>
      </w:r>
      <w:r>
        <w:rPr>
          <w:sz w:val="28"/>
        </w:rPr>
        <w:t xml:space="preserve">检测在 CIN 筛查中具有较高的灵敏度和特异性。例如，在一项包括 </w:t>
      </w:r>
      <w:r>
        <w:rPr>
          <w:spacing w:val="-6"/>
          <w:sz w:val="28"/>
        </w:rPr>
        <w:t>56000</w:t>
      </w:r>
      <w:r>
        <w:rPr>
          <w:spacing w:val="-11"/>
          <w:sz w:val="28"/>
        </w:rPr>
        <w:t xml:space="preserve"> 多名女性的研究中，使用 </w:t>
      </w:r>
      <w:r>
        <w:rPr>
          <w:spacing w:val="-6"/>
          <w:sz w:val="28"/>
        </w:rPr>
        <w:t>HPV-DNA</w:t>
      </w:r>
      <w:r>
        <w:rPr>
          <w:spacing w:val="-10"/>
          <w:sz w:val="28"/>
        </w:rPr>
        <w:t xml:space="preserve"> 检测作为初筛工具，结果显</w:t>
      </w:r>
      <w:r>
        <w:rPr>
          <w:spacing w:val="-2"/>
          <w:sz w:val="28"/>
        </w:rPr>
        <w:t xml:space="preserve">示其对于 </w:t>
      </w:r>
      <w:r>
        <w:rPr>
          <w:sz w:val="28"/>
        </w:rPr>
        <w:t>CIN3+</w:t>
      </w:r>
      <w:r>
        <w:rPr>
          <w:spacing w:val="4"/>
          <w:sz w:val="28"/>
        </w:rPr>
        <w:t xml:space="preserve">的灵敏度达到了 </w:t>
      </w:r>
      <w:r>
        <w:rPr>
          <w:sz w:val="28"/>
        </w:rPr>
        <w:t>94%</w:t>
      </w:r>
      <w:r>
        <w:rPr>
          <w:spacing w:val="8"/>
          <w:sz w:val="28"/>
        </w:rPr>
        <w:t>，明显高于传统的细胞学检查</w:t>
      </w:r>
    </w:p>
    <w:p>
      <w:pPr>
        <w:pStyle w:val="BodyText"/>
        <w:spacing w:line="358" w:lineRule="exact"/>
        <w:ind w:left="120"/>
      </w:pPr>
      <w:r>
        <w:t>（78%</w:t>
      </w:r>
      <w:r>
        <w:rPr>
          <w:spacing w:val="-140"/>
        </w:rPr>
        <w:t>）</w:t>
      </w:r>
      <w:r>
        <w:rPr>
          <w:spacing w:val="-10"/>
        </w:rPr>
        <w:t>。</w:t>
      </w:r>
    </w:p>
    <w:p>
      <w:pPr>
        <w:pStyle w:val="BodyText"/>
      </w:pPr>
    </w:p>
    <w:p>
      <w:pPr>
        <w:pStyle w:val="BodyText"/>
        <w:spacing w:before="5"/>
        <w:rPr>
          <w:sz w:val="41"/>
        </w:rPr>
      </w:pPr>
    </w:p>
    <w:p>
      <w:pPr>
        <w:pStyle w:val="ListParagraph"/>
        <w:numPr>
          <w:ilvl w:val="0"/>
          <w:numId w:val="27"/>
        </w:numPr>
        <w:tabs>
          <w:tab w:val="left" w:pos="540"/>
        </w:tabs>
        <w:spacing w:before="0" w:after="0" w:line="417" w:lineRule="auto"/>
        <w:ind w:left="120" w:right="285" w:firstLine="0"/>
        <w:jc w:val="left"/>
        <w:rPr>
          <w:sz w:val="28"/>
        </w:rPr>
      </w:pPr>
      <w:r>
        <w:rPr>
          <w:sz w:val="28"/>
        </w:rPr>
        <w:t>HPV-DNA</w:t>
      </w:r>
      <w:r>
        <w:rPr>
          <w:spacing w:val="-30"/>
          <w:sz w:val="28"/>
        </w:rPr>
        <w:t xml:space="preserve"> 检测在 </w:t>
      </w:r>
      <w:r>
        <w:rPr>
          <w:sz w:val="28"/>
        </w:rPr>
        <w:t>CIN</w:t>
      </w:r>
      <w:r>
        <w:rPr>
          <w:spacing w:val="-22"/>
          <w:sz w:val="28"/>
        </w:rPr>
        <w:t xml:space="preserve"> 监测和预后的应用：除了用于筛查外，</w:t>
      </w:r>
      <w:r>
        <w:rPr>
          <w:spacing w:val="28"/>
          <w:sz w:val="28"/>
        </w:rPr>
        <w:t>HPV-</w:t>
      </w:r>
      <w:r>
        <w:rPr>
          <w:sz w:val="28"/>
        </w:rPr>
        <w:t>DNA</w:t>
      </w:r>
      <w:r>
        <w:rPr>
          <w:spacing w:val="-5"/>
          <w:sz w:val="28"/>
        </w:rPr>
        <w:t xml:space="preserve">检测还可以用于 </w:t>
      </w:r>
      <w:r>
        <w:rPr>
          <w:sz w:val="28"/>
        </w:rPr>
        <w:t>CIN</w:t>
      </w:r>
      <w:r>
        <w:rPr>
          <w:spacing w:val="-7"/>
          <w:sz w:val="28"/>
        </w:rPr>
        <w:t xml:space="preserve"> 患者的病情监测和预后评估。一些研究表明，持</w:t>
      </w:r>
      <w:r>
        <w:rPr>
          <w:spacing w:val="5"/>
          <w:sz w:val="28"/>
        </w:rPr>
        <w:t>续性的高危型</w:t>
      </w:r>
      <w:r>
        <w:rPr>
          <w:sz w:val="28"/>
        </w:rPr>
        <w:t>HPV</w:t>
      </w:r>
      <w:r>
        <w:rPr>
          <w:spacing w:val="-20"/>
          <w:sz w:val="28"/>
        </w:rPr>
        <w:t xml:space="preserve"> 感染是</w:t>
      </w:r>
      <w:r>
        <w:rPr>
          <w:sz w:val="28"/>
        </w:rPr>
        <w:t>CIN</w:t>
      </w:r>
      <w:r>
        <w:rPr>
          <w:spacing w:val="-11"/>
          <w:sz w:val="28"/>
        </w:rPr>
        <w:t xml:space="preserve"> 进展至浸润性子宫颈癌的重要危险因素，</w:t>
      </w:r>
    </w:p>
    <w:p>
      <w:pPr>
        <w:spacing w:after="0" w:line="417" w:lineRule="auto"/>
        <w:jc w:val="left"/>
        <w:rPr>
          <w:sz w:val="28"/>
        </w:rPr>
        <w:sectPr>
          <w:footerReference w:type="default" r:id="rId12"/>
          <w:pgSz w:w="11910" w:h="16840"/>
          <w:pgMar w:top="1520" w:right="1280" w:bottom="1380" w:left="1680" w:header="0" w:footer="1198"/>
          <w:pgNumType w:start="8"/>
          <w:cols w:space="708"/>
        </w:sectPr>
      </w:pPr>
    </w:p>
    <w:p>
      <w:pPr>
        <w:pStyle w:val="BodyText"/>
        <w:spacing w:before="37"/>
        <w:ind w:left="120"/>
      </w:pPr>
      <w:r>
        <w:rPr>
          <w:spacing w:val="-35"/>
        </w:rPr>
        <w:t xml:space="preserve">而 </w:t>
      </w:r>
      <w:r>
        <w:t>HPV-DNA</w:t>
      </w:r>
      <w:r>
        <w:rPr>
          <w:spacing w:val="-10"/>
        </w:rPr>
        <w:t xml:space="preserve"> 检测可以准确地检测出这些持续性感染。</w:t>
      </w:r>
    </w:p>
    <w:p>
      <w:pPr>
        <w:pStyle w:val="BodyText"/>
      </w:pPr>
    </w:p>
    <w:p>
      <w:pPr>
        <w:pStyle w:val="BodyText"/>
        <w:spacing w:before="5"/>
        <w:rPr>
          <w:sz w:val="41"/>
        </w:rPr>
      </w:pPr>
    </w:p>
    <w:p>
      <w:pPr>
        <w:pStyle w:val="BodyText"/>
        <w:ind w:left="120"/>
      </w:pPr>
      <w:r>
        <w:rPr>
          <w:spacing w:val="-3"/>
        </w:rPr>
        <w:t>三、结论</w:t>
      </w:r>
    </w:p>
    <w:p>
      <w:pPr>
        <w:pStyle w:val="BodyText"/>
      </w:pPr>
    </w:p>
    <w:p>
      <w:pPr>
        <w:pStyle w:val="BodyText"/>
        <w:spacing w:before="5"/>
        <w:rPr>
          <w:sz w:val="41"/>
        </w:rPr>
      </w:pPr>
    </w:p>
    <w:p>
      <w:pPr>
        <w:pStyle w:val="BodyText"/>
        <w:spacing w:line="417" w:lineRule="auto"/>
        <w:ind w:left="120" w:right="238"/>
      </w:pPr>
      <w:r>
        <w:t>总的来说，HPV-DNA</w:t>
      </w:r>
      <w:r>
        <w:rPr>
          <w:spacing w:val="-7"/>
        </w:rPr>
        <w:t xml:space="preserve"> 检测技术的发展与应用，为 </w:t>
      </w:r>
      <w:r>
        <w:t>CIN</w:t>
      </w:r>
      <w:r>
        <w:rPr>
          <w:spacing w:val="-5"/>
        </w:rPr>
        <w:t xml:space="preserve"> 的早期筛查和管</w:t>
      </w:r>
      <w:r>
        <w:t xml:space="preserve"> </w:t>
      </w:r>
      <w:r>
        <w:rPr>
          <w:spacing w:val="-3"/>
        </w:rPr>
        <w:t xml:space="preserve">理提供了重要的技术支持。然而，尽管 </w:t>
      </w:r>
      <w:r>
        <w:t>HPV-DNA</w:t>
      </w:r>
      <w:r>
        <w:rPr>
          <w:spacing w:val="-7"/>
        </w:rPr>
        <w:t xml:space="preserve"> 检测的敏感性和特异</w:t>
      </w:r>
      <w:r>
        <w:t xml:space="preserve"> </w:t>
      </w:r>
      <w:r>
        <w:rPr>
          <w:spacing w:val="-2"/>
        </w:rPr>
        <w:t>性较高，但仍需结合其他检查手段，如细胞学检查和阴道镜检查等，</w:t>
      </w:r>
      <w:r>
        <w:rPr>
          <w:spacing w:val="-2"/>
        </w:rPr>
        <w:t xml:space="preserve">以进一步提高诊断准确性。此外，还需要更多的研究来探讨如何将 </w:t>
      </w:r>
      <w:r>
        <w:t>HPV-DNA</w:t>
      </w:r>
      <w:r>
        <w:rPr>
          <w:spacing w:val="-6"/>
        </w:rPr>
        <w:t xml:space="preserve"> 检测更好地应用于 </w:t>
      </w:r>
      <w:r>
        <w:t>CIN</w:t>
      </w:r>
      <w:r>
        <w:rPr>
          <w:spacing w:val="-4"/>
        </w:rPr>
        <w:t xml:space="preserve"> 的个体化治疗。</w:t>
      </w:r>
    </w:p>
    <w:p>
      <w:pPr>
        <w:pStyle w:val="BodyText"/>
      </w:pPr>
    </w:p>
    <w:p>
      <w:pPr>
        <w:pStyle w:val="Heading1"/>
        <w:tabs>
          <w:tab w:val="left" w:pos="1725"/>
        </w:tabs>
        <w:spacing w:before="237"/>
      </w:pPr>
      <w:bookmarkStart w:id="3" w:name="_TOC_250004"/>
      <w:r>
        <w:t>第</w:t>
      </w:r>
      <w:r>
        <w:t>四</w:t>
      </w:r>
      <w:r>
        <w:t>部</w:t>
      </w:r>
      <w:r>
        <w:rPr>
          <w:spacing w:val="-10"/>
        </w:rPr>
        <w:t>分</w:t>
      </w:r>
      <w:r>
        <w:tab/>
        <w:t>新</w:t>
      </w:r>
      <w:r>
        <w:t>型</w:t>
      </w:r>
      <w:r>
        <w:t>筛</w:t>
      </w:r>
      <w:r>
        <w:t>查</w:t>
      </w:r>
      <w:r>
        <w:t>策</w:t>
      </w:r>
      <w:r>
        <w:t>略</w:t>
      </w:r>
      <w:r>
        <w:t>的</w:t>
      </w:r>
      <w:r>
        <w:t>研</w:t>
      </w:r>
      <w:r>
        <w:t>究</w:t>
      </w:r>
      <w:r>
        <w:t>背</w:t>
      </w:r>
      <w:bookmarkEnd w:id="3"/>
      <w:r>
        <w:rPr>
          <w:spacing w:val="-10"/>
        </w:rPr>
        <w:t>景</w:t>
      </w:r>
    </w:p>
    <w:p>
      <w:pPr>
        <w:pStyle w:val="BodyText"/>
        <w:spacing w:before="16"/>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rPr>
                <w:sz w:val="21"/>
              </w:rPr>
            </w:pPr>
            <w:r>
              <w:rPr>
                <w:spacing w:val="-4"/>
                <w:sz w:val="21"/>
              </w:rPr>
              <w:t>关键词</w:t>
            </w:r>
          </w:p>
        </w:tc>
        <w:tc>
          <w:tcPr>
            <w:tcW w:w="5519"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629"/>
          <w:jc w:val="left"/>
        </w:trPr>
        <w:tc>
          <w:tcPr>
            <w:tcW w:w="2777" w:type="dxa"/>
            <w:tcBorders>
              <w:bottom w:val="nil"/>
            </w:tcBorders>
          </w:tcPr>
          <w:p>
            <w:pPr>
              <w:pStyle w:val="TableParagraph"/>
              <w:spacing w:before="23"/>
              <w:rPr>
                <w:sz w:val="21"/>
              </w:rPr>
            </w:pPr>
            <w:r>
              <w:rPr>
                <w:spacing w:val="-1"/>
                <w:sz w:val="21"/>
              </w:rPr>
              <w:t>【宫颈癌筛查的重要性】：</w:t>
            </w:r>
          </w:p>
          <w:p>
            <w:pPr>
              <w:pStyle w:val="TableParagraph"/>
              <w:spacing w:before="55"/>
              <w:rPr>
                <w:rFonts w:ascii="Times New Roman"/>
                <w:sz w:val="21"/>
              </w:rPr>
            </w:pPr>
            <w:r>
              <w:rPr>
                <w:rFonts w:ascii="Times New Roman"/>
                <w:sz w:val="21"/>
              </w:rPr>
              <w:t>,</w:t>
            </w:r>
          </w:p>
        </w:tc>
        <w:tc>
          <w:tcPr>
            <w:tcW w:w="5519" w:type="dxa"/>
            <w:tcBorders>
              <w:bottom w:val="nil"/>
            </w:tcBorders>
          </w:tcPr>
          <w:p>
            <w:pPr>
              <w:pStyle w:val="TableParagraph"/>
              <w:spacing w:before="23"/>
              <w:rPr>
                <w:sz w:val="21"/>
              </w:rPr>
            </w:pPr>
            <w:r>
              <w:rPr>
                <w:rFonts w:ascii="Times New Roman" w:eastAsia="Times New Roman"/>
                <w:sz w:val="21"/>
              </w:rPr>
              <w:t>1.</w:t>
            </w:r>
            <w:r>
              <w:rPr>
                <w:rFonts w:ascii="Times New Roman" w:eastAsia="Times New Roman"/>
                <w:spacing w:val="52"/>
                <w:sz w:val="21"/>
              </w:rPr>
              <w:t xml:space="preserve"> </w:t>
            </w:r>
            <w:r>
              <w:rPr>
                <w:spacing w:val="-1"/>
                <w:sz w:val="21"/>
              </w:rPr>
              <w:t>宫颈癌是全球妇女常见恶性肿瘤之一，发病率和死亡率</w:t>
            </w:r>
          </w:p>
          <w:p>
            <w:pPr>
              <w:pStyle w:val="TableParagraph"/>
              <w:spacing w:before="43"/>
              <w:rPr>
                <w:sz w:val="21"/>
              </w:rPr>
            </w:pPr>
            <w:r>
              <w:rPr>
                <w:spacing w:val="-4"/>
                <w:sz w:val="21"/>
              </w:rPr>
              <w:t>较高。</w:t>
            </w:r>
          </w:p>
        </w:tc>
      </w:tr>
      <w:tr>
        <w:tblPrEx>
          <w:tblW w:w="0" w:type="auto"/>
          <w:jc w:val="left"/>
          <w:tblInd w:w="130" w:type="dxa"/>
          <w:tblLayout w:type="fixed"/>
          <w:tblCellMar>
            <w:top w:w="0" w:type="dxa"/>
            <w:left w:w="0" w:type="dxa"/>
            <w:bottom w:w="0" w:type="dxa"/>
            <w:right w:w="0" w:type="dxa"/>
          </w:tblCellMar>
          <w:tblLook w:val="01E0"/>
        </w:tblPrEx>
        <w:trPr>
          <w:trHeight w:val="932"/>
          <w:jc w:val="left"/>
        </w:trPr>
        <w:tc>
          <w:tcPr>
            <w:tcW w:w="2777" w:type="dxa"/>
            <w:tcBorders>
              <w:top w:val="nil"/>
              <w:bottom w:val="nil"/>
            </w:tcBorders>
          </w:tcPr>
          <w:p>
            <w:pPr>
              <w:pStyle w:val="TableParagraph"/>
              <w:ind w:left="0"/>
              <w:rPr>
                <w:rFonts w:ascii="Times New Roman"/>
                <w:sz w:val="26"/>
              </w:rPr>
            </w:pPr>
          </w:p>
        </w:tc>
        <w:tc>
          <w:tcPr>
            <w:tcW w:w="5519" w:type="dxa"/>
            <w:tcBorders>
              <w:top w:val="nil"/>
              <w:bottom w:val="nil"/>
            </w:tcBorders>
          </w:tcPr>
          <w:p>
            <w:pPr>
              <w:pStyle w:val="TableParagraph"/>
              <w:numPr>
                <w:ilvl w:val="0"/>
                <w:numId w:val="26"/>
              </w:numPr>
              <w:tabs>
                <w:tab w:val="left" w:pos="475"/>
                <w:tab w:val="left" w:pos="476"/>
              </w:tabs>
              <w:spacing w:before="17" w:after="0" w:line="240" w:lineRule="auto"/>
              <w:ind w:left="475" w:right="-15" w:hanging="368"/>
              <w:jc w:val="left"/>
              <w:rPr>
                <w:sz w:val="21"/>
              </w:rPr>
            </w:pPr>
            <w:r>
              <w:rPr>
                <w:spacing w:val="-1"/>
                <w:sz w:val="21"/>
              </w:rPr>
              <w:t>早期发现和治疗可以显著提高生存率，降低疾病负担。</w:t>
            </w:r>
          </w:p>
          <w:p>
            <w:pPr>
              <w:pStyle w:val="TableParagraph"/>
              <w:numPr>
                <w:ilvl w:val="0"/>
                <w:numId w:val="26"/>
              </w:numPr>
              <w:tabs>
                <w:tab w:val="left" w:pos="475"/>
                <w:tab w:val="left" w:pos="476"/>
              </w:tabs>
              <w:spacing w:before="2" w:after="0" w:line="310" w:lineRule="atLeast"/>
              <w:ind w:left="108" w:right="96" w:firstLine="0"/>
              <w:jc w:val="left"/>
              <w:rPr>
                <w:sz w:val="21"/>
              </w:rPr>
            </w:pPr>
            <w:r>
              <w:rPr>
                <w:spacing w:val="-9"/>
                <w:sz w:val="21"/>
              </w:rPr>
              <w:t>筛查策略的改进对于提高筛查覆盖率、准确性以及减少</w:t>
            </w:r>
            <w:r>
              <w:rPr>
                <w:spacing w:val="-2"/>
                <w:sz w:val="21"/>
              </w:rPr>
              <w:t>不必要的检查和干预具有重要意义。</w:t>
            </w:r>
          </w:p>
        </w:tc>
      </w:tr>
      <w:tr>
        <w:tblPrEx>
          <w:tblW w:w="0" w:type="auto"/>
          <w:jc w:val="left"/>
          <w:tblInd w:w="130" w:type="dxa"/>
          <w:tblLayout w:type="fixed"/>
          <w:tblCellMar>
            <w:top w:w="0" w:type="dxa"/>
            <w:left w:w="0" w:type="dxa"/>
            <w:bottom w:w="0" w:type="dxa"/>
            <w:right w:w="0" w:type="dxa"/>
          </w:tblCellMar>
          <w:tblLook w:val="01E0"/>
        </w:tblPrEx>
        <w:trPr>
          <w:trHeight w:val="307"/>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spacing w:before="21" w:line="266" w:lineRule="exact"/>
              <w:rPr>
                <w:sz w:val="21"/>
              </w:rPr>
            </w:pPr>
            <w:r>
              <w:rPr>
                <w:spacing w:val="-1"/>
                <w:sz w:val="21"/>
              </w:rPr>
              <w:t>【传统筛查方法的问题】：</w:t>
            </w:r>
          </w:p>
        </w:tc>
      </w:tr>
      <w:tr>
        <w:tblPrEx>
          <w:tblW w:w="0" w:type="auto"/>
          <w:jc w:val="left"/>
          <w:tblInd w:w="130" w:type="dxa"/>
          <w:tblLayout w:type="fixed"/>
          <w:tblCellMar>
            <w:top w:w="0" w:type="dxa"/>
            <w:left w:w="0" w:type="dxa"/>
            <w:bottom w:w="0" w:type="dxa"/>
            <w:right w:w="0" w:type="dxa"/>
          </w:tblCellMar>
          <w:tblLook w:val="01E0"/>
        </w:tblPrEx>
        <w:trPr>
          <w:trHeight w:val="314"/>
          <w:jc w:val="left"/>
        </w:trPr>
        <w:tc>
          <w:tcPr>
            <w:tcW w:w="2777" w:type="dxa"/>
            <w:tcBorders>
              <w:top w:val="nil"/>
            </w:tcBorders>
          </w:tcPr>
          <w:p>
            <w:pPr>
              <w:pStyle w:val="TableParagraph"/>
              <w:ind w:left="0"/>
              <w:rPr>
                <w:rFonts w:ascii="Times New Roman"/>
                <w:sz w:val="22"/>
              </w:rPr>
            </w:pPr>
          </w:p>
        </w:tc>
        <w:tc>
          <w:tcPr>
            <w:tcW w:w="5519" w:type="dxa"/>
            <w:tcBorders>
              <w:top w:val="nil"/>
            </w:tcBorders>
          </w:tcPr>
          <w:p>
            <w:pPr>
              <w:pStyle w:val="TableParagraph"/>
              <w:spacing w:before="38"/>
              <w:rPr>
                <w:rFonts w:ascii="Times New Roman"/>
                <w:sz w:val="21"/>
              </w:rPr>
            </w:pPr>
            <w:r>
              <w:rPr>
                <w:rFonts w:ascii="Times New Roman"/>
                <w:sz w:val="21"/>
              </w:rPr>
              <w:t>,</w:t>
            </w:r>
          </w:p>
        </w:tc>
      </w:tr>
    </w:tbl>
    <w:p>
      <w:pPr>
        <w:pStyle w:val="BodyText"/>
        <w:spacing w:before="2"/>
        <w:rPr>
          <w:rFonts w:ascii="Microsoft JhengHei"/>
          <w:b/>
          <w:sz w:val="4"/>
        </w:rPr>
      </w:pPr>
    </w:p>
    <w:p>
      <w:pPr>
        <w:pStyle w:val="BodyText"/>
        <w:spacing w:before="61" w:line="417" w:lineRule="auto"/>
        <w:ind w:left="120" w:right="285" w:firstLine="560"/>
      </w:pPr>
      <w:r>
        <w:rPr>
          <w:spacing w:val="4"/>
        </w:rPr>
        <w:t>宫颈上皮内癌（</w:t>
      </w:r>
      <w:r>
        <w:t>Cervical</w:t>
      </w:r>
      <w:r>
        <w:rPr>
          <w:spacing w:val="4"/>
        </w:rPr>
        <w:t xml:space="preserve"> </w:t>
      </w:r>
      <w:r>
        <w:t>Intraepithelial</w:t>
      </w:r>
      <w:r>
        <w:rPr>
          <w:spacing w:val="4"/>
        </w:rPr>
        <w:t xml:space="preserve"> </w:t>
      </w:r>
      <w:r>
        <w:t>Neoplasia</w:t>
      </w:r>
      <w:r>
        <w:rPr>
          <w:spacing w:val="4"/>
        </w:rPr>
        <w:t>，</w:t>
      </w:r>
      <w:r>
        <w:t>CIN）</w:t>
      </w:r>
      <w:r>
        <w:rPr>
          <w:spacing w:val="-5"/>
        </w:rPr>
        <w:t>是导致女性恶性肿瘤宫颈癌的重要前驱病变。由于宫颈癌的发病隐匿</w:t>
      </w:r>
      <w:r>
        <w:rPr>
          <w:spacing w:val="-11"/>
        </w:rPr>
        <w:t>且进展缓慢，通过早期筛查和干预可显著降低其发病率和死亡率。因</w:t>
      </w:r>
      <w:r>
        <w:rPr>
          <w:spacing w:val="-15"/>
        </w:rPr>
        <w:t>此，开展新型宫颈上皮内癌筛查策略的研究具有重要的公共卫生价值。</w:t>
      </w:r>
    </w:p>
    <w:p>
      <w:pPr>
        <w:pStyle w:val="BodyText"/>
      </w:pPr>
    </w:p>
    <w:p>
      <w:pPr>
        <w:pStyle w:val="BodyText"/>
        <w:spacing w:before="8"/>
        <w:rPr>
          <w:sz w:val="20"/>
        </w:rPr>
      </w:pPr>
    </w:p>
    <w:p>
      <w:pPr>
        <w:pStyle w:val="BodyText"/>
        <w:ind w:left="120"/>
      </w:pPr>
      <w:r>
        <w:t>目前，传统的宫颈癌筛查方法主要包括液基薄层细胞学</w:t>
      </w:r>
      <w:r>
        <w:rPr>
          <w:spacing w:val="-2"/>
        </w:rPr>
        <w:t>（ThinPrep</w:t>
      </w:r>
    </w:p>
    <w:p>
      <w:pPr>
        <w:spacing w:after="0"/>
        <w:sectPr>
          <w:footerReference w:type="default" r:id="rId13"/>
          <w:pgSz w:w="11910" w:h="16840"/>
          <w:pgMar w:top="1520" w:right="1280" w:bottom="1380" w:left="1680" w:header="0" w:footer="1198"/>
          <w:pgNumType w:start="9"/>
          <w:cols w:space="708"/>
        </w:sectPr>
      </w:pPr>
    </w:p>
    <w:p>
      <w:pPr>
        <w:pStyle w:val="BodyText"/>
        <w:spacing w:before="37" w:line="417" w:lineRule="auto"/>
        <w:ind w:left="120" w:right="247"/>
      </w:pPr>
      <w:r>
        <w:t>Pap Test, TCT）和人乳头瘤病毒（Human Papillomavirus, HPV）检</w:t>
      </w:r>
      <w:r>
        <w:t xml:space="preserve"> </w:t>
      </w:r>
      <w:r>
        <w:rPr>
          <w:spacing w:val="-2"/>
        </w:rPr>
        <w:t>测。这些方法在一定程度上降低了宫颈癌的发生率，但存在敏感性和</w:t>
      </w:r>
      <w:r>
        <w:rPr>
          <w:spacing w:val="-2"/>
        </w:rPr>
        <w:t xml:space="preserve"> </w:t>
      </w:r>
      <w:r>
        <w:rPr>
          <w:spacing w:val="-2"/>
        </w:rPr>
        <w:t>特异性不足、假阴性率较高以及过度诊断等问题。此外，对于低级别</w:t>
      </w:r>
      <w:r>
        <w:rPr>
          <w:spacing w:val="-2"/>
        </w:rPr>
        <w:t xml:space="preserve"> </w:t>
      </w:r>
      <w:r>
        <w:t>CIN</w:t>
      </w:r>
      <w:r>
        <w:rPr>
          <w:spacing w:val="-7"/>
        </w:rPr>
        <w:t xml:space="preserve"> 病变的过度治疗也可能带来不必要的医疗负担和社会心理压力。</w:t>
      </w:r>
    </w:p>
    <w:p>
      <w:pPr>
        <w:pStyle w:val="BodyText"/>
      </w:pPr>
    </w:p>
    <w:p>
      <w:pPr>
        <w:pStyle w:val="BodyText"/>
        <w:spacing w:before="7"/>
        <w:rPr>
          <w:sz w:val="20"/>
        </w:rPr>
      </w:pPr>
    </w:p>
    <w:p>
      <w:pPr>
        <w:pStyle w:val="BodyText"/>
        <w:spacing w:before="1" w:line="417" w:lineRule="auto"/>
        <w:ind w:left="120" w:right="518"/>
        <w:jc w:val="both"/>
      </w:pPr>
      <w:r>
        <w:rPr>
          <w:spacing w:val="-8"/>
        </w:rPr>
        <w:t>为了提高宫颈癌筛查的效果和质量，科研工作者不断探索和研究新的</w:t>
      </w:r>
      <w:r>
        <w:rPr>
          <w:spacing w:val="-4"/>
        </w:rPr>
        <w:t>筛查策略。其中，新型分子标记物的应用备受关注。例如，甲基化生</w:t>
      </w:r>
      <w:r>
        <w:rPr>
          <w:spacing w:val="-8"/>
        </w:rPr>
        <w:t xml:space="preserve">物标志物是一种有潜力的 </w:t>
      </w:r>
      <w:r>
        <w:rPr>
          <w:spacing w:val="-6"/>
        </w:rPr>
        <w:t>CIN</w:t>
      </w:r>
      <w:r>
        <w:rPr>
          <w:spacing w:val="-11"/>
        </w:rPr>
        <w:t xml:space="preserve"> 筛查工具。研究表明，某些基因启动子</w:t>
      </w:r>
      <w:r>
        <w:t>区域的DNA</w:t>
      </w:r>
      <w:r>
        <w:rPr>
          <w:spacing w:val="-8"/>
        </w:rPr>
        <w:t xml:space="preserve"> 甲基化与</w:t>
      </w:r>
      <w:r>
        <w:t>CIN</w:t>
      </w:r>
      <w:r>
        <w:rPr>
          <w:spacing w:val="-15"/>
        </w:rPr>
        <w:t xml:space="preserve"> 发生发展密切相关，并有可能作为</w:t>
      </w:r>
      <w:r>
        <w:t>TCT</w:t>
      </w:r>
      <w:r>
        <w:rPr>
          <w:spacing w:val="-18"/>
        </w:rPr>
        <w:t xml:space="preserve"> 和</w:t>
      </w:r>
      <w:r>
        <w:t>HP</w:t>
      </w:r>
      <w:r>
        <w:t>V</w:t>
      </w:r>
      <w:r>
        <w:rPr>
          <w:spacing w:val="-2"/>
        </w:rPr>
        <w:t>检测的有效补充。</w:t>
      </w:r>
    </w:p>
    <w:p>
      <w:pPr>
        <w:pStyle w:val="BodyText"/>
      </w:pPr>
    </w:p>
    <w:p>
      <w:pPr>
        <w:pStyle w:val="BodyText"/>
        <w:spacing w:before="7"/>
        <w:rPr>
          <w:sz w:val="20"/>
        </w:rPr>
      </w:pPr>
    </w:p>
    <w:p>
      <w:pPr>
        <w:pStyle w:val="BodyText"/>
        <w:spacing w:line="417" w:lineRule="auto"/>
        <w:ind w:left="120" w:right="518"/>
        <w:jc w:val="both"/>
      </w:pPr>
      <w:r>
        <w:rPr>
          <w:spacing w:val="-4"/>
        </w:rPr>
        <w:t>此外，人工智能技术的发展也为宫颈癌筛查提供了新的可能性。通过</w:t>
      </w:r>
      <w:r>
        <w:rPr>
          <w:spacing w:val="-7"/>
        </w:rPr>
        <w:t>对大量数字化图像进行深度学习和算法优化，可以实现对宫颈细胞学</w:t>
      </w:r>
      <w:r>
        <w:rPr>
          <w:spacing w:val="-10"/>
        </w:rPr>
        <w:t xml:space="preserve">涂片和 </w:t>
      </w:r>
      <w:r>
        <w:rPr>
          <w:spacing w:val="-4"/>
        </w:rPr>
        <w:t>HPV</w:t>
      </w:r>
      <w:r>
        <w:rPr>
          <w:spacing w:val="-16"/>
        </w:rPr>
        <w:t xml:space="preserve"> 感染程度的自动识别和分析，从而提高筛查的准确性和效</w:t>
      </w:r>
      <w:r>
        <w:rPr>
          <w:spacing w:val="-6"/>
        </w:rPr>
        <w:t>率。</w:t>
      </w:r>
    </w:p>
    <w:p>
      <w:pPr>
        <w:pStyle w:val="BodyText"/>
      </w:pPr>
    </w:p>
    <w:p>
      <w:pPr>
        <w:pStyle w:val="BodyText"/>
        <w:spacing w:before="8"/>
        <w:rPr>
          <w:sz w:val="20"/>
        </w:rPr>
      </w:pPr>
    </w:p>
    <w:p>
      <w:pPr>
        <w:pStyle w:val="BodyText"/>
        <w:spacing w:before="1" w:line="417" w:lineRule="auto"/>
        <w:ind w:left="120" w:right="518"/>
        <w:jc w:val="both"/>
      </w:pPr>
      <w:r>
        <w:rPr>
          <w:spacing w:val="-4"/>
        </w:rPr>
        <w:t>综上所述，随着科技的进步和临床实践的需求，新型宫颈上皮内癌筛</w:t>
      </w:r>
      <w:r>
        <w:rPr>
          <w:spacing w:val="-4"/>
        </w:rPr>
        <w:t>查策略的研究不断深入。未来，结合多种检测手段和人工智能辅助诊</w:t>
      </w:r>
      <w:r>
        <w:rPr>
          <w:spacing w:val="-6"/>
        </w:rPr>
        <w:t>断的技术有望为宫颈癌防控提供更为精准和高效的方法，进一步降低</w:t>
      </w:r>
      <w:r>
        <w:rPr>
          <w:spacing w:val="-2"/>
        </w:rPr>
        <w:t>宫颈癌的发病率和死亡率。</w:t>
      </w:r>
    </w:p>
    <w:p>
      <w:pPr>
        <w:spacing w:after="0" w:line="417" w:lineRule="auto"/>
        <w:jc w:val="both"/>
        <w:sectPr>
          <w:footerReference w:type="default" r:id="rId14"/>
          <w:pgSz w:w="11910" w:h="16840"/>
          <w:pgMar w:top="1520" w:right="1280" w:bottom="1380" w:left="1680" w:header="0" w:footer="1198"/>
          <w:pgNumType w:start="10"/>
          <w:cols w:space="708"/>
        </w:sectPr>
      </w:pPr>
    </w:p>
    <w:p>
      <w:pPr>
        <w:pStyle w:val="Heading1"/>
        <w:tabs>
          <w:tab w:val="left" w:pos="1725"/>
        </w:tabs>
        <w:spacing w:line="514" w:lineRule="exact"/>
      </w:pPr>
      <w:bookmarkStart w:id="4" w:name="_TOC_250003"/>
      <w:r>
        <w:t>第</w:t>
      </w:r>
      <w:r>
        <w:t>五</w:t>
      </w:r>
      <w:r>
        <w:t>部</w:t>
      </w:r>
      <w:r>
        <w:rPr>
          <w:spacing w:val="-10"/>
        </w:rPr>
        <w:t>分</w:t>
      </w:r>
      <w:r>
        <w:tab/>
        <w:t>基</w:t>
      </w:r>
      <w:r>
        <w:t>因</w:t>
      </w:r>
      <w:r>
        <w:t>组</w:t>
      </w:r>
      <w:r>
        <w:t>学</w:t>
      </w:r>
      <w:r>
        <w:t>在</w:t>
      </w:r>
      <w:r>
        <w:t>新</w:t>
      </w:r>
      <w:r>
        <w:t>型</w:t>
      </w:r>
      <w:r>
        <w:t>筛</w:t>
      </w:r>
      <w:r>
        <w:t>查</w:t>
      </w:r>
      <w:r>
        <w:t>策</w:t>
      </w:r>
      <w:r>
        <w:t>略</w:t>
      </w:r>
      <w:r>
        <w:t>中</w:t>
      </w:r>
      <w:r>
        <w:t>的</w:t>
      </w:r>
      <w:r>
        <w:t>作</w:t>
      </w:r>
      <w:bookmarkEnd w:id="4"/>
      <w:r>
        <w:rPr>
          <w:spacing w:val="-10"/>
        </w:rPr>
        <w:t>用</w:t>
      </w:r>
    </w:p>
    <w:p>
      <w:pPr>
        <w:pStyle w:val="BodyText"/>
        <w:spacing w:before="15" w:after="1"/>
        <w:rPr>
          <w:rFonts w:ascii="Microsoft JhengHei"/>
          <w:b/>
          <w:sz w:val="15"/>
        </w:r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2"/>
        <w:gridCol w:w="553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2" w:type="dxa"/>
          </w:tcPr>
          <w:p>
            <w:pPr>
              <w:pStyle w:val="TableParagraph"/>
              <w:spacing w:before="23"/>
              <w:rPr>
                <w:sz w:val="21"/>
              </w:rPr>
            </w:pPr>
            <w:r>
              <w:rPr>
                <w:spacing w:val="-4"/>
                <w:sz w:val="21"/>
              </w:rPr>
              <w:t>关键词</w:t>
            </w:r>
          </w:p>
        </w:tc>
        <w:tc>
          <w:tcPr>
            <w:tcW w:w="5534"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2" w:type="dxa"/>
          </w:tcPr>
          <w:p>
            <w:pPr>
              <w:pStyle w:val="TableParagraph"/>
              <w:spacing w:before="23" w:line="278" w:lineRule="auto"/>
              <w:ind w:right="95"/>
              <w:rPr>
                <w:sz w:val="21"/>
              </w:rPr>
            </w:pPr>
            <w:r>
              <w:rPr>
                <w:spacing w:val="-2"/>
                <w:sz w:val="21"/>
              </w:rPr>
              <w:t>基因组学在宫颈上皮内癌筛</w:t>
            </w:r>
            <w:r>
              <w:rPr>
                <w:spacing w:val="-2"/>
                <w:sz w:val="21"/>
              </w:rPr>
              <w:t>查中的重要性</w:t>
            </w:r>
          </w:p>
        </w:tc>
        <w:tc>
          <w:tcPr>
            <w:tcW w:w="5534" w:type="dxa"/>
          </w:tcPr>
          <w:p>
            <w:pPr>
              <w:pStyle w:val="TableParagraph"/>
              <w:spacing w:before="4"/>
              <w:ind w:left="0"/>
              <w:rPr>
                <w:rFonts w:ascii="Microsoft JhengHei"/>
                <w:b/>
                <w:sz w:val="18"/>
              </w:rPr>
            </w:pPr>
          </w:p>
          <w:p>
            <w:pPr>
              <w:pStyle w:val="TableParagraph"/>
              <w:numPr>
                <w:ilvl w:val="0"/>
                <w:numId w:val="25"/>
              </w:numPr>
              <w:tabs>
                <w:tab w:val="left" w:pos="372"/>
              </w:tabs>
              <w:spacing w:before="0" w:after="0" w:line="278" w:lineRule="auto"/>
              <w:ind w:left="108" w:right="96" w:firstLine="0"/>
              <w:jc w:val="both"/>
              <w:rPr>
                <w:sz w:val="21"/>
              </w:rPr>
            </w:pPr>
            <w:r>
              <w:rPr>
                <w:spacing w:val="-2"/>
                <w:sz w:val="21"/>
              </w:rPr>
              <w:t>基因组学是研究整个基因组的学科，包括基因结构、功</w:t>
            </w:r>
            <w:r>
              <w:rPr>
                <w:spacing w:val="-2"/>
                <w:sz w:val="21"/>
              </w:rPr>
              <w:t>能和表达调控等方面。它能够揭示疾病的遗传背景和发病</w:t>
            </w:r>
            <w:r>
              <w:rPr>
                <w:spacing w:val="-2"/>
                <w:sz w:val="21"/>
              </w:rPr>
              <w:t>机制，为临床诊断和治疗提供新的思路。</w:t>
            </w:r>
          </w:p>
          <w:p>
            <w:pPr>
              <w:pStyle w:val="TableParagraph"/>
              <w:numPr>
                <w:ilvl w:val="0"/>
                <w:numId w:val="25"/>
              </w:numPr>
              <w:tabs>
                <w:tab w:val="left" w:pos="372"/>
              </w:tabs>
              <w:spacing w:before="0" w:after="0" w:line="278" w:lineRule="auto"/>
              <w:ind w:left="108" w:right="96" w:firstLine="0"/>
              <w:jc w:val="both"/>
              <w:rPr>
                <w:sz w:val="21"/>
              </w:rPr>
            </w:pPr>
            <w:r>
              <w:rPr>
                <w:spacing w:val="-2"/>
                <w:sz w:val="21"/>
              </w:rPr>
              <w:t>宫颈上皮内癌是一种常见的妇科恶性肿瘤，其发生与人</w:t>
            </w:r>
            <w:r>
              <w:rPr>
                <w:spacing w:val="-2"/>
                <w:sz w:val="21"/>
              </w:rPr>
              <w:t>乳头瘤病毒（</w:t>
            </w:r>
            <w:r>
              <w:rPr>
                <w:rFonts w:ascii="Times New Roman" w:eastAsia="Times New Roman"/>
                <w:spacing w:val="-2"/>
                <w:sz w:val="21"/>
              </w:rPr>
              <w:t>HPV</w:t>
            </w:r>
            <w:r>
              <w:rPr>
                <w:spacing w:val="-2"/>
                <w:sz w:val="21"/>
              </w:rPr>
              <w:t>）感染密切相关。通过基因组学技术可</w:t>
            </w:r>
            <w:r>
              <w:rPr>
                <w:sz w:val="21"/>
              </w:rPr>
              <w:t xml:space="preserve">以发现与 </w:t>
            </w:r>
            <w:r>
              <w:rPr>
                <w:rFonts w:ascii="Times New Roman" w:eastAsia="Times New Roman"/>
                <w:sz w:val="21"/>
              </w:rPr>
              <w:t>HPV</w:t>
            </w:r>
            <w:r>
              <w:rPr>
                <w:rFonts w:ascii="Times New Roman" w:eastAsia="Times New Roman"/>
                <w:spacing w:val="40"/>
                <w:sz w:val="21"/>
              </w:rPr>
              <w:t xml:space="preserve"> </w:t>
            </w:r>
            <w:r>
              <w:rPr>
                <w:sz w:val="21"/>
              </w:rPr>
              <w:t>感染相关的基因变异，并探索这些变异对</w:t>
            </w:r>
            <w:r>
              <w:rPr>
                <w:spacing w:val="-2"/>
                <w:sz w:val="21"/>
              </w:rPr>
              <w:t>疾病发生发展的影响，从而提高早期筛查的准确性。</w:t>
            </w:r>
          </w:p>
          <w:p>
            <w:pPr>
              <w:pStyle w:val="TableParagraph"/>
              <w:numPr>
                <w:ilvl w:val="0"/>
                <w:numId w:val="25"/>
              </w:numPr>
              <w:tabs>
                <w:tab w:val="left" w:pos="372"/>
              </w:tabs>
              <w:spacing w:before="0" w:after="0" w:line="278" w:lineRule="auto"/>
              <w:ind w:left="108" w:right="96" w:firstLine="0"/>
              <w:jc w:val="both"/>
              <w:rPr>
                <w:sz w:val="21"/>
              </w:rPr>
            </w:pPr>
            <w:r>
              <w:rPr>
                <w:spacing w:val="-2"/>
                <w:sz w:val="21"/>
              </w:rPr>
              <w:t>基因组学还可以用于预测患者对治疗的反应和预后。例</w:t>
            </w:r>
            <w:r>
              <w:rPr>
                <w:spacing w:val="-2"/>
                <w:sz w:val="21"/>
              </w:rPr>
              <w:t>如，通过对患者的基因表达谱进行分析，可以预测哪些患</w:t>
            </w:r>
            <w:r>
              <w:rPr>
                <w:spacing w:val="-2"/>
                <w:sz w:val="21"/>
              </w:rPr>
              <w:t>者可能会受益于特定的药物治疗，从而实现个体化治疗。</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2" w:type="dxa"/>
          </w:tcPr>
          <w:p>
            <w:pPr>
              <w:pStyle w:val="TableParagraph"/>
              <w:spacing w:before="23" w:line="278" w:lineRule="auto"/>
              <w:ind w:right="95"/>
              <w:rPr>
                <w:sz w:val="21"/>
              </w:rPr>
            </w:pPr>
            <w:r>
              <w:rPr>
                <w:spacing w:val="-2"/>
                <w:sz w:val="21"/>
              </w:rPr>
              <w:t>液体活检在新型筛查策略中</w:t>
            </w:r>
            <w:r>
              <w:rPr>
                <w:spacing w:val="-4"/>
                <w:sz w:val="21"/>
              </w:rPr>
              <w:t>的应用</w:t>
            </w:r>
          </w:p>
        </w:tc>
        <w:tc>
          <w:tcPr>
            <w:tcW w:w="5534" w:type="dxa"/>
          </w:tcPr>
          <w:p>
            <w:pPr>
              <w:pStyle w:val="TableParagraph"/>
              <w:spacing w:before="4"/>
              <w:ind w:left="0"/>
              <w:rPr>
                <w:rFonts w:ascii="Microsoft JhengHei"/>
                <w:b/>
                <w:sz w:val="18"/>
              </w:rPr>
            </w:pPr>
          </w:p>
          <w:p>
            <w:pPr>
              <w:pStyle w:val="TableParagraph"/>
              <w:numPr>
                <w:ilvl w:val="0"/>
                <w:numId w:val="24"/>
              </w:numPr>
              <w:tabs>
                <w:tab w:val="left" w:pos="372"/>
              </w:tabs>
              <w:spacing w:before="0" w:after="0" w:line="278" w:lineRule="auto"/>
              <w:ind w:left="108" w:right="95" w:firstLine="0"/>
              <w:jc w:val="both"/>
              <w:rPr>
                <w:sz w:val="21"/>
              </w:rPr>
            </w:pPr>
            <w:r>
              <w:rPr>
                <w:spacing w:val="-2"/>
                <w:sz w:val="21"/>
              </w:rPr>
              <w:t>液体活检是一种非侵入性的检查方法，可以通过检测血</w:t>
            </w:r>
            <w:r>
              <w:rPr>
                <w:spacing w:val="-2"/>
                <w:sz w:val="21"/>
              </w:rPr>
              <w:t xml:space="preserve">液、尿液等生物样本中的 </w:t>
            </w:r>
            <w:r>
              <w:rPr>
                <w:rFonts w:ascii="Times New Roman" w:eastAsia="Times New Roman"/>
                <w:sz w:val="21"/>
              </w:rPr>
              <w:t>DNA</w:t>
            </w:r>
            <w:r>
              <w:rPr>
                <w:sz w:val="21"/>
              </w:rPr>
              <w:t>、</w:t>
            </w:r>
            <w:r>
              <w:rPr>
                <w:rFonts w:ascii="Times New Roman" w:eastAsia="Times New Roman"/>
                <w:sz w:val="21"/>
              </w:rPr>
              <w:t>RNA</w:t>
            </w:r>
            <w:r>
              <w:rPr>
                <w:rFonts w:ascii="Times New Roman" w:eastAsia="Times New Roman"/>
                <w:spacing w:val="38"/>
                <w:sz w:val="21"/>
              </w:rPr>
              <w:t xml:space="preserve"> </w:t>
            </w:r>
            <w:r>
              <w:rPr>
                <w:sz w:val="21"/>
              </w:rPr>
              <w:t>或蛋白质等分子标</w:t>
            </w:r>
            <w:r>
              <w:rPr>
                <w:spacing w:val="-2"/>
                <w:sz w:val="21"/>
              </w:rPr>
              <w:t>志物来评估疾病状态。</w:t>
            </w:r>
          </w:p>
          <w:p>
            <w:pPr>
              <w:pStyle w:val="TableParagraph"/>
              <w:numPr>
                <w:ilvl w:val="0"/>
                <w:numId w:val="24"/>
              </w:numPr>
              <w:tabs>
                <w:tab w:val="left" w:pos="372"/>
              </w:tabs>
              <w:spacing w:before="0" w:after="0" w:line="278" w:lineRule="auto"/>
              <w:ind w:left="108" w:right="-15" w:firstLine="0"/>
              <w:jc w:val="both"/>
              <w:rPr>
                <w:sz w:val="21"/>
              </w:rPr>
            </w:pPr>
            <w:r>
              <w:rPr>
                <w:spacing w:val="-2"/>
                <w:sz w:val="21"/>
              </w:rPr>
              <w:t>在宫颈上皮内癌筛查中，液体活检已经成为一种有前景</w:t>
            </w:r>
            <w:r>
              <w:rPr>
                <w:sz w:val="21"/>
              </w:rPr>
              <w:t xml:space="preserve">的方法。它可以检测到 </w:t>
            </w:r>
            <w:r>
              <w:rPr>
                <w:rFonts w:ascii="Times New Roman" w:eastAsia="Times New Roman"/>
                <w:sz w:val="21"/>
              </w:rPr>
              <w:t>HPV</w:t>
            </w:r>
            <w:r>
              <w:rPr>
                <w:rFonts w:ascii="Times New Roman" w:eastAsia="Times New Roman"/>
                <w:spacing w:val="40"/>
                <w:sz w:val="21"/>
              </w:rPr>
              <w:t xml:space="preserve"> </w:t>
            </w:r>
            <w:r>
              <w:rPr>
                <w:sz w:val="21"/>
              </w:rPr>
              <w:t xml:space="preserve">感染和早期病变的 </w:t>
            </w:r>
            <w:r>
              <w:rPr>
                <w:rFonts w:ascii="Times New Roman" w:eastAsia="Times New Roman"/>
                <w:sz w:val="21"/>
              </w:rPr>
              <w:t>DNA</w:t>
            </w:r>
            <w:r>
              <w:rPr>
                <w:rFonts w:ascii="Times New Roman" w:eastAsia="Times New Roman"/>
                <w:spacing w:val="40"/>
                <w:sz w:val="21"/>
              </w:rPr>
              <w:t xml:space="preserve"> </w:t>
            </w:r>
            <w:r>
              <w:rPr>
                <w:sz w:val="21"/>
              </w:rPr>
              <w:t>标</w:t>
            </w:r>
            <w:r>
              <w:rPr>
                <w:spacing w:val="-2"/>
                <w:sz w:val="21"/>
              </w:rPr>
              <w:t>志物，有助于早期发现疾病并减少假阴性和假阳性的结果。</w:t>
            </w:r>
          </w:p>
          <w:p>
            <w:pPr>
              <w:pStyle w:val="TableParagraph"/>
              <w:numPr>
                <w:ilvl w:val="0"/>
                <w:numId w:val="24"/>
              </w:numPr>
              <w:tabs>
                <w:tab w:val="left" w:pos="372"/>
              </w:tabs>
              <w:spacing w:before="0" w:after="0" w:line="278" w:lineRule="auto"/>
              <w:ind w:left="108" w:right="96" w:firstLine="0"/>
              <w:jc w:val="both"/>
              <w:rPr>
                <w:sz w:val="21"/>
              </w:rPr>
            </w:pPr>
            <w:r>
              <w:rPr>
                <w:spacing w:val="-2"/>
                <w:sz w:val="21"/>
              </w:rPr>
              <w:t>液体活检的优势在于可以在没有明显症状或异常的情况</w:t>
            </w:r>
            <w:r>
              <w:rPr>
                <w:spacing w:val="-2"/>
                <w:sz w:val="21"/>
              </w:rPr>
              <w:t>下检测出疾病，提高了筛查的敏感性和特异性。未来有望</w:t>
            </w:r>
            <w:r>
              <w:rPr>
                <w:spacing w:val="-2"/>
                <w:sz w:val="21"/>
              </w:rPr>
              <w:t>成为常规的筛查手段之一。</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2" w:type="dxa"/>
          </w:tcPr>
          <w:p>
            <w:pPr>
              <w:pStyle w:val="TableParagraph"/>
              <w:spacing w:before="23" w:line="278" w:lineRule="auto"/>
              <w:ind w:right="95"/>
              <w:rPr>
                <w:sz w:val="21"/>
              </w:rPr>
            </w:pPr>
            <w:r>
              <w:rPr>
                <w:spacing w:val="-2"/>
                <w:sz w:val="21"/>
              </w:rPr>
              <w:t>高通量测序技术在基因组学</w:t>
            </w:r>
            <w:r>
              <w:rPr>
                <w:spacing w:val="-2"/>
                <w:sz w:val="21"/>
              </w:rPr>
              <w:t>研究中的作用</w:t>
            </w:r>
          </w:p>
        </w:tc>
        <w:tc>
          <w:tcPr>
            <w:tcW w:w="5534" w:type="dxa"/>
          </w:tcPr>
          <w:p>
            <w:pPr>
              <w:pStyle w:val="TableParagraph"/>
              <w:spacing w:before="4"/>
              <w:ind w:left="0"/>
              <w:rPr>
                <w:rFonts w:ascii="Microsoft JhengHei"/>
                <w:b/>
                <w:sz w:val="18"/>
              </w:rPr>
            </w:pPr>
          </w:p>
          <w:p>
            <w:pPr>
              <w:pStyle w:val="TableParagraph"/>
              <w:numPr>
                <w:ilvl w:val="0"/>
                <w:numId w:val="23"/>
              </w:numPr>
              <w:tabs>
                <w:tab w:val="left" w:pos="372"/>
              </w:tabs>
              <w:spacing w:before="0" w:after="0" w:line="278" w:lineRule="auto"/>
              <w:ind w:left="108" w:right="96" w:firstLine="0"/>
              <w:jc w:val="both"/>
              <w:rPr>
                <w:sz w:val="21"/>
              </w:rPr>
            </w:pPr>
            <w:r>
              <w:rPr>
                <w:spacing w:val="-2"/>
                <w:sz w:val="21"/>
              </w:rPr>
              <w:t>高通量测序技术是指大规模平行测序的技术，能够在短</w:t>
            </w:r>
            <w:r>
              <w:rPr>
                <w:spacing w:val="-2"/>
                <w:sz w:val="21"/>
              </w:rPr>
              <w:t>时间内获得大量的序列数据，极大地促进了基因组学的发</w:t>
            </w:r>
            <w:r>
              <w:rPr>
                <w:spacing w:val="-6"/>
                <w:sz w:val="21"/>
              </w:rPr>
              <w:t>展。</w:t>
            </w:r>
          </w:p>
          <w:p>
            <w:pPr>
              <w:pStyle w:val="TableParagraph"/>
              <w:numPr>
                <w:ilvl w:val="0"/>
                <w:numId w:val="23"/>
              </w:numPr>
              <w:tabs>
                <w:tab w:val="left" w:pos="372"/>
              </w:tabs>
              <w:spacing w:before="0" w:after="0" w:line="278" w:lineRule="auto"/>
              <w:ind w:left="108" w:right="96" w:firstLine="0"/>
              <w:jc w:val="both"/>
              <w:rPr>
                <w:sz w:val="21"/>
              </w:rPr>
            </w:pPr>
            <w:r>
              <w:rPr>
                <w:spacing w:val="-2"/>
                <w:sz w:val="21"/>
              </w:rPr>
              <w:t>在宫颈上皮内癌的研究中，高通量测序技术可以应用于</w:t>
            </w:r>
            <w:r>
              <w:rPr>
                <w:spacing w:val="-2"/>
                <w:sz w:val="21"/>
              </w:rPr>
              <w:t>全基因组关联研究、转录组学研究、表观基因组学研究等</w:t>
            </w:r>
            <w:r>
              <w:rPr>
                <w:spacing w:val="-2"/>
                <w:sz w:val="21"/>
              </w:rPr>
              <w:t>多个方面，有助于深入理解疾病的遗传背景和分子机制。</w:t>
            </w:r>
          </w:p>
          <w:p>
            <w:pPr>
              <w:pStyle w:val="TableParagraph"/>
              <w:numPr>
                <w:ilvl w:val="0"/>
                <w:numId w:val="23"/>
              </w:numPr>
              <w:tabs>
                <w:tab w:val="left" w:pos="372"/>
              </w:tabs>
              <w:spacing w:before="0" w:after="0" w:line="278" w:lineRule="auto"/>
              <w:ind w:left="108" w:right="96" w:firstLine="0"/>
              <w:jc w:val="both"/>
              <w:rPr>
                <w:sz w:val="21"/>
              </w:rPr>
            </w:pPr>
            <w:r>
              <w:rPr>
                <w:spacing w:val="-2"/>
                <w:sz w:val="21"/>
              </w:rPr>
              <w:t>随着高通量测序技术的不断发展和成本的降低，它将在</w:t>
            </w:r>
            <w:r>
              <w:rPr>
                <w:spacing w:val="-2"/>
                <w:sz w:val="21"/>
              </w:rPr>
              <w:t>基因组学研究中发挥越来越重要的作用。</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2" w:type="dxa"/>
          </w:tcPr>
          <w:p>
            <w:pPr>
              <w:pStyle w:val="TableParagraph"/>
              <w:spacing w:before="23" w:line="278" w:lineRule="auto"/>
              <w:ind w:right="95"/>
              <w:rPr>
                <w:sz w:val="21"/>
              </w:rPr>
            </w:pPr>
            <w:r>
              <w:rPr>
                <w:spacing w:val="-2"/>
                <w:sz w:val="21"/>
              </w:rPr>
              <w:t>基于人工智能的宫颈上皮内</w:t>
            </w:r>
            <w:r>
              <w:rPr>
                <w:spacing w:val="-2"/>
                <w:sz w:val="21"/>
              </w:rPr>
              <w:t>癌筛查系统</w:t>
            </w:r>
          </w:p>
        </w:tc>
        <w:tc>
          <w:tcPr>
            <w:tcW w:w="5534" w:type="dxa"/>
          </w:tcPr>
          <w:p>
            <w:pPr>
              <w:pStyle w:val="TableParagraph"/>
              <w:spacing w:before="4"/>
              <w:ind w:left="0"/>
              <w:rPr>
                <w:rFonts w:ascii="Microsoft JhengHei"/>
                <w:b/>
                <w:sz w:val="18"/>
              </w:rPr>
            </w:pPr>
          </w:p>
          <w:p>
            <w:pPr>
              <w:pStyle w:val="TableParagraph"/>
              <w:numPr>
                <w:ilvl w:val="0"/>
                <w:numId w:val="22"/>
              </w:numPr>
              <w:tabs>
                <w:tab w:val="left" w:pos="372"/>
              </w:tabs>
              <w:spacing w:before="0" w:after="0" w:line="278" w:lineRule="auto"/>
              <w:ind w:left="108" w:right="96" w:firstLine="0"/>
              <w:jc w:val="both"/>
              <w:rPr>
                <w:sz w:val="21"/>
              </w:rPr>
            </w:pPr>
            <w:r>
              <w:rPr>
                <w:spacing w:val="-2"/>
                <w:sz w:val="21"/>
              </w:rPr>
              <w:t>人工智能是指计算机模拟人类智能的一种技术，包括机</w:t>
            </w:r>
            <w:r>
              <w:rPr>
                <w:spacing w:val="-2"/>
                <w:sz w:val="21"/>
              </w:rPr>
              <w:t>器学习、深度学习等多个方向。它在医疗领域的应用已经</w:t>
            </w:r>
            <w:r>
              <w:rPr>
                <w:spacing w:val="-2"/>
                <w:sz w:val="21"/>
              </w:rPr>
              <w:t>取得了显著的进步。</w:t>
            </w:r>
          </w:p>
          <w:p>
            <w:pPr>
              <w:pStyle w:val="TableParagraph"/>
              <w:numPr>
                <w:ilvl w:val="0"/>
                <w:numId w:val="22"/>
              </w:numPr>
              <w:tabs>
                <w:tab w:val="left" w:pos="372"/>
              </w:tabs>
              <w:spacing w:before="0" w:after="0" w:line="278" w:lineRule="auto"/>
              <w:ind w:left="108" w:right="-58" w:firstLine="0"/>
              <w:jc w:val="left"/>
              <w:rPr>
                <w:sz w:val="21"/>
              </w:rPr>
            </w:pPr>
            <w:r>
              <w:rPr>
                <w:sz w:val="21"/>
              </w:rPr>
              <w:t>在宫颈上皮内癌筛查中，基于人工智能的系统可以通过图像识别和数据分析等方式自动识别细胞形态和病理变化，</w:t>
            </w:r>
          </w:p>
          <w:p>
            <w:pPr>
              <w:pStyle w:val="TableParagraph"/>
              <w:spacing w:line="269" w:lineRule="exact"/>
              <w:rPr>
                <w:sz w:val="21"/>
              </w:rPr>
            </w:pPr>
            <w:r>
              <w:rPr>
                <w:spacing w:val="-1"/>
                <w:sz w:val="21"/>
              </w:rPr>
              <w:t>提高筛查的准确性和效率。</w:t>
            </w:r>
          </w:p>
        </w:tc>
      </w:tr>
    </w:tbl>
    <w:p>
      <w:pPr>
        <w:spacing w:after="0" w:line="269" w:lineRule="exact"/>
        <w:rPr>
          <w:sz w:val="21"/>
        </w:rPr>
        <w:sectPr>
          <w:footerReference w:type="default" r:id="rId15"/>
          <w:pgSz w:w="11910" w:h="16840"/>
          <w:pgMar w:top="1500" w:right="1280" w:bottom="1380" w:left="1680" w:header="0" w:footer="1198"/>
          <w:pgNumType w:start="11"/>
          <w:cols w:space="708"/>
        </w:sectPr>
      </w:pPr>
    </w:p>
    <w:tbl>
      <w:tblPr>
        <w:tblStyle w:val="TableNormal7"/>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2"/>
        <w:gridCol w:w="553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762" w:type="dxa"/>
          </w:tcPr>
          <w:p>
            <w:pPr>
              <w:pStyle w:val="TableParagraph"/>
              <w:ind w:left="0"/>
              <w:rPr>
                <w:rFonts w:ascii="Times New Roman"/>
                <w:sz w:val="26"/>
              </w:rPr>
            </w:pPr>
          </w:p>
        </w:tc>
        <w:tc>
          <w:tcPr>
            <w:tcW w:w="5534" w:type="dxa"/>
          </w:tcPr>
          <w:p>
            <w:pPr>
              <w:pStyle w:val="TableParagraph"/>
              <w:spacing w:before="23"/>
              <w:rPr>
                <w:sz w:val="21"/>
              </w:rPr>
            </w:pPr>
            <w:r>
              <w:rPr>
                <w:rFonts w:ascii="Times New Roman" w:eastAsia="Times New Roman"/>
                <w:sz w:val="21"/>
              </w:rPr>
              <w:t>3.</w:t>
            </w:r>
            <w:r>
              <w:rPr>
                <w:rFonts w:ascii="Times New Roman" w:eastAsia="Times New Roman"/>
                <w:spacing w:val="52"/>
                <w:sz w:val="21"/>
              </w:rPr>
              <w:t xml:space="preserve"> </w:t>
            </w:r>
            <w:r>
              <w:rPr>
                <w:spacing w:val="-1"/>
                <w:sz w:val="21"/>
              </w:rPr>
              <w:t>随着人工智能技术的不断成熟和发展，基于人工智能的</w:t>
            </w:r>
          </w:p>
          <w:p>
            <w:pPr>
              <w:pStyle w:val="TableParagraph"/>
              <w:spacing w:before="43"/>
              <w:rPr>
                <w:sz w:val="21"/>
              </w:rPr>
            </w:pPr>
            <w:r>
              <w:rPr>
                <w:spacing w:val="-5"/>
                <w:sz w:val="21"/>
              </w:rPr>
              <w:t>宫颈</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2" w:type="dxa"/>
          </w:tcPr>
          <w:p>
            <w:pPr>
              <w:pStyle w:val="TableParagraph"/>
              <w:ind w:left="0"/>
              <w:rPr>
                <w:rFonts w:ascii="Times New Roman"/>
                <w:sz w:val="22"/>
              </w:rPr>
            </w:pPr>
          </w:p>
        </w:tc>
        <w:tc>
          <w:tcPr>
            <w:tcW w:w="5534" w:type="dxa"/>
          </w:tcPr>
          <w:p>
            <w:pPr>
              <w:pStyle w:val="TableParagraph"/>
              <w:ind w:left="0"/>
              <w:rPr>
                <w:rFonts w:ascii="Times New Roman"/>
                <w:sz w:val="22"/>
              </w:rPr>
            </w:pPr>
          </w:p>
        </w:tc>
      </w:tr>
    </w:tbl>
    <w:p>
      <w:pPr>
        <w:pStyle w:val="BodyText"/>
        <w:spacing w:before="4"/>
        <w:rPr>
          <w:rFonts w:ascii="Microsoft JhengHei"/>
          <w:b/>
          <w:sz w:val="5"/>
        </w:rPr>
      </w:pPr>
    </w:p>
    <w:p>
      <w:pPr>
        <w:pStyle w:val="BodyText"/>
        <w:spacing w:before="61" w:line="417" w:lineRule="auto"/>
        <w:ind w:left="120" w:right="518" w:firstLine="560"/>
        <w:jc w:val="both"/>
      </w:pPr>
      <w:r>
        <w:t xml:space="preserve">宫颈上皮内癌（Cervical Intraepithelial </w:t>
      </w:r>
      <w:r>
        <w:t>Neoplasia，CIN）</w:t>
      </w:r>
      <w:r>
        <w:rPr>
          <w:spacing w:val="-4"/>
        </w:rPr>
        <w:t>是一种常见的女性生殖系统疾病，是导致宫颈癌的主要病因之一。近</w:t>
      </w:r>
      <w:r>
        <w:rPr>
          <w:spacing w:val="-4"/>
        </w:rPr>
        <w:t>年来，随着基因组学技术的发展和应用，其在新型筛查策略中发挥着</w:t>
      </w:r>
      <w:r>
        <w:rPr>
          <w:spacing w:val="-2"/>
        </w:rPr>
        <w:t>越来越重要的作用。</w:t>
      </w:r>
    </w:p>
    <w:p>
      <w:pPr>
        <w:pStyle w:val="BodyText"/>
      </w:pPr>
    </w:p>
    <w:p>
      <w:pPr>
        <w:pStyle w:val="BodyText"/>
        <w:spacing w:before="7"/>
        <w:rPr>
          <w:sz w:val="20"/>
        </w:rPr>
      </w:pPr>
    </w:p>
    <w:p>
      <w:pPr>
        <w:pStyle w:val="BodyText"/>
        <w:spacing w:before="1"/>
        <w:ind w:left="120"/>
      </w:pPr>
      <w:r>
        <w:rPr>
          <w:spacing w:val="-1"/>
        </w:rPr>
        <w:t>一、基因组学的定义与特点</w:t>
      </w:r>
    </w:p>
    <w:p>
      <w:pPr>
        <w:pStyle w:val="BodyText"/>
      </w:pPr>
    </w:p>
    <w:p>
      <w:pPr>
        <w:pStyle w:val="BodyText"/>
        <w:spacing w:before="5"/>
        <w:rPr>
          <w:sz w:val="41"/>
        </w:rPr>
      </w:pPr>
    </w:p>
    <w:p>
      <w:pPr>
        <w:pStyle w:val="BodyText"/>
        <w:spacing w:line="417" w:lineRule="auto"/>
        <w:ind w:left="120" w:right="518"/>
        <w:jc w:val="both"/>
      </w:pPr>
      <w:r>
        <w:rPr>
          <w:spacing w:val="-4"/>
        </w:rPr>
        <w:t>基因组学（Genomics）是一门研究生物体全部遗传信息及其表达、调</w:t>
      </w:r>
      <w:r>
        <w:rPr>
          <w:spacing w:val="-4"/>
        </w:rPr>
        <w:t>控和功能的学科。它以全基因组为基础，涵盖了从基因结构、表达调</w:t>
      </w:r>
      <w:r>
        <w:rPr>
          <w:spacing w:val="-7"/>
        </w:rPr>
        <w:t>控到蛋白质相互作用等多个层面的研究内容。通过比较不同个体或群</w:t>
      </w:r>
      <w:r>
        <w:rPr>
          <w:spacing w:val="-4"/>
        </w:rPr>
        <w:t>体之间的基因差异，可以揭示疾病的发生机制，为疾病的预防、诊断</w:t>
      </w:r>
      <w:r>
        <w:rPr>
          <w:spacing w:val="-2"/>
        </w:rPr>
        <w:t>和治疗提供依据。</w:t>
      </w:r>
    </w:p>
    <w:p>
      <w:pPr>
        <w:pStyle w:val="BodyText"/>
      </w:pPr>
    </w:p>
    <w:p>
      <w:pPr>
        <w:pStyle w:val="BodyText"/>
        <w:spacing w:before="8"/>
        <w:rPr>
          <w:sz w:val="20"/>
        </w:rPr>
      </w:pPr>
    </w:p>
    <w:p>
      <w:pPr>
        <w:pStyle w:val="BodyText"/>
        <w:ind w:left="120"/>
      </w:pPr>
      <w:r>
        <w:rPr>
          <w:spacing w:val="-1"/>
        </w:rPr>
        <w:t>二、基因组学在宫颈上皮内癌筛查中的应用</w:t>
      </w:r>
    </w:p>
    <w:p>
      <w:pPr>
        <w:pStyle w:val="BodyText"/>
      </w:pPr>
    </w:p>
    <w:p>
      <w:pPr>
        <w:pStyle w:val="BodyText"/>
        <w:spacing w:before="5"/>
        <w:rPr>
          <w:sz w:val="41"/>
        </w:rPr>
      </w:pPr>
    </w:p>
    <w:p>
      <w:pPr>
        <w:pStyle w:val="ListParagraph"/>
        <w:numPr>
          <w:ilvl w:val="0"/>
          <w:numId w:val="21"/>
        </w:numPr>
        <w:tabs>
          <w:tab w:val="left" w:pos="540"/>
        </w:tabs>
        <w:spacing w:before="0" w:after="0" w:line="240" w:lineRule="auto"/>
        <w:ind w:left="540" w:right="0" w:hanging="420"/>
        <w:jc w:val="left"/>
        <w:rPr>
          <w:sz w:val="28"/>
        </w:rPr>
      </w:pPr>
      <w:r>
        <w:rPr>
          <w:spacing w:val="-3"/>
          <w:sz w:val="28"/>
        </w:rPr>
        <w:t>基因检测</w:t>
      </w:r>
    </w:p>
    <w:p>
      <w:pPr>
        <w:pStyle w:val="BodyText"/>
      </w:pPr>
    </w:p>
    <w:p>
      <w:pPr>
        <w:pStyle w:val="BodyText"/>
        <w:rPr>
          <w:sz w:val="21"/>
        </w:rPr>
      </w:pPr>
    </w:p>
    <w:p>
      <w:pPr>
        <w:pStyle w:val="BodyText"/>
        <w:spacing w:line="620" w:lineRule="atLeast"/>
        <w:ind w:left="120" w:right="238"/>
        <w:sectPr>
          <w:footerReference w:type="default" r:id="rId16"/>
          <w:type w:val="continuous"/>
          <w:pgSz w:w="11910" w:h="16840"/>
          <w:pgMar w:top="1400" w:right="1280" w:bottom="1380" w:left="1680" w:header="0" w:footer="1198"/>
          <w:pgNumType w:start="12"/>
          <w:cols w:space="708"/>
        </w:sectPr>
      </w:pPr>
      <w:r>
        <w:rPr>
          <w:spacing w:val="-12"/>
        </w:rPr>
        <w:t>基于基因组学技术，科学家们已经鉴定出了一系列与宫颈上皮内癌发</w:t>
      </w:r>
      <w:r>
        <w:rPr>
          <w:spacing w:val="-2"/>
        </w:rPr>
        <w:t xml:space="preserve"> </w:t>
      </w:r>
      <w:r>
        <w:t>病相关的基因。例如，人乳头瘤病毒（Human Papillomavirus, HPV）</w:t>
      </w:r>
      <w:r>
        <w:rPr>
          <w:spacing w:val="-1"/>
        </w:rPr>
        <w:t xml:space="preserve">感染是诱发宫颈上皮内癌的重要因素。通过检测宫颈样本中的 </w:t>
      </w:r>
      <w:r>
        <w:t xml:space="preserve">HPV </w:t>
      </w:r>
    </w:p>
    <w:p>
      <w:pPr>
        <w:pStyle w:val="BodyText"/>
        <w:spacing w:line="620" w:lineRule="atLeast"/>
        <w:ind w:left="120" w:right="238"/>
      </w:pPr>
      <w:r>
        <w:rPr>
          <w:spacing w:val="-2"/>
        </w:rPr>
        <w:t>DNA，可以对高风险人群进行筛选。此外，研究人员还发现了一些与</w:t>
      </w:r>
    </w:p>
    <w:p>
      <w:pPr>
        <w:spacing w:after="0" w:line="620" w:lineRule="atLeas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https://d.book118.com/808023043130006042</w:t>
        </w:r>
      </w:hyperlink>
    </w:p>
    <w:p>
      <w:pPr>
        <w:spacing w:after="0" w:line="620" w:lineRule="atLeast"/>
      </w:pPr>
    </w:p>
    <w:sectPr>
      <w:footerReference w:type="default" r:id="rId18"/>
      <w:type w:val="nextPage"/>
      <w:pgSz w:w="11910" w:h="16840"/>
      <w:pgMar w:top="1400" w:right="1280" w:bottom="1380" w:left="1680" w:header="0" w:footer="1198"/>
      <w:pgNumType w:start="13"/>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797D3C"/>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0"/>
      </w:pPr>
      <w:rPr>
        <w:rFonts w:hint="default"/>
        <w:lang w:val="en-US" w:eastAsia="zh-CN" w:bidi="ar-SA"/>
      </w:rPr>
    </w:lvl>
    <w:lvl w:ilvl="2">
      <w:start w:val="0"/>
      <w:numFmt w:val="bullet"/>
      <w:lvlText w:val="•"/>
      <w:lvlJc w:val="left"/>
      <w:pPr>
        <w:ind w:left="1885" w:hanging="420"/>
      </w:pPr>
      <w:rPr>
        <w:rFonts w:hint="default"/>
        <w:lang w:val="en-US" w:eastAsia="zh-CN" w:bidi="ar-SA"/>
      </w:rPr>
    </w:lvl>
    <w:lvl w:ilvl="3">
      <w:start w:val="0"/>
      <w:numFmt w:val="bullet"/>
      <w:lvlText w:val="•"/>
      <w:lvlJc w:val="left"/>
      <w:pPr>
        <w:ind w:left="2767" w:hanging="420"/>
      </w:pPr>
      <w:rPr>
        <w:rFonts w:hint="default"/>
        <w:lang w:val="en-US" w:eastAsia="zh-CN" w:bidi="ar-SA"/>
      </w:rPr>
    </w:lvl>
    <w:lvl w:ilvl="4">
      <w:start w:val="0"/>
      <w:numFmt w:val="bullet"/>
      <w:lvlText w:val="•"/>
      <w:lvlJc w:val="left"/>
      <w:pPr>
        <w:ind w:left="3650" w:hanging="420"/>
      </w:pPr>
      <w:rPr>
        <w:rFonts w:hint="default"/>
        <w:lang w:val="en-US" w:eastAsia="zh-CN" w:bidi="ar-SA"/>
      </w:rPr>
    </w:lvl>
    <w:lvl w:ilvl="5">
      <w:start w:val="0"/>
      <w:numFmt w:val="bullet"/>
      <w:lvlText w:val="•"/>
      <w:lvlJc w:val="left"/>
      <w:pPr>
        <w:ind w:left="4533" w:hanging="420"/>
      </w:pPr>
      <w:rPr>
        <w:rFonts w:hint="default"/>
        <w:lang w:val="en-US" w:eastAsia="zh-CN" w:bidi="ar-SA"/>
      </w:rPr>
    </w:lvl>
    <w:lvl w:ilvl="6">
      <w:start w:val="0"/>
      <w:numFmt w:val="bullet"/>
      <w:lvlText w:val="•"/>
      <w:lvlJc w:val="left"/>
      <w:pPr>
        <w:ind w:left="5415" w:hanging="420"/>
      </w:pPr>
      <w:rPr>
        <w:rFonts w:hint="default"/>
        <w:lang w:val="en-US" w:eastAsia="zh-CN" w:bidi="ar-SA"/>
      </w:rPr>
    </w:lvl>
    <w:lvl w:ilvl="7">
      <w:start w:val="0"/>
      <w:numFmt w:val="bullet"/>
      <w:lvlText w:val="•"/>
      <w:lvlJc w:val="left"/>
      <w:pPr>
        <w:ind w:left="6298" w:hanging="420"/>
      </w:pPr>
      <w:rPr>
        <w:rFonts w:hint="default"/>
        <w:lang w:val="en-US" w:eastAsia="zh-CN" w:bidi="ar-SA"/>
      </w:rPr>
    </w:lvl>
    <w:lvl w:ilvl="8">
      <w:start w:val="0"/>
      <w:numFmt w:val="bullet"/>
      <w:lvlText w:val="•"/>
      <w:lvlJc w:val="left"/>
      <w:pPr>
        <w:ind w:left="7180" w:hanging="420"/>
      </w:pPr>
      <w:rPr>
        <w:rFonts w:hint="default"/>
        <w:lang w:val="en-US" w:eastAsia="zh-CN" w:bidi="ar-SA"/>
      </w:rPr>
    </w:lvl>
  </w:abstractNum>
  <w:abstractNum w:abstractNumId="1">
    <w:nsid w:val="02D6F954"/>
    <w:multiLevelType w:val="hybridMultilevel"/>
    <w:tmpl w:val="00000000"/>
    <w:lvl w:ilvl="0">
      <w:start w:val="1"/>
      <w:numFmt w:val="decimal"/>
      <w:lvlText w:val="%1."/>
      <w:lvlJc w:val="left"/>
      <w:pPr>
        <w:ind w:left="108" w:hanging="266"/>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6"/>
      </w:pPr>
      <w:rPr>
        <w:rFonts w:hint="default"/>
        <w:lang w:val="en-US" w:eastAsia="zh-CN" w:bidi="ar-SA"/>
      </w:rPr>
    </w:lvl>
    <w:lvl w:ilvl="2">
      <w:start w:val="0"/>
      <w:numFmt w:val="bullet"/>
      <w:lvlText w:val="•"/>
      <w:lvlJc w:val="left"/>
      <w:pPr>
        <w:ind w:left="1182" w:hanging="266"/>
      </w:pPr>
      <w:rPr>
        <w:rFonts w:hint="default"/>
        <w:lang w:val="en-US" w:eastAsia="zh-CN" w:bidi="ar-SA"/>
      </w:rPr>
    </w:lvl>
    <w:lvl w:ilvl="3">
      <w:start w:val="0"/>
      <w:numFmt w:val="bullet"/>
      <w:lvlText w:val="•"/>
      <w:lvlJc w:val="left"/>
      <w:pPr>
        <w:ind w:left="1724" w:hanging="266"/>
      </w:pPr>
      <w:rPr>
        <w:rFonts w:hint="default"/>
        <w:lang w:val="en-US" w:eastAsia="zh-CN" w:bidi="ar-SA"/>
      </w:rPr>
    </w:lvl>
    <w:lvl w:ilvl="4">
      <w:start w:val="0"/>
      <w:numFmt w:val="bullet"/>
      <w:lvlText w:val="•"/>
      <w:lvlJc w:val="left"/>
      <w:pPr>
        <w:ind w:left="2265" w:hanging="266"/>
      </w:pPr>
      <w:rPr>
        <w:rFonts w:hint="default"/>
        <w:lang w:val="en-US" w:eastAsia="zh-CN" w:bidi="ar-SA"/>
      </w:rPr>
    </w:lvl>
    <w:lvl w:ilvl="5">
      <w:start w:val="0"/>
      <w:numFmt w:val="bullet"/>
      <w:lvlText w:val="•"/>
      <w:lvlJc w:val="left"/>
      <w:pPr>
        <w:ind w:left="2807" w:hanging="266"/>
      </w:pPr>
      <w:rPr>
        <w:rFonts w:hint="default"/>
        <w:lang w:val="en-US" w:eastAsia="zh-CN" w:bidi="ar-SA"/>
      </w:rPr>
    </w:lvl>
    <w:lvl w:ilvl="6">
      <w:start w:val="0"/>
      <w:numFmt w:val="bullet"/>
      <w:lvlText w:val="•"/>
      <w:lvlJc w:val="left"/>
      <w:pPr>
        <w:ind w:left="3348" w:hanging="266"/>
      </w:pPr>
      <w:rPr>
        <w:rFonts w:hint="default"/>
        <w:lang w:val="en-US" w:eastAsia="zh-CN" w:bidi="ar-SA"/>
      </w:rPr>
    </w:lvl>
    <w:lvl w:ilvl="7">
      <w:start w:val="0"/>
      <w:numFmt w:val="bullet"/>
      <w:lvlText w:val="•"/>
      <w:lvlJc w:val="left"/>
      <w:pPr>
        <w:ind w:left="3889" w:hanging="266"/>
      </w:pPr>
      <w:rPr>
        <w:rFonts w:hint="default"/>
        <w:lang w:val="en-US" w:eastAsia="zh-CN" w:bidi="ar-SA"/>
      </w:rPr>
    </w:lvl>
    <w:lvl w:ilvl="8">
      <w:start w:val="0"/>
      <w:numFmt w:val="bullet"/>
      <w:lvlText w:val="•"/>
      <w:lvlJc w:val="left"/>
      <w:pPr>
        <w:ind w:left="4431" w:hanging="266"/>
      </w:pPr>
      <w:rPr>
        <w:rFonts w:hint="default"/>
        <w:lang w:val="en-US" w:eastAsia="zh-CN" w:bidi="ar-SA"/>
      </w:rPr>
    </w:lvl>
  </w:abstractNum>
  <w:abstractNum w:abstractNumId="2">
    <w:nsid w:val="0687109B"/>
    <w:multiLevelType w:val="hybridMultilevel"/>
    <w:tmpl w:val="00000000"/>
    <w:lvl w:ilvl="0">
      <w:start w:val="2"/>
      <w:numFmt w:val="decimal"/>
      <w:lvlText w:val="%1."/>
      <w:lvlJc w:val="left"/>
      <w:pPr>
        <w:ind w:left="108" w:hanging="266"/>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6"/>
      </w:pPr>
      <w:rPr>
        <w:rFonts w:hint="default"/>
        <w:lang w:val="en-US" w:eastAsia="zh-CN" w:bidi="ar-SA"/>
      </w:rPr>
    </w:lvl>
    <w:lvl w:ilvl="2">
      <w:start w:val="0"/>
      <w:numFmt w:val="bullet"/>
      <w:lvlText w:val="•"/>
      <w:lvlJc w:val="left"/>
      <w:pPr>
        <w:ind w:left="1183" w:hanging="266"/>
      </w:pPr>
      <w:rPr>
        <w:rFonts w:hint="default"/>
        <w:lang w:val="en-US" w:eastAsia="zh-CN" w:bidi="ar-SA"/>
      </w:rPr>
    </w:lvl>
    <w:lvl w:ilvl="3">
      <w:start w:val="0"/>
      <w:numFmt w:val="bullet"/>
      <w:lvlText w:val="•"/>
      <w:lvlJc w:val="left"/>
      <w:pPr>
        <w:ind w:left="1725" w:hanging="266"/>
      </w:pPr>
      <w:rPr>
        <w:rFonts w:hint="default"/>
        <w:lang w:val="en-US" w:eastAsia="zh-CN" w:bidi="ar-SA"/>
      </w:rPr>
    </w:lvl>
    <w:lvl w:ilvl="4">
      <w:start w:val="0"/>
      <w:numFmt w:val="bullet"/>
      <w:lvlText w:val="•"/>
      <w:lvlJc w:val="left"/>
      <w:pPr>
        <w:ind w:left="2266" w:hanging="266"/>
      </w:pPr>
      <w:rPr>
        <w:rFonts w:hint="default"/>
        <w:lang w:val="en-US" w:eastAsia="zh-CN" w:bidi="ar-SA"/>
      </w:rPr>
    </w:lvl>
    <w:lvl w:ilvl="5">
      <w:start w:val="0"/>
      <w:numFmt w:val="bullet"/>
      <w:lvlText w:val="•"/>
      <w:lvlJc w:val="left"/>
      <w:pPr>
        <w:ind w:left="2808" w:hanging="266"/>
      </w:pPr>
      <w:rPr>
        <w:rFonts w:hint="default"/>
        <w:lang w:val="en-US" w:eastAsia="zh-CN" w:bidi="ar-SA"/>
      </w:rPr>
    </w:lvl>
    <w:lvl w:ilvl="6">
      <w:start w:val="0"/>
      <w:numFmt w:val="bullet"/>
      <w:lvlText w:val="•"/>
      <w:lvlJc w:val="left"/>
      <w:pPr>
        <w:ind w:left="3350" w:hanging="266"/>
      </w:pPr>
      <w:rPr>
        <w:rFonts w:hint="default"/>
        <w:lang w:val="en-US" w:eastAsia="zh-CN" w:bidi="ar-SA"/>
      </w:rPr>
    </w:lvl>
    <w:lvl w:ilvl="7">
      <w:start w:val="0"/>
      <w:numFmt w:val="bullet"/>
      <w:lvlText w:val="•"/>
      <w:lvlJc w:val="left"/>
      <w:pPr>
        <w:ind w:left="3891" w:hanging="266"/>
      </w:pPr>
      <w:rPr>
        <w:rFonts w:hint="default"/>
        <w:lang w:val="en-US" w:eastAsia="zh-CN" w:bidi="ar-SA"/>
      </w:rPr>
    </w:lvl>
    <w:lvl w:ilvl="8">
      <w:start w:val="0"/>
      <w:numFmt w:val="bullet"/>
      <w:lvlText w:val="•"/>
      <w:lvlJc w:val="left"/>
      <w:pPr>
        <w:ind w:left="4433" w:hanging="266"/>
      </w:pPr>
      <w:rPr>
        <w:rFonts w:hint="default"/>
        <w:lang w:val="en-US" w:eastAsia="zh-CN" w:bidi="ar-SA"/>
      </w:rPr>
    </w:lvl>
  </w:abstractNum>
  <w:abstractNum w:abstractNumId="3">
    <w:nsid w:val="080B369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4">
    <w:nsid w:val="0B38195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0B3923C5"/>
    <w:multiLevelType w:val="hybridMultilevel"/>
    <w:tmpl w:val="00000000"/>
    <w:lvl w:ilvl="0">
      <w:start w:val="2"/>
      <w:numFmt w:val="decimal"/>
      <w:lvlText w:val="%1."/>
      <w:lvlJc w:val="left"/>
      <w:pPr>
        <w:ind w:left="475"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982" w:hanging="368"/>
      </w:pPr>
      <w:rPr>
        <w:rFonts w:hint="default"/>
        <w:lang w:val="en-US" w:eastAsia="zh-CN" w:bidi="ar-SA"/>
      </w:rPr>
    </w:lvl>
    <w:lvl w:ilvl="2">
      <w:start w:val="0"/>
      <w:numFmt w:val="bullet"/>
      <w:lvlText w:val="•"/>
      <w:lvlJc w:val="left"/>
      <w:pPr>
        <w:ind w:left="1485" w:hanging="368"/>
      </w:pPr>
      <w:rPr>
        <w:rFonts w:hint="default"/>
        <w:lang w:val="en-US" w:eastAsia="zh-CN" w:bidi="ar-SA"/>
      </w:rPr>
    </w:lvl>
    <w:lvl w:ilvl="3">
      <w:start w:val="0"/>
      <w:numFmt w:val="bullet"/>
      <w:lvlText w:val="•"/>
      <w:lvlJc w:val="left"/>
      <w:pPr>
        <w:ind w:left="1988" w:hanging="368"/>
      </w:pPr>
      <w:rPr>
        <w:rFonts w:hint="default"/>
        <w:lang w:val="en-US" w:eastAsia="zh-CN" w:bidi="ar-SA"/>
      </w:rPr>
    </w:lvl>
    <w:lvl w:ilvl="4">
      <w:start w:val="0"/>
      <w:numFmt w:val="bullet"/>
      <w:lvlText w:val="•"/>
      <w:lvlJc w:val="left"/>
      <w:pPr>
        <w:ind w:left="2491" w:hanging="368"/>
      </w:pPr>
      <w:rPr>
        <w:rFonts w:hint="default"/>
        <w:lang w:val="en-US" w:eastAsia="zh-CN" w:bidi="ar-SA"/>
      </w:rPr>
    </w:lvl>
    <w:lvl w:ilvl="5">
      <w:start w:val="0"/>
      <w:numFmt w:val="bullet"/>
      <w:lvlText w:val="•"/>
      <w:lvlJc w:val="left"/>
      <w:pPr>
        <w:ind w:left="2994" w:hanging="368"/>
      </w:pPr>
      <w:rPr>
        <w:rFonts w:hint="default"/>
        <w:lang w:val="en-US" w:eastAsia="zh-CN" w:bidi="ar-SA"/>
      </w:rPr>
    </w:lvl>
    <w:lvl w:ilvl="6">
      <w:start w:val="0"/>
      <w:numFmt w:val="bullet"/>
      <w:lvlText w:val="•"/>
      <w:lvlJc w:val="left"/>
      <w:pPr>
        <w:ind w:left="3497" w:hanging="368"/>
      </w:pPr>
      <w:rPr>
        <w:rFonts w:hint="default"/>
        <w:lang w:val="en-US" w:eastAsia="zh-CN" w:bidi="ar-SA"/>
      </w:rPr>
    </w:lvl>
    <w:lvl w:ilvl="7">
      <w:start w:val="0"/>
      <w:numFmt w:val="bullet"/>
      <w:lvlText w:val="•"/>
      <w:lvlJc w:val="left"/>
      <w:pPr>
        <w:ind w:left="4000" w:hanging="368"/>
      </w:pPr>
      <w:rPr>
        <w:rFonts w:hint="default"/>
        <w:lang w:val="en-US" w:eastAsia="zh-CN" w:bidi="ar-SA"/>
      </w:rPr>
    </w:lvl>
    <w:lvl w:ilvl="8">
      <w:start w:val="0"/>
      <w:numFmt w:val="bullet"/>
      <w:lvlText w:val="•"/>
      <w:lvlJc w:val="left"/>
      <w:pPr>
        <w:ind w:left="4503" w:hanging="368"/>
      </w:pPr>
      <w:rPr>
        <w:rFonts w:hint="default"/>
        <w:lang w:val="en-US" w:eastAsia="zh-CN" w:bidi="ar-SA"/>
      </w:rPr>
    </w:lvl>
  </w:abstractNum>
  <w:abstractNum w:abstractNumId="6">
    <w:nsid w:val="132FACD5"/>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7">
    <w:nsid w:val="13A0B69B"/>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7"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2" w:hanging="264"/>
      </w:pPr>
      <w:rPr>
        <w:rFonts w:hint="default"/>
        <w:lang w:val="en-US" w:eastAsia="zh-CN" w:bidi="ar-SA"/>
      </w:rPr>
    </w:lvl>
    <w:lvl w:ilvl="6">
      <w:start w:val="0"/>
      <w:numFmt w:val="bullet"/>
      <w:lvlText w:val="•"/>
      <w:lvlJc w:val="left"/>
      <w:pPr>
        <w:ind w:left="3354"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9" w:hanging="264"/>
      </w:pPr>
      <w:rPr>
        <w:rFonts w:hint="default"/>
        <w:lang w:val="en-US" w:eastAsia="zh-CN" w:bidi="ar-SA"/>
      </w:rPr>
    </w:lvl>
  </w:abstractNum>
  <w:abstractNum w:abstractNumId="8">
    <w:nsid w:val="14713A9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9">
    <w:nsid w:val="15312D05"/>
    <w:multiLevelType w:val="hybridMultilevel"/>
    <w:tmpl w:val="00000000"/>
    <w:lvl w:ilvl="0">
      <w:start w:val="1"/>
      <w:numFmt w:val="decimal"/>
      <w:lvlText w:val="[%1]"/>
      <w:lvlJc w:val="left"/>
      <w:pPr>
        <w:ind w:left="120" w:hanging="565"/>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565"/>
      </w:pPr>
      <w:rPr>
        <w:rFonts w:hint="default"/>
        <w:lang w:val="en-US" w:eastAsia="zh-CN" w:bidi="ar-SA"/>
      </w:rPr>
    </w:lvl>
    <w:lvl w:ilvl="2">
      <w:start w:val="0"/>
      <w:numFmt w:val="bullet"/>
      <w:lvlText w:val="•"/>
      <w:lvlJc w:val="left"/>
      <w:pPr>
        <w:ind w:left="1885" w:hanging="565"/>
      </w:pPr>
      <w:rPr>
        <w:rFonts w:hint="default"/>
        <w:lang w:val="en-US" w:eastAsia="zh-CN" w:bidi="ar-SA"/>
      </w:rPr>
    </w:lvl>
    <w:lvl w:ilvl="3">
      <w:start w:val="0"/>
      <w:numFmt w:val="bullet"/>
      <w:lvlText w:val="•"/>
      <w:lvlJc w:val="left"/>
      <w:pPr>
        <w:ind w:left="2767" w:hanging="565"/>
      </w:pPr>
      <w:rPr>
        <w:rFonts w:hint="default"/>
        <w:lang w:val="en-US" w:eastAsia="zh-CN" w:bidi="ar-SA"/>
      </w:rPr>
    </w:lvl>
    <w:lvl w:ilvl="4">
      <w:start w:val="0"/>
      <w:numFmt w:val="bullet"/>
      <w:lvlText w:val="•"/>
      <w:lvlJc w:val="left"/>
      <w:pPr>
        <w:ind w:left="3650" w:hanging="565"/>
      </w:pPr>
      <w:rPr>
        <w:rFonts w:hint="default"/>
        <w:lang w:val="en-US" w:eastAsia="zh-CN" w:bidi="ar-SA"/>
      </w:rPr>
    </w:lvl>
    <w:lvl w:ilvl="5">
      <w:start w:val="0"/>
      <w:numFmt w:val="bullet"/>
      <w:lvlText w:val="•"/>
      <w:lvlJc w:val="left"/>
      <w:pPr>
        <w:ind w:left="4533" w:hanging="565"/>
      </w:pPr>
      <w:rPr>
        <w:rFonts w:hint="default"/>
        <w:lang w:val="en-US" w:eastAsia="zh-CN" w:bidi="ar-SA"/>
      </w:rPr>
    </w:lvl>
    <w:lvl w:ilvl="6">
      <w:start w:val="0"/>
      <w:numFmt w:val="bullet"/>
      <w:lvlText w:val="•"/>
      <w:lvlJc w:val="left"/>
      <w:pPr>
        <w:ind w:left="5415" w:hanging="565"/>
      </w:pPr>
      <w:rPr>
        <w:rFonts w:hint="default"/>
        <w:lang w:val="en-US" w:eastAsia="zh-CN" w:bidi="ar-SA"/>
      </w:rPr>
    </w:lvl>
    <w:lvl w:ilvl="7">
      <w:start w:val="0"/>
      <w:numFmt w:val="bullet"/>
      <w:lvlText w:val="•"/>
      <w:lvlJc w:val="left"/>
      <w:pPr>
        <w:ind w:left="6298" w:hanging="565"/>
      </w:pPr>
      <w:rPr>
        <w:rFonts w:hint="default"/>
        <w:lang w:val="en-US" w:eastAsia="zh-CN" w:bidi="ar-SA"/>
      </w:rPr>
    </w:lvl>
    <w:lvl w:ilvl="8">
      <w:start w:val="0"/>
      <w:numFmt w:val="bullet"/>
      <w:lvlText w:val="•"/>
      <w:lvlJc w:val="left"/>
      <w:pPr>
        <w:ind w:left="7180" w:hanging="565"/>
      </w:pPr>
      <w:rPr>
        <w:rFonts w:hint="default"/>
        <w:lang w:val="en-US" w:eastAsia="zh-CN" w:bidi="ar-SA"/>
      </w:rPr>
    </w:lvl>
  </w:abstractNum>
  <w:abstractNum w:abstractNumId="10">
    <w:nsid w:val="1B177688"/>
    <w:multiLevelType w:val="hybridMultilevel"/>
    <w:tmpl w:val="00000000"/>
    <w:lvl w:ilvl="0">
      <w:start w:val="1"/>
      <w:numFmt w:val="decimal"/>
      <w:lvlText w:val="%1."/>
      <w:lvlJc w:val="left"/>
      <w:pPr>
        <w:ind w:left="108" w:hanging="266"/>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6"/>
      </w:pPr>
      <w:rPr>
        <w:rFonts w:hint="default"/>
        <w:lang w:val="en-US" w:eastAsia="zh-CN" w:bidi="ar-SA"/>
      </w:rPr>
    </w:lvl>
    <w:lvl w:ilvl="2">
      <w:start w:val="0"/>
      <w:numFmt w:val="bullet"/>
      <w:lvlText w:val="•"/>
      <w:lvlJc w:val="left"/>
      <w:pPr>
        <w:ind w:left="1183" w:hanging="266"/>
      </w:pPr>
      <w:rPr>
        <w:rFonts w:hint="default"/>
        <w:lang w:val="en-US" w:eastAsia="zh-CN" w:bidi="ar-SA"/>
      </w:rPr>
    </w:lvl>
    <w:lvl w:ilvl="3">
      <w:start w:val="0"/>
      <w:numFmt w:val="bullet"/>
      <w:lvlText w:val="•"/>
      <w:lvlJc w:val="left"/>
      <w:pPr>
        <w:ind w:left="1725" w:hanging="266"/>
      </w:pPr>
      <w:rPr>
        <w:rFonts w:hint="default"/>
        <w:lang w:val="en-US" w:eastAsia="zh-CN" w:bidi="ar-SA"/>
      </w:rPr>
    </w:lvl>
    <w:lvl w:ilvl="4">
      <w:start w:val="0"/>
      <w:numFmt w:val="bullet"/>
      <w:lvlText w:val="•"/>
      <w:lvlJc w:val="left"/>
      <w:pPr>
        <w:ind w:left="2266" w:hanging="266"/>
      </w:pPr>
      <w:rPr>
        <w:rFonts w:hint="default"/>
        <w:lang w:val="en-US" w:eastAsia="zh-CN" w:bidi="ar-SA"/>
      </w:rPr>
    </w:lvl>
    <w:lvl w:ilvl="5">
      <w:start w:val="0"/>
      <w:numFmt w:val="bullet"/>
      <w:lvlText w:val="•"/>
      <w:lvlJc w:val="left"/>
      <w:pPr>
        <w:ind w:left="2808" w:hanging="266"/>
      </w:pPr>
      <w:rPr>
        <w:rFonts w:hint="default"/>
        <w:lang w:val="en-US" w:eastAsia="zh-CN" w:bidi="ar-SA"/>
      </w:rPr>
    </w:lvl>
    <w:lvl w:ilvl="6">
      <w:start w:val="0"/>
      <w:numFmt w:val="bullet"/>
      <w:lvlText w:val="•"/>
      <w:lvlJc w:val="left"/>
      <w:pPr>
        <w:ind w:left="3350" w:hanging="266"/>
      </w:pPr>
      <w:rPr>
        <w:rFonts w:hint="default"/>
        <w:lang w:val="en-US" w:eastAsia="zh-CN" w:bidi="ar-SA"/>
      </w:rPr>
    </w:lvl>
    <w:lvl w:ilvl="7">
      <w:start w:val="0"/>
      <w:numFmt w:val="bullet"/>
      <w:lvlText w:val="•"/>
      <w:lvlJc w:val="left"/>
      <w:pPr>
        <w:ind w:left="3891" w:hanging="266"/>
      </w:pPr>
      <w:rPr>
        <w:rFonts w:hint="default"/>
        <w:lang w:val="en-US" w:eastAsia="zh-CN" w:bidi="ar-SA"/>
      </w:rPr>
    </w:lvl>
    <w:lvl w:ilvl="8">
      <w:start w:val="0"/>
      <w:numFmt w:val="bullet"/>
      <w:lvlText w:val="•"/>
      <w:lvlJc w:val="left"/>
      <w:pPr>
        <w:ind w:left="4433" w:hanging="266"/>
      </w:pPr>
      <w:rPr>
        <w:rFonts w:hint="default"/>
        <w:lang w:val="en-US" w:eastAsia="zh-CN" w:bidi="ar-SA"/>
      </w:rPr>
    </w:lvl>
  </w:abstractNum>
  <w:abstractNum w:abstractNumId="11">
    <w:nsid w:val="1BA5A8C2"/>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2">
    <w:nsid w:val="24CB50A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266184A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2FFFB31B"/>
    <w:multiLevelType w:val="hybridMultilevel"/>
    <w:tmpl w:val="00000000"/>
    <w:lvl w:ilvl="0">
      <w:start w:val="1"/>
      <w:numFmt w:val="decimal"/>
      <w:lvlText w:val="%1."/>
      <w:lvlJc w:val="left"/>
      <w:pPr>
        <w:ind w:left="318" w:hanging="21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39" w:hanging="210"/>
      </w:pPr>
      <w:rPr>
        <w:rFonts w:hint="default"/>
        <w:lang w:val="en-US" w:eastAsia="zh-CN" w:bidi="ar-SA"/>
      </w:rPr>
    </w:lvl>
    <w:lvl w:ilvl="2">
      <w:start w:val="0"/>
      <w:numFmt w:val="bullet"/>
      <w:lvlText w:val="•"/>
      <w:lvlJc w:val="left"/>
      <w:pPr>
        <w:ind w:left="1358" w:hanging="210"/>
      </w:pPr>
      <w:rPr>
        <w:rFonts w:hint="default"/>
        <w:lang w:val="en-US" w:eastAsia="zh-CN" w:bidi="ar-SA"/>
      </w:rPr>
    </w:lvl>
    <w:lvl w:ilvl="3">
      <w:start w:val="0"/>
      <w:numFmt w:val="bullet"/>
      <w:lvlText w:val="•"/>
      <w:lvlJc w:val="left"/>
      <w:pPr>
        <w:ind w:left="1877" w:hanging="210"/>
      </w:pPr>
      <w:rPr>
        <w:rFonts w:hint="default"/>
        <w:lang w:val="en-US" w:eastAsia="zh-CN" w:bidi="ar-SA"/>
      </w:rPr>
    </w:lvl>
    <w:lvl w:ilvl="4">
      <w:start w:val="0"/>
      <w:numFmt w:val="bullet"/>
      <w:lvlText w:val="•"/>
      <w:lvlJc w:val="left"/>
      <w:pPr>
        <w:ind w:left="2396" w:hanging="210"/>
      </w:pPr>
      <w:rPr>
        <w:rFonts w:hint="default"/>
        <w:lang w:val="en-US" w:eastAsia="zh-CN" w:bidi="ar-SA"/>
      </w:rPr>
    </w:lvl>
    <w:lvl w:ilvl="5">
      <w:start w:val="0"/>
      <w:numFmt w:val="bullet"/>
      <w:lvlText w:val="•"/>
      <w:lvlJc w:val="left"/>
      <w:pPr>
        <w:ind w:left="2915" w:hanging="210"/>
      </w:pPr>
      <w:rPr>
        <w:rFonts w:hint="default"/>
        <w:lang w:val="en-US" w:eastAsia="zh-CN" w:bidi="ar-SA"/>
      </w:rPr>
    </w:lvl>
    <w:lvl w:ilvl="6">
      <w:start w:val="0"/>
      <w:numFmt w:val="bullet"/>
      <w:lvlText w:val="•"/>
      <w:lvlJc w:val="left"/>
      <w:pPr>
        <w:ind w:left="3434" w:hanging="210"/>
      </w:pPr>
      <w:rPr>
        <w:rFonts w:hint="default"/>
        <w:lang w:val="en-US" w:eastAsia="zh-CN" w:bidi="ar-SA"/>
      </w:rPr>
    </w:lvl>
    <w:lvl w:ilvl="7">
      <w:start w:val="0"/>
      <w:numFmt w:val="bullet"/>
      <w:lvlText w:val="•"/>
      <w:lvlJc w:val="left"/>
      <w:pPr>
        <w:ind w:left="3953" w:hanging="210"/>
      </w:pPr>
      <w:rPr>
        <w:rFonts w:hint="default"/>
        <w:lang w:val="en-US" w:eastAsia="zh-CN" w:bidi="ar-SA"/>
      </w:rPr>
    </w:lvl>
    <w:lvl w:ilvl="8">
      <w:start w:val="0"/>
      <w:numFmt w:val="bullet"/>
      <w:lvlText w:val="•"/>
      <w:lvlJc w:val="left"/>
      <w:pPr>
        <w:ind w:left="4472" w:hanging="210"/>
      </w:pPr>
      <w:rPr>
        <w:rFonts w:hint="default"/>
        <w:lang w:val="en-US" w:eastAsia="zh-CN" w:bidi="ar-SA"/>
      </w:rPr>
    </w:lvl>
  </w:abstractNum>
  <w:abstractNum w:abstractNumId="15">
    <w:nsid w:val="32623D48"/>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7"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2" w:hanging="264"/>
      </w:pPr>
      <w:rPr>
        <w:rFonts w:hint="default"/>
        <w:lang w:val="en-US" w:eastAsia="zh-CN" w:bidi="ar-SA"/>
      </w:rPr>
    </w:lvl>
    <w:lvl w:ilvl="6">
      <w:start w:val="0"/>
      <w:numFmt w:val="bullet"/>
      <w:lvlText w:val="•"/>
      <w:lvlJc w:val="left"/>
      <w:pPr>
        <w:ind w:left="3354"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9" w:hanging="264"/>
      </w:pPr>
      <w:rPr>
        <w:rFonts w:hint="default"/>
        <w:lang w:val="en-US" w:eastAsia="zh-CN" w:bidi="ar-SA"/>
      </w:rPr>
    </w:lvl>
  </w:abstractNum>
  <w:abstractNum w:abstractNumId="16">
    <w:nsid w:val="3592181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36AA72C7"/>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18">
    <w:nsid w:val="37FD855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19">
    <w:nsid w:val="3B54AD66"/>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20">
    <w:nsid w:val="3BB3E76B"/>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1">
    <w:nsid w:val="3C94DDE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44E5309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4939028F"/>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6" w:hanging="263"/>
      </w:pPr>
      <w:rPr>
        <w:rFonts w:hint="default"/>
        <w:lang w:val="en-US" w:eastAsia="zh-CN" w:bidi="ar-SA"/>
      </w:rPr>
    </w:lvl>
    <w:lvl w:ilvl="3">
      <w:start w:val="0"/>
      <w:numFmt w:val="bullet"/>
      <w:lvlText w:val="•"/>
      <w:lvlJc w:val="left"/>
      <w:pPr>
        <w:ind w:left="1920" w:hanging="263"/>
      </w:pPr>
      <w:rPr>
        <w:rFonts w:hint="default"/>
        <w:lang w:val="en-US" w:eastAsia="zh-CN" w:bidi="ar-SA"/>
      </w:rPr>
    </w:lvl>
    <w:lvl w:ilvl="4">
      <w:start w:val="0"/>
      <w:numFmt w:val="bullet"/>
      <w:lvlText w:val="•"/>
      <w:lvlJc w:val="left"/>
      <w:pPr>
        <w:ind w:left="2433" w:hanging="263"/>
      </w:pPr>
      <w:rPr>
        <w:rFonts w:hint="default"/>
        <w:lang w:val="en-US" w:eastAsia="zh-CN" w:bidi="ar-SA"/>
      </w:rPr>
    </w:lvl>
    <w:lvl w:ilvl="5">
      <w:start w:val="0"/>
      <w:numFmt w:val="bullet"/>
      <w:lvlText w:val="•"/>
      <w:lvlJc w:val="left"/>
      <w:pPr>
        <w:ind w:left="2947" w:hanging="263"/>
      </w:pPr>
      <w:rPr>
        <w:rFonts w:hint="default"/>
        <w:lang w:val="en-US" w:eastAsia="zh-CN" w:bidi="ar-SA"/>
      </w:rPr>
    </w:lvl>
    <w:lvl w:ilvl="6">
      <w:start w:val="0"/>
      <w:numFmt w:val="bullet"/>
      <w:lvlText w:val="•"/>
      <w:lvlJc w:val="left"/>
      <w:pPr>
        <w:ind w:left="3460" w:hanging="263"/>
      </w:pPr>
      <w:rPr>
        <w:rFonts w:hint="default"/>
        <w:lang w:val="en-US" w:eastAsia="zh-CN" w:bidi="ar-SA"/>
      </w:rPr>
    </w:lvl>
    <w:lvl w:ilvl="7">
      <w:start w:val="0"/>
      <w:numFmt w:val="bullet"/>
      <w:lvlText w:val="•"/>
      <w:lvlJc w:val="left"/>
      <w:pPr>
        <w:ind w:left="3973" w:hanging="263"/>
      </w:pPr>
      <w:rPr>
        <w:rFonts w:hint="default"/>
        <w:lang w:val="en-US" w:eastAsia="zh-CN" w:bidi="ar-SA"/>
      </w:rPr>
    </w:lvl>
    <w:lvl w:ilvl="8">
      <w:start w:val="0"/>
      <w:numFmt w:val="bullet"/>
      <w:lvlText w:val="•"/>
      <w:lvlJc w:val="left"/>
      <w:pPr>
        <w:ind w:left="4487" w:hanging="263"/>
      </w:pPr>
      <w:rPr>
        <w:rFonts w:hint="default"/>
        <w:lang w:val="en-US" w:eastAsia="zh-CN" w:bidi="ar-SA"/>
      </w:rPr>
    </w:lvl>
  </w:abstractNum>
  <w:abstractNum w:abstractNumId="24">
    <w:nsid w:val="4D18E80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52E745B7"/>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6">
    <w:nsid w:val="550C502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27">
    <w:nsid w:val="57CCA9C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28">
    <w:nsid w:val="58F89F0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5997B38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30">
    <w:nsid w:val="5A792723"/>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1">
    <w:nsid w:val="5F110ED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32">
    <w:nsid w:val="5FFC776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33">
    <w:nsid w:val="618C955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34">
    <w:nsid w:val="632F6E3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64858039"/>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7"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2" w:hanging="264"/>
      </w:pPr>
      <w:rPr>
        <w:rFonts w:hint="default"/>
        <w:lang w:val="en-US" w:eastAsia="zh-CN" w:bidi="ar-SA"/>
      </w:rPr>
    </w:lvl>
    <w:lvl w:ilvl="6">
      <w:start w:val="0"/>
      <w:numFmt w:val="bullet"/>
      <w:lvlText w:val="•"/>
      <w:lvlJc w:val="left"/>
      <w:pPr>
        <w:ind w:left="3354"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9" w:hanging="264"/>
      </w:pPr>
      <w:rPr>
        <w:rFonts w:hint="default"/>
        <w:lang w:val="en-US" w:eastAsia="zh-CN" w:bidi="ar-SA"/>
      </w:rPr>
    </w:lvl>
  </w:abstractNum>
  <w:abstractNum w:abstractNumId="36">
    <w:nsid w:val="6FA07D0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7">
    <w:nsid w:val="73846E0A"/>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7"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2" w:hanging="264"/>
      </w:pPr>
      <w:rPr>
        <w:rFonts w:hint="default"/>
        <w:lang w:val="en-US" w:eastAsia="zh-CN" w:bidi="ar-SA"/>
      </w:rPr>
    </w:lvl>
    <w:lvl w:ilvl="6">
      <w:start w:val="0"/>
      <w:numFmt w:val="bullet"/>
      <w:lvlText w:val="•"/>
      <w:lvlJc w:val="left"/>
      <w:pPr>
        <w:ind w:left="3354"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9" w:hanging="264"/>
      </w:pPr>
      <w:rPr>
        <w:rFonts w:hint="default"/>
        <w:lang w:val="en-US" w:eastAsia="zh-CN" w:bidi="ar-SA"/>
      </w:rPr>
    </w:lvl>
  </w:abstractNum>
  <w:abstractNum w:abstractNumId="38">
    <w:nsid w:val="79F36FB9"/>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0"/>
      </w:pPr>
      <w:rPr>
        <w:rFonts w:hint="default"/>
        <w:lang w:val="en-US" w:eastAsia="zh-CN" w:bidi="ar-SA"/>
      </w:rPr>
    </w:lvl>
    <w:lvl w:ilvl="2">
      <w:start w:val="0"/>
      <w:numFmt w:val="bullet"/>
      <w:lvlText w:val="•"/>
      <w:lvlJc w:val="left"/>
      <w:pPr>
        <w:ind w:left="1885" w:hanging="420"/>
      </w:pPr>
      <w:rPr>
        <w:rFonts w:hint="default"/>
        <w:lang w:val="en-US" w:eastAsia="zh-CN" w:bidi="ar-SA"/>
      </w:rPr>
    </w:lvl>
    <w:lvl w:ilvl="3">
      <w:start w:val="0"/>
      <w:numFmt w:val="bullet"/>
      <w:lvlText w:val="•"/>
      <w:lvlJc w:val="left"/>
      <w:pPr>
        <w:ind w:left="2767" w:hanging="420"/>
      </w:pPr>
      <w:rPr>
        <w:rFonts w:hint="default"/>
        <w:lang w:val="en-US" w:eastAsia="zh-CN" w:bidi="ar-SA"/>
      </w:rPr>
    </w:lvl>
    <w:lvl w:ilvl="4">
      <w:start w:val="0"/>
      <w:numFmt w:val="bullet"/>
      <w:lvlText w:val="•"/>
      <w:lvlJc w:val="left"/>
      <w:pPr>
        <w:ind w:left="3650" w:hanging="420"/>
      </w:pPr>
      <w:rPr>
        <w:rFonts w:hint="default"/>
        <w:lang w:val="en-US" w:eastAsia="zh-CN" w:bidi="ar-SA"/>
      </w:rPr>
    </w:lvl>
    <w:lvl w:ilvl="5">
      <w:start w:val="0"/>
      <w:numFmt w:val="bullet"/>
      <w:lvlText w:val="•"/>
      <w:lvlJc w:val="left"/>
      <w:pPr>
        <w:ind w:left="4533" w:hanging="420"/>
      </w:pPr>
      <w:rPr>
        <w:rFonts w:hint="default"/>
        <w:lang w:val="en-US" w:eastAsia="zh-CN" w:bidi="ar-SA"/>
      </w:rPr>
    </w:lvl>
    <w:lvl w:ilvl="6">
      <w:start w:val="0"/>
      <w:numFmt w:val="bullet"/>
      <w:lvlText w:val="•"/>
      <w:lvlJc w:val="left"/>
      <w:pPr>
        <w:ind w:left="5415" w:hanging="420"/>
      </w:pPr>
      <w:rPr>
        <w:rFonts w:hint="default"/>
        <w:lang w:val="en-US" w:eastAsia="zh-CN" w:bidi="ar-SA"/>
      </w:rPr>
    </w:lvl>
    <w:lvl w:ilvl="7">
      <w:start w:val="0"/>
      <w:numFmt w:val="bullet"/>
      <w:lvlText w:val="•"/>
      <w:lvlJc w:val="left"/>
      <w:pPr>
        <w:ind w:left="6298" w:hanging="420"/>
      </w:pPr>
      <w:rPr>
        <w:rFonts w:hint="default"/>
        <w:lang w:val="en-US" w:eastAsia="zh-CN" w:bidi="ar-SA"/>
      </w:rPr>
    </w:lvl>
    <w:lvl w:ilvl="8">
      <w:start w:val="0"/>
      <w:numFmt w:val="bullet"/>
      <w:lvlText w:val="•"/>
      <w:lvlJc w:val="left"/>
      <w:pPr>
        <w:ind w:left="7180" w:hanging="420"/>
      </w:pPr>
      <w:rPr>
        <w:rFonts w:hint="default"/>
        <w:lang w:val="en-US" w:eastAsia="zh-CN" w:bidi="ar-SA"/>
      </w:rPr>
    </w:lvl>
  </w:abstractNum>
  <w:abstractNum w:abstractNumId="39">
    <w:nsid w:val="7BF87CB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num w:numId="1">
    <w:abstractNumId w:val="30"/>
  </w:num>
  <w:num w:numId="2">
    <w:abstractNumId w:val="36"/>
  </w:num>
  <w:num w:numId="3">
    <w:abstractNumId w:val="21"/>
  </w:num>
  <w:num w:numId="4">
    <w:abstractNumId w:val="24"/>
  </w:num>
  <w:num w:numId="5">
    <w:abstractNumId w:val="28"/>
  </w:num>
  <w:num w:numId="6">
    <w:abstractNumId w:val="13"/>
  </w:num>
  <w:num w:numId="7">
    <w:abstractNumId w:val="16"/>
  </w:num>
  <w:num w:numId="8">
    <w:abstractNumId w:val="9"/>
  </w:num>
  <w:num w:numId="9">
    <w:abstractNumId w:val="25"/>
  </w:num>
  <w:num w:numId="10">
    <w:abstractNumId w:val="12"/>
  </w:num>
  <w:num w:numId="11">
    <w:abstractNumId w:val="34"/>
  </w:num>
  <w:num w:numId="12">
    <w:abstractNumId w:val="22"/>
  </w:num>
  <w:num w:numId="13">
    <w:abstractNumId w:val="6"/>
  </w:num>
  <w:num w:numId="14">
    <w:abstractNumId w:val="23"/>
  </w:num>
  <w:num w:numId="15">
    <w:abstractNumId w:val="32"/>
  </w:num>
  <w:num w:numId="16">
    <w:abstractNumId w:val="27"/>
  </w:num>
  <w:num w:numId="17">
    <w:abstractNumId w:val="31"/>
  </w:num>
  <w:num w:numId="18">
    <w:abstractNumId w:val="1"/>
  </w:num>
  <w:num w:numId="19">
    <w:abstractNumId w:val="19"/>
  </w:num>
  <w:num w:numId="20">
    <w:abstractNumId w:val="11"/>
  </w:num>
  <w:num w:numId="21">
    <w:abstractNumId w:val="20"/>
  </w:num>
  <w:num w:numId="22">
    <w:abstractNumId w:val="35"/>
  </w:num>
  <w:num w:numId="23">
    <w:abstractNumId w:val="7"/>
  </w:num>
  <w:num w:numId="24">
    <w:abstractNumId w:val="37"/>
  </w:num>
  <w:num w:numId="25">
    <w:abstractNumId w:val="15"/>
  </w:num>
  <w:num w:numId="26">
    <w:abstractNumId w:val="5"/>
  </w:num>
  <w:num w:numId="27">
    <w:abstractNumId w:val="38"/>
  </w:num>
  <w:num w:numId="28">
    <w:abstractNumId w:val="0"/>
  </w:num>
  <w:num w:numId="29">
    <w:abstractNumId w:val="2"/>
  </w:num>
  <w:num w:numId="30">
    <w:abstractNumId w:val="10"/>
  </w:num>
  <w:num w:numId="31">
    <w:abstractNumId w:val="4"/>
  </w:num>
  <w:num w:numId="32">
    <w:abstractNumId w:val="17"/>
  </w:num>
  <w:num w:numId="33">
    <w:abstractNumId w:val="3"/>
  </w:num>
  <w:num w:numId="34">
    <w:abstractNumId w:val="26"/>
  </w:num>
  <w:num w:numId="35">
    <w:abstractNumId w:val="18"/>
  </w:num>
  <w:num w:numId="36">
    <w:abstractNumId w:val="33"/>
  </w:num>
  <w:num w:numId="37">
    <w:abstractNumId w:val="14"/>
  </w:num>
  <w:num w:numId="38">
    <w:abstractNumId w:val="29"/>
  </w:num>
  <w:num w:numId="39">
    <w:abstractNumId w:val="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1922" w:right="2321"/>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808023043130006042"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2024-03-05T05:19:32Z</dcterms:created>
  <dcterms:modified xsi:type="dcterms:W3CDTF">2024-03-05T05:19:32Z</dcterms:modified>
</cp:coreProperties>
</file>