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2018-2023年厦门软件职业技术学院高职单招（数学／语文／英语）历年常考试题库含答案解析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“人与马对话”的感人情节是契诃夫哪部小说中所描写的情节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A.《万卡》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B.《渴睡》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D.《醋栗》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在《李将军列传》中，司马迁用“中石没镞”来刻画李将军的独特个性，这种人物描写方法是（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B.细节描写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D.语言描写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《陌上桑》的主要内容是写（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A.刺史调戏罗敷并遭到拒绝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B.罗敷美貌并热爱劳动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C.陌上采桑的繁忙景象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D.采桑女罗敷夸夫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《谏逐客书》本文中，作者用“五帝三王之所以无敌”的做法来论证秦王的错误，这里采用的论证方法是（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C.停杯投箸不能食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下列句中，“所以”可译成“用来”的是（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A.以其所以至之鲜也。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B.此五帝三王之所以无敌也。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C.祸莫大于杀已降，此乃将军所以不得侯者也。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D.此非所以跨海内、制诸侯之术也。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先秦诸子中最善于采用“欲擒故纵、引君入彀”论辩手法的是（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马致远《天净沙·秋思》的“枯藤老树昏鸦，小桥流水人家，古道西风瘦马”的修辞手法是（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《无题》（相见时难别亦难）是一首（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下列词句中，运用了比拟手法的是（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A.遥岑远目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B.献愁供恨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C.玉簪螺髻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D.求田问舍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在《报刘一丈书》中，所揭示的权贵者的性格特征是（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https://d.book118.com/808033072132006040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08033072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