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2018-2023年山西华澳商贸职业学院高职单招（数学／语文／英语）历年常考试题库含答案解析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A.贾、史、王、薜四大家庭的衰亡过程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B.贾家由盛到衰的变化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C.宝玉和宝钗的爱情故事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D.宝玉和黛玉的爱情悲剧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下列句子中，运用侧面描写渲染演出效果的是（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A.引商刻羽，抗坠疾徐，并称善也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B.或大呼命酒，或移坐更进之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C.我闻今相国顾秉谦者，严相国俦也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D.以分宜教分宜，安得不工哉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下列诗作中，属于乐府旧题的是（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A.《关山月》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下列孟子《寡人之于国也》的文句中，最能体现其文主旨的是（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A.寡人之民不加多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B.五十步笑百步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C.申之以孝悌之义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D.王无罪岁，斯天下之民至焉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534376" cy="14098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4376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6.</w:t>
      </w:r>
      <w:r>
        <w:rPr>
          <w:rFonts w:ascii="黑体" w:eastAsia="黑体" w:hAnsi="黑体" w:cs="Times New Roman"/>
          <w:sz w:val="24"/>
          <w:lang w:val="en-US" w:eastAsia="ja-JP" w:bidi="ar-SA"/>
        </w:rPr>
        <w:t>《选择与安排》一文的作者朱光潜是我国著名的（　　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A.语言学家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B.文学家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C.美学家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D.表演艺术家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下列画横线的句子翻译错误的一项是（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286470" cy="2238610"/>
            <wp:effectExtent l="0" t="0" r="0" b="0"/>
            <wp:docPr id="13494319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43192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6470" cy="22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9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马致远的《天净沙·秋思》中紧接“枯藤老树昏鸦”的句子是（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B.古道西风瘦马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孔子认为他所生活的时代是（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A.大同时代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B.三代之英的时代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D.礼崩乐坏的时代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《张中丞传后叙》写张巡“就戮”时，“颜色不乱，阳阳如平常”，这种人物描写方法是（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A.肖像描写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B.行为描写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C.言语描写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D.心理描写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柳永《八声甘州（对潇潇暮雨洒江天）》中贯穿全词的句子是（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A.是处红衰翠减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B.惟有长江水，无语东流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C.不忍登高临远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D.叹年来踪迹，何事苦淹留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《报刘一丈书》中“权者”的形象特征是（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A.狐假虎威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B.贪婪虚伪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C.奴颜婢膝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https://d.book118.com/808035141132006040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8035141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