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header6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dy>
    <w:p w:rsidR="00C51E5C" w14:paraId="310FF6F3" w14:textId="77777777">
      <w:pPr>
        <w:widowControl/>
        <w:jc w:val="left"/>
        <w:rPr>
          <w:rFonts w:ascii="仿宋" w:eastAsia="仿宋" w:hAnsi="仿宋"/>
          <w:b/>
          <w:sz w:val="40"/>
        </w:rPr>
      </w:pPr>
    </w:p>
    <w:p w:rsidR="00C51E5C" w14:paraId="200D9A6C" w14:textId="77777777">
      <w:pPr>
        <w:widowControl/>
        <w:jc w:val="left"/>
        <w:rPr>
          <w:rFonts w:ascii="仿宋" w:eastAsia="仿宋" w:hAnsi="仿宋"/>
          <w:b/>
          <w:sz w:val="40"/>
        </w:rPr>
      </w:pPr>
    </w:p>
    <w:p w:rsidR="00C51E5C" w14:paraId="5DCAEB29" w14:textId="77777777">
      <w:pPr>
        <w:widowControl/>
        <w:jc w:val="left"/>
        <w:rPr>
          <w:rFonts w:ascii="仿宋" w:eastAsia="仿宋" w:hAnsi="仿宋"/>
          <w:b/>
          <w:sz w:val="40"/>
        </w:rPr>
      </w:pPr>
    </w:p>
    <w:p w:rsidR="00C51E5C" w:rsidRPr="00C51E5C" w14:paraId="5BCD4B37" w14:textId="35CC8407">
      <w:pPr>
        <w:widowControl/>
        <w:jc w:val="left"/>
        <w:rPr>
          <w:rFonts w:ascii="宋体" w:eastAsia="宋体" w:hAnsi="宋体"/>
          <w:b/>
          <w:sz w:val="60"/>
        </w:rPr>
        <w:sectPr>
          <w:headerReference w:type="even" r:id="rId4"/>
          <w:headerReference w:type="default" r:id="rId5"/>
          <w:footerReference w:type="even" r:id="rId6"/>
          <w:footerReference w:type="default" r:id="rId7"/>
          <w:headerReference w:type="first" r:id="rId8"/>
          <w:footerReference w:type="first" r:id="rId9"/>
          <w:pgSz w:w="11906" w:h="16838"/>
          <w:pgMar w:top="1440" w:right="1800" w:bottom="1440" w:left="1800" w:header="851" w:footer="992" w:gutter="0"/>
          <w:cols w:space="425"/>
          <w:docGrid w:type="lines" w:linePitch="312"/>
        </w:sectPr>
      </w:pPr>
      <w:r w:rsidRPr="00C51E5C">
        <w:rPr>
          <w:rFonts w:ascii="宋体" w:eastAsia="宋体" w:hAnsi="宋体" w:hint="eastAsia"/>
          <w:b/>
          <w:sz w:val="60"/>
        </w:rPr>
        <w:t>细微射频同轴电缆行业项目可行性分析报告</w:t>
      </w:r>
    </w:p>
    <w:p w:rsidR="00C51E5C" w:rsidP="00C51E5C" w14:paraId="3DD07205" w14:textId="675FA86D">
      <w:pPr>
        <w:widowControl/>
        <w:jc w:val="center"/>
        <w:rPr>
          <w:rFonts w:ascii="仿宋" w:eastAsia="仿宋" w:hAnsi="仿宋" w:hint="eastAsia"/>
          <w:b/>
          <w:sz w:val="40"/>
        </w:rPr>
      </w:pPr>
      <w:r w:rsidRPr="00C51E5C">
        <w:rPr>
          <w:rFonts w:ascii="仿宋" w:eastAsia="仿宋" w:hAnsi="仿宋" w:hint="eastAsia"/>
          <w:b/>
          <w:sz w:val="40"/>
        </w:rPr>
        <w:t>目录</w:t>
      </w:r>
    </w:p>
    <w:p w:rsidR="00C51E5C" w14:paraId="1160967C" w14:textId="4A41FAA7">
      <w:pPr>
        <w:pStyle w:val="TOC1"/>
        <w:tabs>
          <w:tab w:val="right" w:leader="dot" w:pos="8296"/>
        </w:tabs>
        <w:rPr>
          <w:noProof/>
        </w:rPr>
      </w:pPr>
      <w:r>
        <w:fldChar w:fldCharType="begin"/>
      </w:r>
      <w:r>
        <w:instrText xml:space="preserve"> TOC \o "1-9" </w:instrText>
      </w:r>
      <w:r>
        <w:fldChar w:fldCharType="separate"/>
      </w:r>
      <w:r>
        <w:rPr>
          <w:noProof/>
        </w:rPr>
        <w:t>概述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_Toc157373248 \h </w:instrText>
      </w:r>
      <w:r>
        <w:rPr>
          <w:noProof/>
        </w:rPr>
        <w:fldChar w:fldCharType="separate"/>
      </w:r>
      <w:r>
        <w:rPr>
          <w:noProof/>
        </w:rPr>
        <w:t>3</w:t>
      </w:r>
      <w:r>
        <w:rPr>
          <w:noProof/>
        </w:rPr>
        <w:fldChar w:fldCharType="end"/>
      </w:r>
      <w:r>
        <w:fldChar w:fldCharType="end"/>
      </w:r>
    </w:p>
    <w:p w:rsidR="00C51E5C" w14:paraId="4179D43C" w14:textId="36EFB01E">
      <w:pPr>
        <w:pStyle w:val="TOC1"/>
        <w:tabs>
          <w:tab w:val="right" w:leader="dot" w:pos="8296"/>
        </w:tabs>
        <w:rPr>
          <w:noProof/>
        </w:rPr>
      </w:pPr>
      <w:r>
        <w:rPr>
          <w:noProof/>
        </w:rPr>
        <w:t>一、市场营销和客户体验管理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_Toc157373249 \h </w:instrText>
      </w:r>
      <w:r>
        <w:rPr>
          <w:noProof/>
        </w:rPr>
        <w:fldChar w:fldCharType="separate"/>
      </w:r>
      <w:r>
        <w:rPr>
          <w:noProof/>
        </w:rPr>
        <w:t>3</w:t>
      </w:r>
      <w:r>
        <w:rPr>
          <w:noProof/>
        </w:rPr>
        <w:fldChar w:fldCharType="end"/>
      </w:r>
    </w:p>
    <w:p w:rsidR="00C51E5C" w14:paraId="79CFDCAF" w14:textId="74A41B11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(一)、细微射频同轴电缆项目产品的市场定位和目标客户分析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_Toc157373250 \h </w:instrText>
      </w:r>
      <w:r>
        <w:rPr>
          <w:noProof/>
        </w:rPr>
        <w:fldChar w:fldCharType="separate"/>
      </w:r>
      <w:r>
        <w:rPr>
          <w:noProof/>
        </w:rPr>
        <w:t>3</w:t>
      </w:r>
      <w:r>
        <w:rPr>
          <w:noProof/>
        </w:rPr>
        <w:fldChar w:fldCharType="end"/>
      </w:r>
    </w:p>
    <w:p w:rsidR="00C51E5C" w14:paraId="36520C14" w14:textId="2B9DB00C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(二)、市场营销策略和推广渠道选择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_Toc157373251 \h </w:instrText>
      </w:r>
      <w:r>
        <w:rPr>
          <w:noProof/>
        </w:rPr>
        <w:fldChar w:fldCharType="separate"/>
      </w:r>
      <w:r>
        <w:rPr>
          <w:noProof/>
        </w:rPr>
        <w:t>4</w:t>
      </w:r>
      <w:r>
        <w:rPr>
          <w:noProof/>
        </w:rPr>
        <w:fldChar w:fldCharType="end"/>
      </w:r>
    </w:p>
    <w:p w:rsidR="00C51E5C" w14:paraId="04A62154" w14:textId="7A33AFF0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(三)、客户体验管理和反馈机制建设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_Toc157373252 \h </w:instrText>
      </w:r>
      <w:r>
        <w:rPr>
          <w:noProof/>
        </w:rPr>
        <w:fldChar w:fldCharType="separate"/>
      </w:r>
      <w:r>
        <w:rPr>
          <w:noProof/>
        </w:rPr>
        <w:t>5</w:t>
      </w:r>
      <w:r>
        <w:rPr>
          <w:noProof/>
        </w:rPr>
        <w:fldChar w:fldCharType="end"/>
      </w:r>
    </w:p>
    <w:p w:rsidR="00C51E5C" w14:paraId="7459409F" w14:textId="17FD023B">
      <w:pPr>
        <w:pStyle w:val="TOC1"/>
        <w:tabs>
          <w:tab w:val="right" w:leader="dot" w:pos="8296"/>
        </w:tabs>
        <w:rPr>
          <w:noProof/>
        </w:rPr>
      </w:pPr>
      <w:r>
        <w:rPr>
          <w:noProof/>
        </w:rPr>
        <w:t>二、细微射频同轴电缆行业项目技术方案与设备的选择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_Toc157373253 \h </w:instrText>
      </w:r>
      <w:r>
        <w:rPr>
          <w:noProof/>
        </w:rPr>
        <w:fldChar w:fldCharType="separate"/>
      </w:r>
      <w:r>
        <w:rPr>
          <w:noProof/>
        </w:rPr>
        <w:t>6</w:t>
      </w:r>
      <w:r>
        <w:rPr>
          <w:noProof/>
        </w:rPr>
        <w:fldChar w:fldCharType="end"/>
      </w:r>
    </w:p>
    <w:p w:rsidR="00C51E5C" w14:paraId="1F10FAF1" w14:textId="269A4D5B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(一)、生产技术方案的选用原则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_Toc157373254 \h </w:instrText>
      </w:r>
      <w:r>
        <w:rPr>
          <w:noProof/>
        </w:rPr>
        <w:fldChar w:fldCharType="separate"/>
      </w:r>
      <w:r>
        <w:rPr>
          <w:noProof/>
        </w:rPr>
        <w:t>6</w:t>
      </w:r>
      <w:r>
        <w:rPr>
          <w:noProof/>
        </w:rPr>
        <w:fldChar w:fldCharType="end"/>
      </w:r>
    </w:p>
    <w:p w:rsidR="00C51E5C" w14:paraId="6977A7AB" w14:textId="201E620F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(二)、设备的选择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_Toc157373255 \h </w:instrText>
      </w:r>
      <w:r>
        <w:rPr>
          <w:noProof/>
        </w:rPr>
        <w:fldChar w:fldCharType="separate"/>
      </w:r>
      <w:r>
        <w:rPr>
          <w:noProof/>
        </w:rPr>
        <w:t>7</w:t>
      </w:r>
      <w:r>
        <w:rPr>
          <w:noProof/>
        </w:rPr>
        <w:fldChar w:fldCharType="end"/>
      </w:r>
    </w:p>
    <w:p w:rsidR="00C51E5C" w14:paraId="2E684D33" w14:textId="1C1E7AFA">
      <w:pPr>
        <w:pStyle w:val="TOC1"/>
        <w:tabs>
          <w:tab w:val="right" w:leader="dot" w:pos="8296"/>
        </w:tabs>
        <w:rPr>
          <w:noProof/>
        </w:rPr>
      </w:pPr>
      <w:r>
        <w:rPr>
          <w:noProof/>
        </w:rPr>
        <w:t>三、创新研发和知识产权保护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_Toc157373256 \h </w:instrText>
      </w:r>
      <w:r>
        <w:rPr>
          <w:noProof/>
        </w:rPr>
        <w:fldChar w:fldCharType="separate"/>
      </w:r>
      <w:r>
        <w:rPr>
          <w:noProof/>
        </w:rPr>
        <w:t>8</w:t>
      </w:r>
      <w:r>
        <w:rPr>
          <w:noProof/>
        </w:rPr>
        <w:fldChar w:fldCharType="end"/>
      </w:r>
    </w:p>
    <w:p w:rsidR="00C51E5C" w14:paraId="72665D97" w14:textId="0C81F865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(一)、创新研发的思路和方法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_Toc157373257 \h </w:instrText>
      </w:r>
      <w:r>
        <w:rPr>
          <w:noProof/>
        </w:rPr>
        <w:fldChar w:fldCharType="separate"/>
      </w:r>
      <w:r>
        <w:rPr>
          <w:noProof/>
        </w:rPr>
        <w:t>8</w:t>
      </w:r>
      <w:r>
        <w:rPr>
          <w:noProof/>
        </w:rPr>
        <w:fldChar w:fldCharType="end"/>
      </w:r>
    </w:p>
    <w:p w:rsidR="00C51E5C" w14:paraId="5C214F4F" w14:textId="10CCC5E3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(二)、知识产权保护的策略和措施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_Toc157373258 \h </w:instrText>
      </w:r>
      <w:r>
        <w:rPr>
          <w:noProof/>
        </w:rPr>
        <w:fldChar w:fldCharType="separate"/>
      </w:r>
      <w:r>
        <w:rPr>
          <w:noProof/>
        </w:rPr>
        <w:t>9</w:t>
      </w:r>
      <w:r>
        <w:rPr>
          <w:noProof/>
        </w:rPr>
        <w:fldChar w:fldCharType="end"/>
      </w:r>
    </w:p>
    <w:p w:rsidR="00C51E5C" w14:paraId="04EC6172" w14:textId="771B7CBD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(三)、技术转让和专利许可的协议管理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_Toc157373259 \h </w:instrText>
      </w:r>
      <w:r>
        <w:rPr>
          <w:noProof/>
        </w:rPr>
        <w:fldChar w:fldCharType="separate"/>
      </w:r>
      <w:r>
        <w:rPr>
          <w:noProof/>
        </w:rPr>
        <w:t>10</w:t>
      </w:r>
      <w:r>
        <w:rPr>
          <w:noProof/>
        </w:rPr>
        <w:fldChar w:fldCharType="end"/>
      </w:r>
    </w:p>
    <w:p w:rsidR="00C51E5C" w14:paraId="7B62FA6C" w14:textId="5FB4E07D">
      <w:pPr>
        <w:pStyle w:val="TOC1"/>
        <w:tabs>
          <w:tab w:val="right" w:leader="dot" w:pos="8296"/>
        </w:tabs>
        <w:rPr>
          <w:noProof/>
        </w:rPr>
      </w:pPr>
      <w:r>
        <w:rPr>
          <w:noProof/>
        </w:rPr>
        <w:t>四、市场营销和推广策略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_Toc157373260 \h </w:instrText>
      </w:r>
      <w:r>
        <w:rPr>
          <w:noProof/>
        </w:rPr>
        <w:fldChar w:fldCharType="separate"/>
      </w:r>
      <w:r>
        <w:rPr>
          <w:noProof/>
        </w:rPr>
        <w:t>12</w:t>
      </w:r>
      <w:r>
        <w:rPr>
          <w:noProof/>
        </w:rPr>
        <w:fldChar w:fldCharType="end"/>
      </w:r>
    </w:p>
    <w:p w:rsidR="00C51E5C" w14:paraId="1F2E014A" w14:textId="4C91FC9B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(一)、细微射频同轴电缆项目产品的市场定位和目标客户分析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_Toc157373261 \h </w:instrText>
      </w:r>
      <w:r>
        <w:rPr>
          <w:noProof/>
        </w:rPr>
        <w:fldChar w:fldCharType="separate"/>
      </w:r>
      <w:r>
        <w:rPr>
          <w:noProof/>
        </w:rPr>
        <w:t>12</w:t>
      </w:r>
      <w:r>
        <w:rPr>
          <w:noProof/>
        </w:rPr>
        <w:fldChar w:fldCharType="end"/>
      </w:r>
    </w:p>
    <w:p w:rsidR="00C51E5C" w14:paraId="42F437B1" w14:textId="08A06FEA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(二)、市场营销策略和推广渠道选择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_Toc157373262 \h </w:instrText>
      </w:r>
      <w:r>
        <w:rPr>
          <w:noProof/>
        </w:rPr>
        <w:fldChar w:fldCharType="separate"/>
      </w:r>
      <w:r>
        <w:rPr>
          <w:noProof/>
        </w:rPr>
        <w:t>13</w:t>
      </w:r>
      <w:r>
        <w:rPr>
          <w:noProof/>
        </w:rPr>
        <w:fldChar w:fldCharType="end"/>
      </w:r>
    </w:p>
    <w:p w:rsidR="00C51E5C" w14:paraId="2E0969E7" w14:textId="2F3A881E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(三)、市场调研和竞争对手分析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_Toc157373263 \h </w:instrText>
      </w:r>
      <w:r>
        <w:rPr>
          <w:noProof/>
        </w:rPr>
        <w:fldChar w:fldCharType="separate"/>
      </w:r>
      <w:r>
        <w:rPr>
          <w:noProof/>
        </w:rPr>
        <w:t>14</w:t>
      </w:r>
      <w:r>
        <w:rPr>
          <w:noProof/>
        </w:rPr>
        <w:fldChar w:fldCharType="end"/>
      </w:r>
    </w:p>
    <w:p w:rsidR="00C51E5C" w14:paraId="3A308C46" w14:textId="7DB6D7AB">
      <w:pPr>
        <w:pStyle w:val="TOC1"/>
        <w:tabs>
          <w:tab w:val="right" w:leader="dot" w:pos="8296"/>
        </w:tabs>
        <w:rPr>
          <w:noProof/>
        </w:rPr>
      </w:pPr>
      <w:r>
        <w:rPr>
          <w:noProof/>
        </w:rPr>
        <w:t>五、融资方案和资金使用计划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_Toc157373264 \h </w:instrText>
      </w:r>
      <w:r>
        <w:rPr>
          <w:noProof/>
        </w:rPr>
        <w:fldChar w:fldCharType="separate"/>
      </w:r>
      <w:r>
        <w:rPr>
          <w:noProof/>
        </w:rPr>
        <w:t>15</w:t>
      </w:r>
      <w:r>
        <w:rPr>
          <w:noProof/>
        </w:rPr>
        <w:fldChar w:fldCharType="end"/>
      </w:r>
    </w:p>
    <w:p w:rsidR="00C51E5C" w14:paraId="73822C99" w14:textId="77EE75C3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(一)、细微射频同轴电缆项目融资方式和资金来源选择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_Toc157373265 \h </w:instrText>
      </w:r>
      <w:r>
        <w:rPr>
          <w:noProof/>
        </w:rPr>
        <w:fldChar w:fldCharType="separate"/>
      </w:r>
      <w:r>
        <w:rPr>
          <w:noProof/>
        </w:rPr>
        <w:t>15</w:t>
      </w:r>
      <w:r>
        <w:rPr>
          <w:noProof/>
        </w:rPr>
        <w:fldChar w:fldCharType="end"/>
      </w:r>
    </w:p>
    <w:p w:rsidR="00C51E5C" w14:paraId="63F5DB3F" w14:textId="59EBCF48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(二)、资金使用计划和管理措施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_Toc157373266 \h </w:instrText>
      </w:r>
      <w:r>
        <w:rPr>
          <w:noProof/>
        </w:rPr>
        <w:fldChar w:fldCharType="separate"/>
      </w:r>
      <w:r>
        <w:rPr>
          <w:noProof/>
        </w:rPr>
        <w:t>17</w:t>
      </w:r>
      <w:r>
        <w:rPr>
          <w:noProof/>
        </w:rPr>
        <w:fldChar w:fldCharType="end"/>
      </w:r>
    </w:p>
    <w:p w:rsidR="00C51E5C" w14:paraId="69E8EEDA" w14:textId="7BA84598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(三)、财务风险预警和应对方案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_Toc157373267 \h </w:instrText>
      </w:r>
      <w:r>
        <w:rPr>
          <w:noProof/>
        </w:rPr>
        <w:fldChar w:fldCharType="separate"/>
      </w:r>
      <w:r>
        <w:rPr>
          <w:noProof/>
        </w:rPr>
        <w:t>18</w:t>
      </w:r>
      <w:r>
        <w:rPr>
          <w:noProof/>
        </w:rPr>
        <w:fldChar w:fldCharType="end"/>
      </w:r>
    </w:p>
    <w:p w:rsidR="00C51E5C" w14:paraId="282021C6" w14:textId="49B1CE1F">
      <w:pPr>
        <w:pStyle w:val="TOC1"/>
        <w:tabs>
          <w:tab w:val="right" w:leader="dot" w:pos="8296"/>
        </w:tabs>
        <w:rPr>
          <w:noProof/>
        </w:rPr>
      </w:pPr>
      <w:r>
        <w:rPr>
          <w:noProof/>
        </w:rPr>
        <w:t>六、社会投资和慈善计划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_Toc157373268 \h </w:instrText>
      </w:r>
      <w:r>
        <w:rPr>
          <w:noProof/>
        </w:rPr>
        <w:fldChar w:fldCharType="separate"/>
      </w:r>
      <w:r>
        <w:rPr>
          <w:noProof/>
        </w:rPr>
        <w:t>18</w:t>
      </w:r>
      <w:r>
        <w:rPr>
          <w:noProof/>
        </w:rPr>
        <w:fldChar w:fldCharType="end"/>
      </w:r>
      <w:r>
        <w:rPr>
          <w:noProof/>
        </w:rPr>
        <w:br/>
      </w:r>
      <w:r>
        <w:rPr>
          <w:noProof/>
        </w:rPr>
        <w:br/>
      </w:r>
    </w:p>
    <w:p>
      <w:pPr>
        <w:widowControl/>
        <w:jc w:val="left"/>
        <w:rPr>
          <w:rFonts w:ascii="SimSun" w:eastAsia="SimSun" w:hAnsi="SimSun" w:cs="SimSun"/>
          <w:b/>
          <w:bCs/>
          <w:color w:val="000000"/>
          <w:kern w:val="0"/>
          <w:sz w:val="30"/>
          <w:szCs w:val="30"/>
          <w14:ligatures w14:val="none"/>
        </w:rPr>
      </w:pPr>
      <w:r>
        <w:rPr>
          <w:rFonts w:ascii="SimSun" w:eastAsia="SimSun" w:hAnsi="SimSun" w:cs="SimSun"/>
          <w:b/>
          <w:bCs/>
          <w:color w:val="000000"/>
          <w:kern w:val="0"/>
          <w:sz w:val="30"/>
          <w:szCs w:val="30"/>
          <w14:ligatures w14:val="none"/>
        </w:rPr>
        <w:t>以上内容仅为本文档的试下载部分，为可阅读页数的一半内容。如要下载或阅读全文，请访问：</w:t>
      </w:r>
      <w:hyperlink r:id="rId10" w:history="1">
        <w:r>
          <w:rPr>
            <w:rFonts w:ascii="SimSun" w:eastAsia="SimSun" w:hAnsi="SimSun" w:cs="SimSun"/>
            <w:b/>
            <w:bCs/>
            <w:color w:val="0000EE"/>
            <w:kern w:val="0"/>
            <w:sz w:val="30"/>
            <w:szCs w:val="30"/>
            <w:u w:val="single" w:color="0000EE"/>
            <w14:ligatures w14:val="none"/>
          </w:rPr>
          <w:t>https://d.book118.com/808057032104006032</w:t>
        </w:r>
      </w:hyperlink>
    </w:p>
    <w:p w:rsidR="00C51E5C">
      <w:pPr>
        <w:pStyle w:val="TOC1"/>
        <w:tabs>
          <w:tab w:val="right" w:leader="dot" w:pos="8296"/>
        </w:tabs>
        <w:rPr>
          <w:noProof/>
        </w:rPr>
      </w:pPr>
    </w:p>
    <w:sectPr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type w:val="nextPage"/>
      <w:pgSz w:w="11906" w:h="16838"/>
      <w:pgMar w:top="1440" w:right="1800" w:bottom="1440" w:left="1800" w:header="851" w:footer="992" w:gutter="0"/>
      <w:pgNumType w:start="2"/>
      <w:cols w:space="425"/>
      <w:titlePg w:val="0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C51E5C" w:rsidP="00D17314" w14:paraId="45167D70" w14:textId="77777777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fldChar w:fldCharType="end"/>
    </w:r>
  </w:p>
  <w:p w:rsidR="00C51E5C" w14:paraId="22DA83DA" w14:textId="7777777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C51E5C" w:rsidP="00D17314" w14:paraId="0AD7010A" w14:textId="0A665C2E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1</w:t>
    </w:r>
    <w:r>
      <w:rPr>
        <w:rStyle w:val="PageNumber"/>
      </w:rPr>
      <w:fldChar w:fldCharType="end"/>
    </w:r>
  </w:p>
  <w:p w:rsidR="00C51E5C" w14:paraId="244522E4" w14:textId="77777777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C51E5C" w14:paraId="0494A4B9" w14:textId="77777777">
    <w:pPr>
      <w:pStyle w:val="Footer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C51E5C" w:rsidP="00D17314" w14:textId="77777777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fldChar w:fldCharType="end"/>
    </w:r>
  </w:p>
  <w:p w:rsidR="00C51E5C" w14:textId="77777777">
    <w:pPr>
      <w:pStyle w:val="Footer"/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C51E5C" w:rsidP="00D17314" w14:textId="0A665C2E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2</w:t>
    </w:r>
    <w:r>
      <w:rPr>
        <w:rStyle w:val="PageNumber"/>
      </w:rPr>
      <w:fldChar w:fldCharType="end"/>
    </w:r>
  </w:p>
  <w:p w:rsidR="00C51E5C" w14:textId="77777777">
    <w:pPr>
      <w:pStyle w:val="Footer"/>
    </w:pPr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C51E5C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C51E5C" w14:paraId="62E320D1" w14:textId="77777777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C51E5C" w:rsidRPr="00C51E5C" w:rsidP="00C51E5C" w14:paraId="3E0FD2E8" w14:textId="2998D768">
    <w:pPr>
      <w:pStyle w:val="Header"/>
      <w:rPr>
        <w:rFonts w:ascii="仿宋" w:eastAsia="仿宋" w:hAnsi="仿宋"/>
      </w:rPr>
    </w:pPr>
    <w:r w:rsidRPr="00C51E5C">
      <w:rPr>
        <w:rFonts w:ascii="仿宋" w:eastAsia="仿宋" w:hAnsi="仿宋" w:hint="eastAsia"/>
      </w:rPr>
      <w:t>细微射频同轴电缆可行性报告</w:t>
    </w:r>
    <w:r w:rsidRPr="00C51E5C">
      <w:rPr>
        <w:rFonts w:ascii="仿宋" w:eastAsia="仿宋" w:hAnsi="仿宋"/>
      </w:rPr>
      <w:t>/专业报告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C51E5C" w14:paraId="526F1A44" w14:textId="77777777">
    <w:pPr>
      <w:pStyle w:val="Header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C51E5C" w14:textId="77777777">
    <w:pPr>
      <w:pStyle w:val="Header"/>
    </w:pP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C51E5C" w:rsidRPr="00C51E5C" w:rsidP="00C51E5C" w14:textId="2998D768">
    <w:pPr>
      <w:pStyle w:val="Header"/>
      <w:rPr>
        <w:rFonts w:ascii="仿宋" w:eastAsia="仿宋" w:hAnsi="仿宋"/>
      </w:rPr>
    </w:pPr>
    <w:r w:rsidRPr="00C51E5C">
      <w:rPr>
        <w:rFonts w:ascii="仿宋" w:eastAsia="仿宋" w:hAnsi="仿宋" w:hint="eastAsia"/>
      </w:rPr>
      <w:t>细微射频同轴电缆可行性报告</w:t>
    </w:r>
    <w:r w:rsidRPr="00C51E5C">
      <w:rPr>
        <w:rFonts w:ascii="仿宋" w:eastAsia="仿宋" w:hAnsi="仿宋"/>
      </w:rPr>
      <w:t>/专业报告</w:t>
    </w:r>
  </w:p>
</w:hdr>
</file>

<file path=word/header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C51E5C" w14:textId="77777777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51E5C"/>
    <w:rsid w:val="00C51E5C"/>
    <w:rsid w:val="00D17314"/>
  </w:rsids>
  <m:mathPr>
    <m:mathFont m:val="Cambria Math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165DB527"/>
  <w15:chartTrackingRefBased/>
  <w15:docId w15:val="{D473B911-4A50-4BCF-A73B-3F17712EAC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pPr>
      <w:widowControl w:val="0"/>
      <w:jc w:val="both"/>
    </w:pPr>
  </w:style>
  <w:style w:type="paragraph" w:styleId="Heading1">
    <w:name w:val="heading 1"/>
    <w:basedOn w:val="Normal"/>
    <w:next w:val="Normal"/>
    <w:link w:val="1"/>
    <w:uiPriority w:val="9"/>
    <w:qFormat/>
    <w:rsid w:val="00C51E5C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paragraph" w:styleId="Heading2">
    <w:name w:val="heading 2"/>
    <w:basedOn w:val="Normal"/>
    <w:next w:val="Normal"/>
    <w:link w:val="2"/>
    <w:uiPriority w:val="9"/>
    <w:unhideWhenUsed/>
    <w:qFormat/>
    <w:rsid w:val="00C51E5C"/>
    <w:pPr>
      <w:keepNext/>
      <w:keepLines/>
      <w:spacing w:before="260" w:after="260" w:line="416" w:lineRule="auto"/>
      <w:outlineLvl w:val="1"/>
    </w:pPr>
    <w:rPr>
      <w:rFonts w:asciiTheme="majorHAnsi" w:eastAsiaTheme="majorEastAsia" w:hAnsiTheme="majorHAnsi" w:cstheme="majorBidi"/>
      <w:b/>
      <w:bCs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1">
    <w:name w:val="标题 1 字符"/>
    <w:basedOn w:val="DefaultParagraphFont"/>
    <w:link w:val="Heading1"/>
    <w:uiPriority w:val="9"/>
    <w:rsid w:val="00C51E5C"/>
    <w:rPr>
      <w:b/>
      <w:bCs/>
      <w:kern w:val="44"/>
      <w:sz w:val="44"/>
      <w:szCs w:val="44"/>
    </w:rPr>
  </w:style>
  <w:style w:type="character" w:customStyle="1" w:styleId="2">
    <w:name w:val="标题 2 字符"/>
    <w:basedOn w:val="DefaultParagraphFont"/>
    <w:link w:val="Heading2"/>
    <w:uiPriority w:val="9"/>
    <w:rsid w:val="00C51E5C"/>
    <w:rPr>
      <w:rFonts w:asciiTheme="majorHAnsi" w:eastAsiaTheme="majorEastAsia" w:hAnsiTheme="majorHAnsi" w:cstheme="majorBidi"/>
      <w:b/>
      <w:bCs/>
      <w:sz w:val="32"/>
      <w:szCs w:val="32"/>
    </w:rPr>
  </w:style>
  <w:style w:type="paragraph" w:styleId="Header">
    <w:name w:val="header"/>
    <w:basedOn w:val="Normal"/>
    <w:link w:val="a"/>
    <w:uiPriority w:val="99"/>
    <w:unhideWhenUsed/>
    <w:rsid w:val="00C51E5C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">
    <w:name w:val="页眉 字符"/>
    <w:basedOn w:val="DefaultParagraphFont"/>
    <w:link w:val="Header"/>
    <w:uiPriority w:val="99"/>
    <w:rsid w:val="00C51E5C"/>
    <w:rPr>
      <w:sz w:val="18"/>
      <w:szCs w:val="18"/>
    </w:rPr>
  </w:style>
  <w:style w:type="paragraph" w:styleId="Footer">
    <w:name w:val="footer"/>
    <w:basedOn w:val="Normal"/>
    <w:link w:val="a0"/>
    <w:uiPriority w:val="99"/>
    <w:unhideWhenUsed/>
    <w:rsid w:val="00C51E5C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0">
    <w:name w:val="页脚 字符"/>
    <w:basedOn w:val="DefaultParagraphFont"/>
    <w:link w:val="Footer"/>
    <w:uiPriority w:val="99"/>
    <w:rsid w:val="00C51E5C"/>
    <w:rPr>
      <w:sz w:val="18"/>
      <w:szCs w:val="18"/>
    </w:rPr>
  </w:style>
  <w:style w:type="character" w:styleId="PageNumber">
    <w:name w:val="page number"/>
    <w:basedOn w:val="DefaultParagraphFont"/>
    <w:uiPriority w:val="99"/>
    <w:semiHidden/>
    <w:unhideWhenUsed/>
    <w:rsid w:val="00C51E5C"/>
  </w:style>
  <w:style w:type="paragraph" w:styleId="TOC1">
    <w:name w:val="toc 1"/>
    <w:basedOn w:val="Normal"/>
    <w:next w:val="Normal"/>
    <w:autoRedefine/>
    <w:uiPriority w:val="39"/>
    <w:unhideWhenUsed/>
    <w:rsid w:val="00C51E5C"/>
  </w:style>
  <w:style w:type="paragraph" w:styleId="TOC2">
    <w:name w:val="toc 2"/>
    <w:basedOn w:val="Normal"/>
    <w:next w:val="Normal"/>
    <w:autoRedefine/>
    <w:uiPriority w:val="39"/>
    <w:unhideWhenUsed/>
    <w:rsid w:val="00C51E5C"/>
    <w:pPr>
      <w:ind w:left="420" w:leftChars="20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yperlink" Target="https://d.book118.com/808057032104006032" TargetMode="External" /><Relationship Id="rId11" Type="http://schemas.openxmlformats.org/officeDocument/2006/relationships/header" Target="header4.xml" /><Relationship Id="rId12" Type="http://schemas.openxmlformats.org/officeDocument/2006/relationships/header" Target="header5.xml" /><Relationship Id="rId13" Type="http://schemas.openxmlformats.org/officeDocument/2006/relationships/footer" Target="footer4.xml" /><Relationship Id="rId14" Type="http://schemas.openxmlformats.org/officeDocument/2006/relationships/footer" Target="footer5.xml" /><Relationship Id="rId15" Type="http://schemas.openxmlformats.org/officeDocument/2006/relationships/header" Target="header6.xml" /><Relationship Id="rId16" Type="http://schemas.openxmlformats.org/officeDocument/2006/relationships/footer" Target="footer6.xml" /><Relationship Id="rId17" Type="http://schemas.openxmlformats.org/officeDocument/2006/relationships/theme" Target="theme/theme1.xml" /><Relationship Id="rId18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header" Target="header2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header" Target="header3.xml" /><Relationship Id="rId9" Type="http://schemas.openxmlformats.org/officeDocument/2006/relationships/footer" Target="footer3.xml" 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4520</Words>
  <Characters>25770</Characters>
  <Application>Microsoft Office Word</Application>
  <DocSecurity>0</DocSecurity>
  <Lines>214</Lines>
  <Paragraphs>60</Paragraphs>
  <ScaleCrop>false</ScaleCrop>
  <Company/>
  <LinksUpToDate>false</LinksUpToDate>
  <CharactersWithSpaces>30230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</dc:creator>
  <cp:lastModifiedBy>W</cp:lastModifiedBy>
  <cp:revision>1</cp:revision>
  <dcterms:created xsi:type="dcterms:W3CDTF">2024-01-28T14:26:00Z</dcterms:created>
  <dcterms:modified xsi:type="dcterms:W3CDTF">2024-01-28T14:27:00Z</dcterms:modified>
</cp:coreProperties>
</file>