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航天器总体电路项目规划设计纲要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39" w:history="1">
        <w:r>
          <w:rPr>
            <w:rFonts w:ascii="仿宋" w:eastAsia="仿宋" w:hAnsi="仿宋" w:cs="仿宋" w:hint="eastAsia"/>
            <w:lang w:eastAsia="zh-CN"/>
          </w:rPr>
          <w:t>前言</w:t>
        </w:r>
        <w:r>
          <w:tab/>
        </w:r>
        <w:r>
          <w:fldChar w:fldCharType="begin"/>
        </w:r>
        <w:r>
          <w:instrText xml:space="preserve"> PAGEREF _Toc5939 \h </w:instrText>
        </w:r>
        <w:r>
          <w:fldChar w:fldCharType="separate"/>
        </w:r>
        <w:r>
          <w:t>3</w:t>
        </w:r>
        <w:r>
          <w:fldChar w:fldCharType="end"/>
        </w:r>
      </w:hyperlink>
    </w:p>
    <w:p>
      <w:pPr>
        <w:pStyle w:val="TOC1"/>
        <w:tabs>
          <w:tab w:val="right" w:leader="dot" w:pos="8306"/>
        </w:tabs>
      </w:pPr>
      <w:hyperlink w:anchor="_Toc28694" w:history="1">
        <w:r>
          <w:rPr>
            <w:rFonts w:ascii="仿宋" w:eastAsia="仿宋" w:hAnsi="仿宋" w:cs="仿宋" w:hint="eastAsia"/>
            <w:lang w:eastAsia="zh-CN"/>
          </w:rPr>
          <w:t>一、航天器总体电路项目建设单位说明</w:t>
        </w:r>
        <w:r>
          <w:tab/>
        </w:r>
        <w:r>
          <w:fldChar w:fldCharType="begin"/>
        </w:r>
        <w:r>
          <w:instrText xml:space="preserve"> PAGEREF _Toc28694 \h </w:instrText>
        </w:r>
        <w:r>
          <w:fldChar w:fldCharType="separate"/>
        </w:r>
        <w:r>
          <w:t>3</w:t>
        </w:r>
        <w:r>
          <w:fldChar w:fldCharType="end"/>
        </w:r>
      </w:hyperlink>
    </w:p>
    <w:p>
      <w:pPr>
        <w:pStyle w:val="TOC2"/>
        <w:tabs>
          <w:tab w:val="right" w:leader="dot" w:pos="8306"/>
        </w:tabs>
      </w:pPr>
      <w:hyperlink w:anchor="_Toc18603" w:history="1">
        <w:r>
          <w:rPr>
            <w:rFonts w:ascii="仿宋" w:eastAsia="仿宋" w:hAnsi="仿宋" w:cs="仿宋" w:hint="eastAsia"/>
            <w:lang w:eastAsia="zh-CN"/>
          </w:rPr>
          <w:t>(一)、航天器总体电路项目承办单位基本情况</w:t>
        </w:r>
        <w:r>
          <w:tab/>
        </w:r>
        <w:r>
          <w:fldChar w:fldCharType="begin"/>
        </w:r>
        <w:r>
          <w:instrText xml:space="preserve"> PAGEREF _Toc18603 \h </w:instrText>
        </w:r>
        <w:r>
          <w:fldChar w:fldCharType="separate"/>
        </w:r>
        <w:r>
          <w:t>3</w:t>
        </w:r>
        <w:r>
          <w:fldChar w:fldCharType="end"/>
        </w:r>
      </w:hyperlink>
    </w:p>
    <w:p>
      <w:pPr>
        <w:pStyle w:val="TOC2"/>
        <w:tabs>
          <w:tab w:val="right" w:leader="dot" w:pos="8306"/>
        </w:tabs>
      </w:pPr>
      <w:hyperlink w:anchor="_Toc21413" w:history="1">
        <w:r>
          <w:rPr>
            <w:rFonts w:ascii="仿宋" w:eastAsia="仿宋" w:hAnsi="仿宋" w:cs="仿宋" w:hint="eastAsia"/>
            <w:lang w:eastAsia="zh-CN"/>
          </w:rPr>
          <w:t>(二)、公司经济效益分析</w:t>
        </w:r>
        <w:r>
          <w:tab/>
        </w:r>
        <w:r>
          <w:fldChar w:fldCharType="begin"/>
        </w:r>
        <w:r>
          <w:instrText xml:space="preserve"> PAGEREF _Toc21413 \h </w:instrText>
        </w:r>
        <w:r>
          <w:fldChar w:fldCharType="separate"/>
        </w:r>
        <w:r>
          <w:t>4</w:t>
        </w:r>
        <w:r>
          <w:fldChar w:fldCharType="end"/>
        </w:r>
      </w:hyperlink>
    </w:p>
    <w:p>
      <w:pPr>
        <w:pStyle w:val="TOC1"/>
        <w:tabs>
          <w:tab w:val="right" w:leader="dot" w:pos="8306"/>
        </w:tabs>
      </w:pPr>
      <w:hyperlink w:anchor="_Toc31035" w:history="1">
        <w:r>
          <w:rPr>
            <w:rFonts w:ascii="仿宋" w:eastAsia="仿宋" w:hAnsi="仿宋" w:cs="仿宋" w:hint="eastAsia"/>
            <w:lang w:eastAsia="zh-CN"/>
          </w:rPr>
          <w:t>二、产品规划分析</w:t>
        </w:r>
        <w:r>
          <w:tab/>
        </w:r>
        <w:r>
          <w:fldChar w:fldCharType="begin"/>
        </w:r>
        <w:r>
          <w:instrText xml:space="preserve"> PAGEREF _Toc31035 \h </w:instrText>
        </w:r>
        <w:r>
          <w:fldChar w:fldCharType="separate"/>
        </w:r>
        <w:r>
          <w:t>5</w:t>
        </w:r>
        <w:r>
          <w:fldChar w:fldCharType="end"/>
        </w:r>
      </w:hyperlink>
    </w:p>
    <w:p>
      <w:pPr>
        <w:pStyle w:val="TOC2"/>
        <w:tabs>
          <w:tab w:val="right" w:leader="dot" w:pos="8306"/>
        </w:tabs>
      </w:pPr>
      <w:hyperlink w:anchor="_Toc26334" w:history="1">
        <w:r>
          <w:rPr>
            <w:rFonts w:ascii="仿宋" w:eastAsia="仿宋" w:hAnsi="仿宋" w:cs="仿宋" w:hint="eastAsia"/>
            <w:lang w:eastAsia="zh-CN"/>
          </w:rPr>
          <w:t>(一)、产品规划</w:t>
        </w:r>
        <w:r>
          <w:tab/>
        </w:r>
        <w:r>
          <w:fldChar w:fldCharType="begin"/>
        </w:r>
        <w:r>
          <w:instrText xml:space="preserve"> PAGEREF _Toc26334 \h </w:instrText>
        </w:r>
        <w:r>
          <w:fldChar w:fldCharType="separate"/>
        </w:r>
        <w:r>
          <w:t>5</w:t>
        </w:r>
        <w:r>
          <w:fldChar w:fldCharType="end"/>
        </w:r>
      </w:hyperlink>
    </w:p>
    <w:p>
      <w:pPr>
        <w:pStyle w:val="TOC2"/>
        <w:tabs>
          <w:tab w:val="right" w:leader="dot" w:pos="8306"/>
        </w:tabs>
      </w:pPr>
      <w:hyperlink w:anchor="_Toc11510" w:history="1">
        <w:r>
          <w:rPr>
            <w:rFonts w:ascii="仿宋" w:eastAsia="仿宋" w:hAnsi="仿宋" w:cs="仿宋" w:hint="eastAsia"/>
            <w:lang w:eastAsia="zh-CN"/>
          </w:rPr>
          <w:t>(二)、建设规模</w:t>
        </w:r>
        <w:r>
          <w:tab/>
        </w:r>
        <w:r>
          <w:fldChar w:fldCharType="begin"/>
        </w:r>
        <w:r>
          <w:instrText xml:space="preserve"> PAGEREF _Toc11510 \h </w:instrText>
        </w:r>
        <w:r>
          <w:fldChar w:fldCharType="separate"/>
        </w:r>
        <w:r>
          <w:t>5</w:t>
        </w:r>
        <w:r>
          <w:fldChar w:fldCharType="end"/>
        </w:r>
      </w:hyperlink>
    </w:p>
    <w:p>
      <w:pPr>
        <w:pStyle w:val="TOC1"/>
        <w:tabs>
          <w:tab w:val="right" w:leader="dot" w:pos="8306"/>
        </w:tabs>
      </w:pPr>
      <w:hyperlink w:anchor="_Toc28441" w:history="1">
        <w:r>
          <w:rPr>
            <w:rFonts w:ascii="仿宋" w:eastAsia="仿宋" w:hAnsi="仿宋" w:cs="仿宋" w:hint="eastAsia"/>
            <w:lang w:eastAsia="zh-CN"/>
          </w:rPr>
          <w:t>三、航天器总体电路项目绩效评估</w:t>
        </w:r>
        <w:r>
          <w:tab/>
        </w:r>
        <w:r>
          <w:fldChar w:fldCharType="begin"/>
        </w:r>
        <w:r>
          <w:instrText xml:space="preserve"> PAGEREF _Toc28441 \h </w:instrText>
        </w:r>
        <w:r>
          <w:fldChar w:fldCharType="separate"/>
        </w:r>
        <w:r>
          <w:t>7</w:t>
        </w:r>
        <w:r>
          <w:fldChar w:fldCharType="end"/>
        </w:r>
      </w:hyperlink>
    </w:p>
    <w:p>
      <w:pPr>
        <w:pStyle w:val="TOC2"/>
        <w:tabs>
          <w:tab w:val="right" w:leader="dot" w:pos="8306"/>
        </w:tabs>
      </w:pPr>
      <w:hyperlink w:anchor="_Toc26397" w:history="1">
        <w:r>
          <w:rPr>
            <w:rFonts w:ascii="仿宋" w:eastAsia="仿宋" w:hAnsi="仿宋" w:cs="仿宋" w:hint="eastAsia"/>
            <w:lang w:eastAsia="zh-CN"/>
          </w:rPr>
          <w:t>(一)、绩效评估指标</w:t>
        </w:r>
        <w:r>
          <w:tab/>
        </w:r>
        <w:r>
          <w:fldChar w:fldCharType="begin"/>
        </w:r>
        <w:r>
          <w:instrText xml:space="preserve"> PAGEREF _Toc26397 \h </w:instrText>
        </w:r>
        <w:r>
          <w:fldChar w:fldCharType="separate"/>
        </w:r>
        <w:r>
          <w:t>7</w:t>
        </w:r>
        <w:r>
          <w:fldChar w:fldCharType="end"/>
        </w:r>
      </w:hyperlink>
    </w:p>
    <w:p>
      <w:pPr>
        <w:pStyle w:val="TOC2"/>
        <w:tabs>
          <w:tab w:val="right" w:leader="dot" w:pos="8306"/>
        </w:tabs>
      </w:pPr>
      <w:hyperlink w:anchor="_Toc4277" w:history="1">
        <w:r>
          <w:rPr>
            <w:rFonts w:ascii="仿宋" w:eastAsia="仿宋" w:hAnsi="仿宋" w:cs="仿宋" w:hint="eastAsia"/>
            <w:lang w:eastAsia="zh-CN"/>
          </w:rPr>
          <w:t>(二)、绩效评估方法</w:t>
        </w:r>
        <w:r>
          <w:tab/>
        </w:r>
        <w:r>
          <w:fldChar w:fldCharType="begin"/>
        </w:r>
        <w:r>
          <w:instrText xml:space="preserve"> PAGEREF _Toc4277 \h </w:instrText>
        </w:r>
        <w:r>
          <w:fldChar w:fldCharType="separate"/>
        </w:r>
        <w:r>
          <w:t>8</w:t>
        </w:r>
        <w:r>
          <w:fldChar w:fldCharType="end"/>
        </w:r>
      </w:hyperlink>
    </w:p>
    <w:p>
      <w:pPr>
        <w:pStyle w:val="TOC2"/>
        <w:tabs>
          <w:tab w:val="right" w:leader="dot" w:pos="8306"/>
        </w:tabs>
      </w:pPr>
      <w:hyperlink w:anchor="_Toc14383" w:history="1">
        <w:r>
          <w:rPr>
            <w:rFonts w:ascii="仿宋" w:eastAsia="仿宋" w:hAnsi="仿宋" w:cs="仿宋" w:hint="eastAsia"/>
            <w:lang w:eastAsia="zh-CN"/>
          </w:rPr>
          <w:t>(三)、绩效评估周期</w:t>
        </w:r>
        <w:r>
          <w:tab/>
        </w:r>
        <w:r>
          <w:fldChar w:fldCharType="begin"/>
        </w:r>
        <w:r>
          <w:instrText xml:space="preserve"> PAGEREF _Toc14383 \h </w:instrText>
        </w:r>
        <w:r>
          <w:fldChar w:fldCharType="separate"/>
        </w:r>
        <w:r>
          <w:t>9</w:t>
        </w:r>
        <w:r>
          <w:fldChar w:fldCharType="end"/>
        </w:r>
      </w:hyperlink>
    </w:p>
    <w:p>
      <w:pPr>
        <w:pStyle w:val="TOC1"/>
        <w:tabs>
          <w:tab w:val="right" w:leader="dot" w:pos="8306"/>
        </w:tabs>
      </w:pPr>
      <w:hyperlink w:anchor="_Toc2410" w:history="1">
        <w:r>
          <w:rPr>
            <w:rFonts w:ascii="仿宋" w:eastAsia="仿宋" w:hAnsi="仿宋" w:cs="仿宋" w:hint="eastAsia"/>
            <w:lang w:eastAsia="zh-CN"/>
          </w:rPr>
          <w:t>四、航天器总体电路项目文档管理</w:t>
        </w:r>
        <w:r>
          <w:tab/>
        </w:r>
        <w:r>
          <w:fldChar w:fldCharType="begin"/>
        </w:r>
        <w:r>
          <w:instrText xml:space="preserve"> PAGEREF _Toc2410 \h </w:instrText>
        </w:r>
        <w:r>
          <w:fldChar w:fldCharType="separate"/>
        </w:r>
        <w:r>
          <w:t>10</w:t>
        </w:r>
        <w:r>
          <w:fldChar w:fldCharType="end"/>
        </w:r>
      </w:hyperlink>
    </w:p>
    <w:p>
      <w:pPr>
        <w:pStyle w:val="TOC2"/>
        <w:tabs>
          <w:tab w:val="right" w:leader="dot" w:pos="8306"/>
        </w:tabs>
      </w:pPr>
      <w:hyperlink w:anchor="_Toc24944" w:history="1">
        <w:r>
          <w:rPr>
            <w:rFonts w:ascii="仿宋" w:eastAsia="仿宋" w:hAnsi="仿宋" w:cs="仿宋" w:hint="eastAsia"/>
            <w:lang w:eastAsia="zh-CN"/>
          </w:rPr>
          <w:t>(一)、文档编制与审查</w:t>
        </w:r>
        <w:r>
          <w:tab/>
        </w:r>
        <w:r>
          <w:fldChar w:fldCharType="begin"/>
        </w:r>
        <w:r>
          <w:instrText xml:space="preserve"> PAGEREF _Toc24944 \h </w:instrText>
        </w:r>
        <w:r>
          <w:fldChar w:fldCharType="separate"/>
        </w:r>
        <w:r>
          <w:t>10</w:t>
        </w:r>
        <w:r>
          <w:fldChar w:fldCharType="end"/>
        </w:r>
      </w:hyperlink>
    </w:p>
    <w:p>
      <w:pPr>
        <w:pStyle w:val="TOC2"/>
        <w:tabs>
          <w:tab w:val="right" w:leader="dot" w:pos="8306"/>
        </w:tabs>
      </w:pPr>
      <w:hyperlink w:anchor="_Toc20015" w:history="1">
        <w:r>
          <w:rPr>
            <w:rFonts w:ascii="仿宋" w:eastAsia="仿宋" w:hAnsi="仿宋" w:cs="仿宋" w:hint="eastAsia"/>
            <w:lang w:eastAsia="zh-CN"/>
          </w:rPr>
          <w:t>(二)、文档发布与分发</w:t>
        </w:r>
        <w:r>
          <w:tab/>
        </w:r>
        <w:r>
          <w:fldChar w:fldCharType="begin"/>
        </w:r>
        <w:r>
          <w:instrText xml:space="preserve"> PAGEREF _Toc20015 \h </w:instrText>
        </w:r>
        <w:r>
          <w:fldChar w:fldCharType="separate"/>
        </w:r>
        <w:r>
          <w:t>11</w:t>
        </w:r>
        <w:r>
          <w:fldChar w:fldCharType="end"/>
        </w:r>
      </w:hyperlink>
    </w:p>
    <w:p>
      <w:pPr>
        <w:pStyle w:val="TOC2"/>
        <w:tabs>
          <w:tab w:val="right" w:leader="dot" w:pos="8306"/>
        </w:tabs>
      </w:pPr>
      <w:hyperlink w:anchor="_Toc25007" w:history="1">
        <w:r>
          <w:rPr>
            <w:rFonts w:ascii="仿宋" w:eastAsia="仿宋" w:hAnsi="仿宋" w:cs="仿宋" w:hint="eastAsia"/>
            <w:lang w:eastAsia="zh-CN"/>
          </w:rPr>
          <w:t>(三)、文档存档与归档</w:t>
        </w:r>
        <w:r>
          <w:tab/>
        </w:r>
        <w:r>
          <w:fldChar w:fldCharType="begin"/>
        </w:r>
        <w:r>
          <w:instrText xml:space="preserve"> PAGEREF _Toc25007 \h </w:instrText>
        </w:r>
        <w:r>
          <w:fldChar w:fldCharType="separate"/>
        </w:r>
        <w:r>
          <w:t>12</w:t>
        </w:r>
        <w:r>
          <w:fldChar w:fldCharType="end"/>
        </w:r>
      </w:hyperlink>
    </w:p>
    <w:p>
      <w:pPr>
        <w:pStyle w:val="TOC1"/>
        <w:tabs>
          <w:tab w:val="right" w:leader="dot" w:pos="8306"/>
        </w:tabs>
      </w:pPr>
      <w:hyperlink w:anchor="_Toc12643" w:history="1">
        <w:r>
          <w:rPr>
            <w:rFonts w:ascii="仿宋" w:eastAsia="仿宋" w:hAnsi="仿宋" w:cs="仿宋" w:hint="eastAsia"/>
            <w:lang w:eastAsia="zh-CN"/>
          </w:rPr>
          <w:t>五、市场分析、调研</w:t>
        </w:r>
        <w:r>
          <w:tab/>
        </w:r>
        <w:r>
          <w:fldChar w:fldCharType="begin"/>
        </w:r>
        <w:r>
          <w:instrText xml:space="preserve"> PAGEREF _Toc12643 \h </w:instrText>
        </w:r>
        <w:r>
          <w:fldChar w:fldCharType="separate"/>
        </w:r>
        <w:r>
          <w:t>13</w:t>
        </w:r>
        <w:r>
          <w:fldChar w:fldCharType="end"/>
        </w:r>
      </w:hyperlink>
    </w:p>
    <w:p>
      <w:pPr>
        <w:pStyle w:val="TOC2"/>
        <w:tabs>
          <w:tab w:val="right" w:leader="dot" w:pos="8306"/>
        </w:tabs>
      </w:pPr>
      <w:hyperlink w:anchor="_Toc7520" w:history="1">
        <w:r>
          <w:rPr>
            <w:rFonts w:ascii="仿宋" w:eastAsia="仿宋" w:hAnsi="仿宋" w:cs="仿宋" w:hint="eastAsia"/>
            <w:lang w:eastAsia="zh-CN"/>
          </w:rPr>
          <w:t>(一)、航天器总体电路行业分析</w:t>
        </w:r>
        <w:r>
          <w:tab/>
        </w:r>
        <w:r>
          <w:fldChar w:fldCharType="begin"/>
        </w:r>
        <w:r>
          <w:instrText xml:space="preserve"> PAGEREF _Toc7520 \h </w:instrText>
        </w:r>
        <w:r>
          <w:fldChar w:fldCharType="separate"/>
        </w:r>
        <w:r>
          <w:t>13</w:t>
        </w:r>
        <w:r>
          <w:fldChar w:fldCharType="end"/>
        </w:r>
      </w:hyperlink>
    </w:p>
    <w:p>
      <w:pPr>
        <w:pStyle w:val="TOC2"/>
        <w:tabs>
          <w:tab w:val="right" w:leader="dot" w:pos="8306"/>
        </w:tabs>
      </w:pPr>
      <w:hyperlink w:anchor="_Toc6928" w:history="1">
        <w:r>
          <w:rPr>
            <w:rFonts w:ascii="仿宋" w:eastAsia="仿宋" w:hAnsi="仿宋" w:cs="仿宋" w:hint="eastAsia"/>
            <w:lang w:eastAsia="zh-CN"/>
          </w:rPr>
          <w:t>(二)、航天器总体电路市场分析预测</w:t>
        </w:r>
        <w:r>
          <w:tab/>
        </w:r>
        <w:r>
          <w:fldChar w:fldCharType="begin"/>
        </w:r>
        <w:r>
          <w:instrText xml:space="preserve"> PAGEREF _Toc6928 \h </w:instrText>
        </w:r>
        <w:r>
          <w:fldChar w:fldCharType="separate"/>
        </w:r>
        <w:r>
          <w:t>14</w:t>
        </w:r>
        <w:r>
          <w:fldChar w:fldCharType="end"/>
        </w:r>
      </w:hyperlink>
    </w:p>
    <w:p>
      <w:pPr>
        <w:pStyle w:val="TOC1"/>
        <w:tabs>
          <w:tab w:val="right" w:leader="dot" w:pos="8306"/>
        </w:tabs>
      </w:pPr>
      <w:hyperlink w:anchor="_Toc9272" w:history="1">
        <w:r>
          <w:rPr>
            <w:rFonts w:ascii="仿宋" w:eastAsia="仿宋" w:hAnsi="仿宋" w:cs="仿宋" w:hint="eastAsia"/>
            <w:lang w:eastAsia="zh-CN"/>
          </w:rPr>
          <w:t>六、航天器总体电路项目可持续发展</w:t>
        </w:r>
        <w:r>
          <w:tab/>
        </w:r>
        <w:r>
          <w:fldChar w:fldCharType="begin"/>
        </w:r>
        <w:r>
          <w:instrText xml:space="preserve"> PAGEREF _Toc9272 \h </w:instrText>
        </w:r>
        <w:r>
          <w:fldChar w:fldCharType="separate"/>
        </w:r>
        <w:r>
          <w:t>15</w:t>
        </w:r>
        <w:r>
          <w:fldChar w:fldCharType="end"/>
        </w:r>
      </w:hyperlink>
    </w:p>
    <w:p>
      <w:pPr>
        <w:pStyle w:val="TOC2"/>
        <w:tabs>
          <w:tab w:val="right" w:leader="dot" w:pos="8306"/>
        </w:tabs>
      </w:pPr>
      <w:hyperlink w:anchor="_Toc27785" w:history="1">
        <w:r>
          <w:rPr>
            <w:rFonts w:ascii="仿宋" w:eastAsia="仿宋" w:hAnsi="仿宋" w:cs="仿宋" w:hint="eastAsia"/>
            <w:lang w:eastAsia="zh-CN"/>
          </w:rPr>
          <w:t>(一)、可持续战略与实践</w:t>
        </w:r>
        <w:r>
          <w:tab/>
        </w:r>
        <w:r>
          <w:fldChar w:fldCharType="begin"/>
        </w:r>
        <w:r>
          <w:instrText xml:space="preserve"> PAGEREF _Toc27785 \h </w:instrText>
        </w:r>
        <w:r>
          <w:fldChar w:fldCharType="separate"/>
        </w:r>
        <w:r>
          <w:t>15</w:t>
        </w:r>
        <w:r>
          <w:fldChar w:fldCharType="end"/>
        </w:r>
      </w:hyperlink>
    </w:p>
    <w:p>
      <w:pPr>
        <w:pStyle w:val="TOC2"/>
        <w:tabs>
          <w:tab w:val="right" w:leader="dot" w:pos="8306"/>
        </w:tabs>
      </w:pPr>
      <w:hyperlink w:anchor="_Toc26859" w:history="1">
        <w:r>
          <w:rPr>
            <w:rFonts w:ascii="仿宋" w:eastAsia="仿宋" w:hAnsi="仿宋" w:cs="仿宋" w:hint="eastAsia"/>
            <w:lang w:eastAsia="zh-CN"/>
          </w:rPr>
          <w:t>(二)、环保与社会责任</w:t>
        </w:r>
        <w:r>
          <w:tab/>
        </w:r>
        <w:r>
          <w:fldChar w:fldCharType="begin"/>
        </w:r>
        <w:r>
          <w:instrText xml:space="preserve"> PAGEREF _Toc26859 \h </w:instrText>
        </w:r>
        <w:r>
          <w:fldChar w:fldCharType="separate"/>
        </w:r>
        <w:r>
          <w:t>16</w:t>
        </w:r>
        <w:r>
          <w:fldChar w:fldCharType="end"/>
        </w:r>
      </w:hyperlink>
    </w:p>
    <w:p>
      <w:pPr>
        <w:pStyle w:val="TOC1"/>
        <w:tabs>
          <w:tab w:val="right" w:leader="dot" w:pos="8306"/>
        </w:tabs>
      </w:pPr>
      <w:hyperlink w:anchor="_Toc12721" w:history="1">
        <w:r>
          <w:rPr>
            <w:rFonts w:ascii="仿宋" w:eastAsia="仿宋" w:hAnsi="仿宋" w:cs="仿宋" w:hint="eastAsia"/>
            <w:lang w:eastAsia="zh-CN"/>
          </w:rPr>
          <w:t>七、航天器总体电路项目人力资源培养与发展</w:t>
        </w:r>
        <w:r>
          <w:tab/>
        </w:r>
        <w:r>
          <w:fldChar w:fldCharType="begin"/>
        </w:r>
        <w:r>
          <w:instrText xml:space="preserve"> PAGEREF _Toc12721 \h </w:instrText>
        </w:r>
        <w:r>
          <w:fldChar w:fldCharType="separate"/>
        </w:r>
        <w:r>
          <w:t>17</w:t>
        </w:r>
        <w:r>
          <w:fldChar w:fldCharType="end"/>
        </w:r>
      </w:hyperlink>
    </w:p>
    <w:p>
      <w:pPr>
        <w:pStyle w:val="TOC2"/>
        <w:tabs>
          <w:tab w:val="right" w:leader="dot" w:pos="8306"/>
        </w:tabs>
      </w:pPr>
      <w:hyperlink w:anchor="_Toc9165" w:history="1">
        <w:r>
          <w:rPr>
            <w:rFonts w:ascii="仿宋" w:eastAsia="仿宋" w:hAnsi="仿宋" w:cs="仿宋" w:hint="eastAsia"/>
            <w:lang w:eastAsia="zh-CN"/>
          </w:rPr>
          <w:t>(一)、人才需求与规划</w:t>
        </w:r>
        <w:r>
          <w:tab/>
        </w:r>
        <w:r>
          <w:fldChar w:fldCharType="begin"/>
        </w:r>
        <w:r>
          <w:instrText xml:space="preserve"> PAGEREF _Toc9165 \h </w:instrText>
        </w:r>
        <w:r>
          <w:fldChar w:fldCharType="separate"/>
        </w:r>
        <w:r>
          <w:t>17</w:t>
        </w:r>
        <w:r>
          <w:fldChar w:fldCharType="end"/>
        </w:r>
      </w:hyperlink>
    </w:p>
    <w:p>
      <w:pPr>
        <w:pStyle w:val="TOC2"/>
        <w:tabs>
          <w:tab w:val="right" w:leader="dot" w:pos="8306"/>
        </w:tabs>
      </w:pPr>
      <w:hyperlink w:anchor="_Toc5539" w:history="1">
        <w:r>
          <w:rPr>
            <w:rFonts w:ascii="仿宋" w:eastAsia="仿宋" w:hAnsi="仿宋" w:cs="仿宋" w:hint="eastAsia"/>
            <w:lang w:eastAsia="zh-CN"/>
          </w:rPr>
          <w:t>(二)、培训与发展计划</w:t>
        </w:r>
        <w:r>
          <w:tab/>
        </w:r>
        <w:r>
          <w:fldChar w:fldCharType="begin"/>
        </w:r>
        <w:r>
          <w:instrText xml:space="preserve"> PAGEREF _Toc5539 \h </w:instrText>
        </w:r>
        <w:r>
          <w:fldChar w:fldCharType="separate"/>
        </w:r>
        <w:r>
          <w:t>17</w:t>
        </w:r>
        <w:r>
          <w:fldChar w:fldCharType="end"/>
        </w:r>
      </w:hyperlink>
    </w:p>
    <w:p>
      <w:pPr>
        <w:pStyle w:val="TOC1"/>
        <w:tabs>
          <w:tab w:val="right" w:leader="dot" w:pos="8306"/>
        </w:tabs>
      </w:pPr>
      <w:hyperlink w:anchor="_Toc8017" w:history="1">
        <w:r>
          <w:rPr>
            <w:rFonts w:ascii="仿宋" w:eastAsia="仿宋" w:hAnsi="仿宋" w:cs="仿宋" w:hint="eastAsia"/>
            <w:lang w:eastAsia="zh-CN"/>
          </w:rPr>
          <w:t>八、航天器总体电路项目计划安排</w:t>
        </w:r>
        <w:r>
          <w:tab/>
        </w:r>
        <w:r>
          <w:fldChar w:fldCharType="begin"/>
        </w:r>
        <w:r>
          <w:instrText xml:space="preserve"> PAGEREF _Toc8017 \h </w:instrText>
        </w:r>
        <w:r>
          <w:fldChar w:fldCharType="separate"/>
        </w:r>
        <w:r>
          <w:t>18</w:t>
        </w:r>
        <w:r>
          <w:fldChar w:fldCharType="end"/>
        </w:r>
      </w:hyperlink>
    </w:p>
    <w:p>
      <w:pPr>
        <w:pStyle w:val="TOC2"/>
        <w:tabs>
          <w:tab w:val="right" w:leader="dot" w:pos="8306"/>
        </w:tabs>
      </w:pPr>
      <w:hyperlink w:anchor="_Toc32165" w:history="1">
        <w:r>
          <w:rPr>
            <w:rFonts w:ascii="仿宋" w:eastAsia="仿宋" w:hAnsi="仿宋" w:cs="仿宋" w:hint="eastAsia"/>
            <w:lang w:eastAsia="zh-CN"/>
          </w:rPr>
          <w:t>(一)、建设周期</w:t>
        </w:r>
        <w:r>
          <w:tab/>
        </w:r>
        <w:r>
          <w:fldChar w:fldCharType="begin"/>
        </w:r>
        <w:r>
          <w:instrText xml:space="preserve"> PAGEREF _Toc32165 \h </w:instrText>
        </w:r>
        <w:r>
          <w:fldChar w:fldCharType="separate"/>
        </w:r>
        <w:r>
          <w:t>18</w:t>
        </w:r>
        <w:r>
          <w:fldChar w:fldCharType="end"/>
        </w:r>
      </w:hyperlink>
    </w:p>
    <w:p>
      <w:pPr>
        <w:pStyle w:val="TOC2"/>
        <w:tabs>
          <w:tab w:val="right" w:leader="dot" w:pos="8306"/>
        </w:tabs>
      </w:pPr>
      <w:hyperlink w:anchor="_Toc26054" w:history="1">
        <w:r>
          <w:rPr>
            <w:rFonts w:ascii="仿宋" w:eastAsia="仿宋" w:hAnsi="仿宋" w:cs="仿宋" w:hint="eastAsia"/>
            <w:lang w:eastAsia="zh-CN"/>
          </w:rPr>
          <w:t>(二)、建设进度</w:t>
        </w:r>
        <w:r>
          <w:tab/>
        </w:r>
        <w:r>
          <w:fldChar w:fldCharType="begin"/>
        </w:r>
        <w:r>
          <w:instrText xml:space="preserve"> PAGEREF _Toc26054 \h </w:instrText>
        </w:r>
        <w:r>
          <w:fldChar w:fldCharType="separate"/>
        </w:r>
        <w:r>
          <w:t>19</w:t>
        </w:r>
        <w:r>
          <w:fldChar w:fldCharType="end"/>
        </w:r>
      </w:hyperlink>
    </w:p>
    <w:p>
      <w:pPr>
        <w:pStyle w:val="TOC2"/>
        <w:tabs>
          <w:tab w:val="right" w:leader="dot" w:pos="8306"/>
        </w:tabs>
      </w:pPr>
      <w:hyperlink w:anchor="_Toc1146" w:history="1">
        <w:r>
          <w:rPr>
            <w:rFonts w:ascii="仿宋" w:eastAsia="仿宋" w:hAnsi="仿宋" w:cs="仿宋" w:hint="eastAsia"/>
            <w:lang w:eastAsia="zh-CN"/>
          </w:rPr>
          <w:t>(三)、进度安排注意事项</w:t>
        </w:r>
        <w:r>
          <w:tab/>
        </w:r>
        <w:r>
          <w:fldChar w:fldCharType="begin"/>
        </w:r>
        <w:r>
          <w:instrText xml:space="preserve"> PAGEREF _Toc1146 \h </w:instrText>
        </w:r>
        <w:r>
          <w:fldChar w:fldCharType="separate"/>
        </w:r>
        <w:r>
          <w:t>20</w:t>
        </w:r>
        <w:r>
          <w:fldChar w:fldCharType="end"/>
        </w:r>
      </w:hyperlink>
    </w:p>
    <w:p>
      <w:pPr>
        <w:pStyle w:val="TOC2"/>
        <w:tabs>
          <w:tab w:val="right" w:leader="dot" w:pos="8306"/>
        </w:tabs>
      </w:pPr>
      <w:hyperlink w:anchor="_Toc16837" w:history="1">
        <w:r>
          <w:rPr>
            <w:rFonts w:ascii="仿宋" w:eastAsia="仿宋" w:hAnsi="仿宋" w:cs="仿宋" w:hint="eastAsia"/>
            <w:lang w:eastAsia="zh-CN"/>
          </w:rPr>
          <w:t>(四)、人力资源配置</w:t>
        </w:r>
        <w:r>
          <w:tab/>
        </w:r>
        <w:r>
          <w:fldChar w:fldCharType="begin"/>
        </w:r>
        <w:r>
          <w:instrText xml:space="preserve"> PAGEREF _Toc16837 \h </w:instrText>
        </w:r>
        <w:r>
          <w:fldChar w:fldCharType="separate"/>
        </w:r>
        <w:r>
          <w:t>21</w:t>
        </w:r>
        <w:r>
          <w:fldChar w:fldCharType="end"/>
        </w:r>
      </w:hyperlink>
    </w:p>
    <w:p>
      <w:pPr>
        <w:pStyle w:val="TOC1"/>
        <w:tabs>
          <w:tab w:val="right" w:leader="dot" w:pos="8306"/>
        </w:tabs>
      </w:pPr>
      <w:hyperlink w:anchor="_Toc8603" w:history="1">
        <w:r>
          <w:rPr>
            <w:rFonts w:ascii="仿宋" w:eastAsia="仿宋" w:hAnsi="仿宋" w:cs="仿宋" w:hint="eastAsia"/>
            <w:lang w:eastAsia="zh-CN"/>
          </w:rPr>
          <w:t>九、航天器总体电路项目社会影响</w:t>
        </w:r>
        <w:r>
          <w:tab/>
        </w:r>
        <w:r>
          <w:fldChar w:fldCharType="begin"/>
        </w:r>
        <w:r>
          <w:instrText xml:space="preserve"> PAGEREF _Toc8603 \h </w:instrText>
        </w:r>
        <w:r>
          <w:fldChar w:fldCharType="separate"/>
        </w:r>
        <w:r>
          <w:t>22</w:t>
        </w:r>
        <w:r>
          <w:fldChar w:fldCharType="end"/>
        </w:r>
      </w:hyperlink>
    </w:p>
    <w:p>
      <w:pPr>
        <w:pStyle w:val="TOC2"/>
        <w:tabs>
          <w:tab w:val="right" w:leader="dot" w:pos="8306"/>
        </w:tabs>
      </w:pPr>
      <w:hyperlink w:anchor="_Toc20259" w:history="1">
        <w:r>
          <w:rPr>
            <w:rFonts w:ascii="仿宋" w:eastAsia="仿宋" w:hAnsi="仿宋" w:cs="仿宋" w:hint="eastAsia"/>
            <w:lang w:eastAsia="zh-CN"/>
          </w:rPr>
          <w:t>(一)、社会责任与义务</w:t>
        </w:r>
        <w:r>
          <w:tab/>
        </w:r>
        <w:r>
          <w:fldChar w:fldCharType="begin"/>
        </w:r>
        <w:r>
          <w:instrText xml:space="preserve"> PAGEREF _Toc20259 \h </w:instrText>
        </w:r>
        <w:r>
          <w:fldChar w:fldCharType="separate"/>
        </w:r>
        <w:r>
          <w:t>22</w:t>
        </w:r>
        <w:r>
          <w:fldChar w:fldCharType="end"/>
        </w:r>
      </w:hyperlink>
    </w:p>
    <w:p>
      <w:pPr>
        <w:pStyle w:val="TOC2"/>
        <w:tabs>
          <w:tab w:val="right" w:leader="dot" w:pos="8306"/>
        </w:tabs>
      </w:pPr>
      <w:hyperlink w:anchor="_Toc25310" w:history="1">
        <w:r>
          <w:rPr>
            <w:rFonts w:ascii="仿宋" w:eastAsia="仿宋" w:hAnsi="仿宋" w:cs="仿宋" w:hint="eastAsia"/>
            <w:lang w:eastAsia="zh-CN"/>
          </w:rPr>
          <w:t>(二)、社会参与与沟通</w:t>
        </w:r>
        <w:r>
          <w:tab/>
        </w:r>
        <w:r>
          <w:fldChar w:fldCharType="begin"/>
        </w:r>
        <w:r>
          <w:instrText xml:space="preserve"> PAGEREF _Toc25310 \h </w:instrText>
        </w:r>
        <w:r>
          <w:fldChar w:fldCharType="separate"/>
        </w:r>
        <w:r>
          <w:t>23</w:t>
        </w:r>
        <w:r>
          <w:fldChar w:fldCharType="end"/>
        </w:r>
      </w:hyperlink>
    </w:p>
    <w:p>
      <w:pPr>
        <w:pStyle w:val="TOC1"/>
        <w:tabs>
          <w:tab w:val="right" w:leader="dot" w:pos="8306"/>
        </w:tabs>
      </w:pPr>
      <w:hyperlink w:anchor="_Toc2153" w:history="1">
        <w:r>
          <w:rPr>
            <w:rFonts w:ascii="仿宋" w:eastAsia="仿宋" w:hAnsi="仿宋" w:cs="仿宋" w:hint="eastAsia"/>
            <w:lang w:eastAsia="zh-CN"/>
          </w:rPr>
          <w:t>十、航天器总体电路项目创新与研发</w:t>
        </w:r>
        <w:r>
          <w:tab/>
        </w:r>
        <w:r>
          <w:fldChar w:fldCharType="begin"/>
        </w:r>
        <w:r>
          <w:instrText xml:space="preserve"> PAGEREF _Toc2153 \h </w:instrText>
        </w:r>
        <w:r>
          <w:fldChar w:fldCharType="separate"/>
        </w:r>
        <w:r>
          <w:t>24</w:t>
        </w:r>
        <w:r>
          <w:fldChar w:fldCharType="end"/>
        </w:r>
      </w:hyperlink>
    </w:p>
    <w:p>
      <w:pPr>
        <w:pStyle w:val="TOC2"/>
        <w:tabs>
          <w:tab w:val="right" w:leader="dot" w:pos="8306"/>
        </w:tabs>
      </w:pPr>
      <w:hyperlink w:anchor="_Toc5254" w:history="1">
        <w:r>
          <w:rPr>
            <w:rFonts w:ascii="仿宋" w:eastAsia="仿宋" w:hAnsi="仿宋" w:cs="仿宋" w:hint="eastAsia"/>
            <w:lang w:eastAsia="zh-CN"/>
          </w:rPr>
          <w:t>(一)、创新策略与方向</w:t>
        </w:r>
        <w:r>
          <w:tab/>
        </w:r>
        <w:r>
          <w:fldChar w:fldCharType="begin"/>
        </w:r>
        <w:r>
          <w:instrText xml:space="preserve"> PAGEREF _Toc5254 \h </w:instrText>
        </w:r>
        <w:r>
          <w:fldChar w:fldCharType="separate"/>
        </w:r>
        <w:r>
          <w:t>24</w:t>
        </w:r>
        <w:r>
          <w:fldChar w:fldCharType="end"/>
        </w:r>
      </w:hyperlink>
    </w:p>
    <w:p>
      <w:pPr>
        <w:pStyle w:val="TOC2"/>
        <w:tabs>
          <w:tab w:val="right" w:leader="dot" w:pos="8306"/>
        </w:tabs>
      </w:pPr>
      <w:hyperlink w:anchor="_Toc23841" w:history="1">
        <w:r>
          <w:rPr>
            <w:rFonts w:ascii="仿宋" w:eastAsia="仿宋" w:hAnsi="仿宋" w:cs="仿宋" w:hint="eastAsia"/>
            <w:lang w:eastAsia="zh-CN"/>
          </w:rPr>
          <w:t>(二)、研发规划与投入</w:t>
        </w:r>
        <w:r>
          <w:tab/>
        </w:r>
        <w:r>
          <w:fldChar w:fldCharType="begin"/>
        </w:r>
        <w:r>
          <w:instrText xml:space="preserve"> PAGEREF _Toc23841 \h </w:instrText>
        </w:r>
        <w:r>
          <w:fldChar w:fldCharType="separate"/>
        </w:r>
        <w:r>
          <w:t>25</w:t>
        </w:r>
        <w:r>
          <w:fldChar w:fldCharType="end"/>
        </w:r>
      </w:hyperlink>
    </w:p>
    <w:p>
      <w:pPr>
        <w:pStyle w:val="TOC1"/>
        <w:tabs>
          <w:tab w:val="right" w:leader="dot" w:pos="8306"/>
        </w:tabs>
      </w:pPr>
      <w:hyperlink w:anchor="_Toc21225" w:history="1">
        <w:r>
          <w:rPr>
            <w:rFonts w:ascii="仿宋" w:eastAsia="仿宋" w:hAnsi="仿宋" w:cs="仿宋" w:hint="eastAsia"/>
            <w:lang w:eastAsia="zh-CN"/>
          </w:rPr>
          <w:t>十一、航天器总体电路项目技术管理</w:t>
        </w:r>
        <w:r>
          <w:tab/>
        </w:r>
        <w:r>
          <w:fldChar w:fldCharType="begin"/>
        </w:r>
        <w:r>
          <w:instrText xml:space="preserve"> PAGEREF _Toc21225 \h </w:instrText>
        </w:r>
        <w:r>
          <w:fldChar w:fldCharType="separate"/>
        </w:r>
        <w:r>
          <w:t>27</w:t>
        </w:r>
        <w:r>
          <w:fldChar w:fldCharType="end"/>
        </w:r>
      </w:hyperlink>
    </w:p>
    <w:p>
      <w:pPr>
        <w:pStyle w:val="TOC2"/>
        <w:tabs>
          <w:tab w:val="right" w:leader="dot" w:pos="8306"/>
        </w:tabs>
      </w:pPr>
      <w:hyperlink w:anchor="_Toc32633" w:history="1">
        <w:r>
          <w:rPr>
            <w:rFonts w:ascii="仿宋" w:eastAsia="仿宋" w:hAnsi="仿宋" w:cs="仿宋" w:hint="eastAsia"/>
            <w:lang w:eastAsia="zh-CN"/>
          </w:rPr>
          <w:t>(一)、技术方案选用方向</w:t>
        </w:r>
        <w:r>
          <w:tab/>
        </w:r>
        <w:r>
          <w:fldChar w:fldCharType="begin"/>
        </w:r>
        <w:r>
          <w:instrText xml:space="preserve"> PAGEREF _Toc32633 \h </w:instrText>
        </w:r>
        <w:r>
          <w:fldChar w:fldCharType="separate"/>
        </w:r>
        <w:r>
          <w:t>27</w:t>
        </w:r>
        <w:r>
          <w:fldChar w:fldCharType="end"/>
        </w:r>
      </w:hyperlink>
    </w:p>
    <w:p>
      <w:pPr>
        <w:pStyle w:val="TOC2"/>
        <w:tabs>
          <w:tab w:val="right" w:leader="dot" w:pos="8306"/>
        </w:tabs>
      </w:pPr>
      <w:hyperlink w:anchor="_Toc6652" w:history="1">
        <w:r>
          <w:rPr>
            <w:rFonts w:ascii="仿宋" w:eastAsia="仿宋" w:hAnsi="仿宋" w:cs="仿宋" w:hint="eastAsia"/>
            <w:lang w:eastAsia="zh-CN"/>
          </w:rPr>
          <w:t>(二)、工艺技术方案选用原则</w:t>
        </w:r>
        <w:r>
          <w:tab/>
        </w:r>
        <w:r>
          <w:fldChar w:fldCharType="begin"/>
        </w:r>
        <w:r>
          <w:instrText xml:space="preserve"> PAGEREF _Toc6652 \h </w:instrText>
        </w:r>
        <w:r>
          <w:fldChar w:fldCharType="separate"/>
        </w:r>
        <w:r>
          <w:t>29</w:t>
        </w:r>
        <w:r>
          <w:fldChar w:fldCharType="end"/>
        </w:r>
      </w:hyperlink>
    </w:p>
    <w:p>
      <w:pPr>
        <w:pStyle w:val="TOC2"/>
        <w:tabs>
          <w:tab w:val="right" w:leader="dot" w:pos="8306"/>
        </w:tabs>
      </w:pPr>
      <w:hyperlink w:anchor="_Toc19467" w:history="1">
        <w:r>
          <w:rPr>
            <w:rFonts w:ascii="仿宋" w:eastAsia="仿宋" w:hAnsi="仿宋" w:cs="仿宋" w:hint="eastAsia"/>
            <w:lang w:eastAsia="zh-CN"/>
          </w:rPr>
          <w:t>(三)、工艺技术方案要求</w:t>
        </w:r>
        <w:r>
          <w:tab/>
        </w:r>
        <w:r>
          <w:fldChar w:fldCharType="begin"/>
        </w:r>
        <w:r>
          <w:instrText xml:space="preserve"> PAGEREF _Toc19467 \h </w:instrText>
        </w:r>
        <w:r>
          <w:fldChar w:fldCharType="separate"/>
        </w:r>
        <w:r>
          <w:t>31</w:t>
        </w:r>
        <w:r>
          <w:fldChar w:fldCharType="end"/>
        </w:r>
      </w:hyperlink>
    </w:p>
    <w:p>
      <w:pPr>
        <w:pStyle w:val="TOC1"/>
        <w:tabs>
          <w:tab w:val="right" w:leader="dot" w:pos="8306"/>
        </w:tabs>
      </w:pPr>
      <w:hyperlink w:anchor="_Toc19080" w:history="1">
        <w:r>
          <w:rPr>
            <w:rFonts w:ascii="仿宋" w:eastAsia="仿宋" w:hAnsi="仿宋" w:cs="仿宋" w:hint="eastAsia"/>
            <w:lang w:eastAsia="zh-CN"/>
          </w:rPr>
          <w:t>十二、生产安全保护</w:t>
        </w:r>
        <w:r>
          <w:tab/>
        </w:r>
        <w:r>
          <w:fldChar w:fldCharType="begin"/>
        </w:r>
        <w:r>
          <w:instrText xml:space="preserve"> PAGEREF _Toc19080 \h </w:instrText>
        </w:r>
        <w:r>
          <w:fldChar w:fldCharType="separate"/>
        </w:r>
        <w:r>
          <w:t>33</w:t>
        </w:r>
        <w:r>
          <w:fldChar w:fldCharType="end"/>
        </w:r>
      </w:hyperlink>
    </w:p>
    <w:p>
      <w:pPr>
        <w:pStyle w:val="TOC2"/>
        <w:tabs>
          <w:tab w:val="right" w:leader="dot" w:pos="8306"/>
        </w:tabs>
      </w:pPr>
      <w:hyperlink w:anchor="_Toc1222" w:history="1">
        <w:r>
          <w:rPr>
            <w:rFonts w:ascii="仿宋" w:eastAsia="仿宋" w:hAnsi="仿宋" w:cs="仿宋" w:hint="eastAsia"/>
            <w:lang w:eastAsia="zh-CN"/>
          </w:rPr>
          <w:t>(一)、消防安全</w:t>
        </w:r>
        <w:r>
          <w:tab/>
        </w:r>
        <w:r>
          <w:fldChar w:fldCharType="begin"/>
        </w:r>
        <w:r>
          <w:instrText xml:space="preserve"> PAGEREF _Toc1222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20" w:history="1">
        <w:r>
          <w:rPr>
            <w:rFonts w:ascii="仿宋" w:eastAsia="仿宋" w:hAnsi="仿宋" w:cs="仿宋" w:hint="eastAsia"/>
            <w:lang w:eastAsia="zh-CN"/>
          </w:rPr>
          <w:t>(二)、防火防爆总图布置措施</w:t>
        </w:r>
        <w:r>
          <w:tab/>
        </w:r>
        <w:r>
          <w:fldChar w:fldCharType="begin"/>
        </w:r>
        <w:r>
          <w:instrText xml:space="preserve"> PAGEREF _Toc6620 \h </w:instrText>
        </w:r>
        <w:r>
          <w:fldChar w:fldCharType="separate"/>
        </w:r>
        <w:r>
          <w:t>35</w:t>
        </w:r>
        <w:r>
          <w:fldChar w:fldCharType="end"/>
        </w:r>
      </w:hyperlink>
    </w:p>
    <w:p>
      <w:pPr>
        <w:pStyle w:val="TOC2"/>
        <w:tabs>
          <w:tab w:val="right" w:leader="dot" w:pos="8306"/>
        </w:tabs>
      </w:pPr>
      <w:hyperlink w:anchor="_Toc8275" w:history="1">
        <w:r>
          <w:rPr>
            <w:rFonts w:ascii="仿宋" w:eastAsia="仿宋" w:hAnsi="仿宋" w:cs="仿宋" w:hint="eastAsia"/>
            <w:lang w:eastAsia="zh-CN"/>
          </w:rPr>
          <w:t>(三)、自然灾害防范措施</w:t>
        </w:r>
        <w:r>
          <w:tab/>
        </w:r>
        <w:r>
          <w:fldChar w:fldCharType="begin"/>
        </w:r>
        <w:r>
          <w:instrText xml:space="preserve"> PAGEREF _Toc8275 \h </w:instrText>
        </w:r>
        <w:r>
          <w:fldChar w:fldCharType="separate"/>
        </w:r>
        <w:r>
          <w:t>36</w:t>
        </w:r>
        <w:r>
          <w:fldChar w:fldCharType="end"/>
        </w:r>
      </w:hyperlink>
    </w:p>
    <w:p>
      <w:pPr>
        <w:pStyle w:val="TOC2"/>
        <w:tabs>
          <w:tab w:val="right" w:leader="dot" w:pos="8306"/>
        </w:tabs>
      </w:pPr>
      <w:hyperlink w:anchor="_Toc18486" w:history="1">
        <w:r>
          <w:rPr>
            <w:rFonts w:ascii="仿宋" w:eastAsia="仿宋" w:hAnsi="仿宋" w:cs="仿宋" w:hint="eastAsia"/>
            <w:lang w:eastAsia="zh-CN"/>
          </w:rPr>
          <w:t>(四)、安全色及安全标志使用要求</w:t>
        </w:r>
        <w:r>
          <w:tab/>
        </w:r>
        <w:r>
          <w:fldChar w:fldCharType="begin"/>
        </w:r>
        <w:r>
          <w:instrText xml:space="preserve"> PAGEREF _Toc18486 \h </w:instrText>
        </w:r>
        <w:r>
          <w:fldChar w:fldCharType="separate"/>
        </w:r>
        <w:r>
          <w:t>37</w:t>
        </w:r>
        <w:r>
          <w:fldChar w:fldCharType="end"/>
        </w:r>
      </w:hyperlink>
    </w:p>
    <w:p>
      <w:pPr>
        <w:pStyle w:val="TOC2"/>
        <w:tabs>
          <w:tab w:val="right" w:leader="dot" w:pos="8306"/>
        </w:tabs>
      </w:pPr>
      <w:hyperlink w:anchor="_Toc14695" w:history="1">
        <w:r>
          <w:rPr>
            <w:rFonts w:ascii="仿宋" w:eastAsia="仿宋" w:hAnsi="仿宋" w:cs="仿宋" w:hint="eastAsia"/>
            <w:lang w:eastAsia="zh-CN"/>
          </w:rPr>
          <w:t>(五)、防尘防毒措施</w:t>
        </w:r>
        <w:r>
          <w:tab/>
        </w:r>
        <w:r>
          <w:fldChar w:fldCharType="begin"/>
        </w:r>
        <w:r>
          <w:instrText xml:space="preserve"> PAGEREF _Toc14695 \h </w:instrText>
        </w:r>
        <w:r>
          <w:fldChar w:fldCharType="separate"/>
        </w:r>
        <w:r>
          <w:t>38</w:t>
        </w:r>
        <w:r>
          <w:fldChar w:fldCharType="end"/>
        </w:r>
      </w:hyperlink>
    </w:p>
    <w:p>
      <w:pPr>
        <w:pStyle w:val="TOC2"/>
        <w:tabs>
          <w:tab w:val="right" w:leader="dot" w:pos="8306"/>
        </w:tabs>
      </w:pPr>
      <w:hyperlink w:anchor="_Toc6964" w:history="1">
        <w:r>
          <w:rPr>
            <w:rFonts w:ascii="仿宋" w:eastAsia="仿宋" w:hAnsi="仿宋" w:cs="仿宋" w:hint="eastAsia"/>
            <w:lang w:eastAsia="zh-CN"/>
          </w:rPr>
          <w:t>(六)、防静电、触电防护及防雷措施</w:t>
        </w:r>
        <w:r>
          <w:tab/>
        </w:r>
        <w:r>
          <w:fldChar w:fldCharType="begin"/>
        </w:r>
        <w:r>
          <w:instrText xml:space="preserve"> PAGEREF _Toc6964 \h </w:instrText>
        </w:r>
        <w:r>
          <w:fldChar w:fldCharType="separate"/>
        </w:r>
        <w:r>
          <w:t>39</w:t>
        </w:r>
        <w:r>
          <w:fldChar w:fldCharType="end"/>
        </w:r>
      </w:hyperlink>
    </w:p>
    <w:p>
      <w:pPr>
        <w:pStyle w:val="TOC2"/>
        <w:tabs>
          <w:tab w:val="right" w:leader="dot" w:pos="8306"/>
        </w:tabs>
      </w:pPr>
      <w:hyperlink w:anchor="_Toc17889" w:history="1">
        <w:r>
          <w:rPr>
            <w:rFonts w:ascii="仿宋" w:eastAsia="仿宋" w:hAnsi="仿宋" w:cs="仿宋" w:hint="eastAsia"/>
            <w:lang w:eastAsia="zh-CN"/>
          </w:rPr>
          <w:t>(七)、机械设备安全保障措施</w:t>
        </w:r>
        <w:r>
          <w:tab/>
        </w:r>
        <w:r>
          <w:fldChar w:fldCharType="begin"/>
        </w:r>
        <w:r>
          <w:instrText xml:space="preserve"> PAGEREF _Toc17889 \h </w:instrText>
        </w:r>
        <w:r>
          <w:fldChar w:fldCharType="separate"/>
        </w:r>
        <w:r>
          <w:t>40</w:t>
        </w:r>
        <w:r>
          <w:fldChar w:fldCharType="end"/>
        </w:r>
      </w:hyperlink>
    </w:p>
    <w:p>
      <w:pPr>
        <w:pStyle w:val="TOC1"/>
        <w:tabs>
          <w:tab w:val="right" w:leader="dot" w:pos="8306"/>
        </w:tabs>
      </w:pPr>
      <w:hyperlink w:anchor="_Toc17675" w:history="1">
        <w:r>
          <w:rPr>
            <w:rFonts w:ascii="仿宋" w:eastAsia="仿宋" w:hAnsi="仿宋" w:cs="仿宋" w:hint="eastAsia"/>
            <w:lang w:eastAsia="zh-CN"/>
          </w:rPr>
          <w:t>十三、航天器总体电路项目实施保障措施</w:t>
        </w:r>
        <w:r>
          <w:tab/>
        </w:r>
        <w:r>
          <w:fldChar w:fldCharType="begin"/>
        </w:r>
        <w:r>
          <w:instrText xml:space="preserve"> PAGEREF _Toc17675 \h </w:instrText>
        </w:r>
        <w:r>
          <w:fldChar w:fldCharType="separate"/>
        </w:r>
        <w:r>
          <w:t>41</w:t>
        </w:r>
        <w:r>
          <w:fldChar w:fldCharType="end"/>
        </w:r>
      </w:hyperlink>
    </w:p>
    <w:p>
      <w:pPr>
        <w:pStyle w:val="TOC2"/>
        <w:tabs>
          <w:tab w:val="right" w:leader="dot" w:pos="8306"/>
        </w:tabs>
      </w:pPr>
      <w:hyperlink w:anchor="_Toc15275" w:history="1">
        <w:r>
          <w:rPr>
            <w:rFonts w:ascii="仿宋" w:eastAsia="仿宋" w:hAnsi="仿宋" w:cs="仿宋" w:hint="eastAsia"/>
            <w:lang w:eastAsia="zh-CN"/>
          </w:rPr>
          <w:t>(一)、航天器总体电路项目实施保障机制</w:t>
        </w:r>
        <w:r>
          <w:tab/>
        </w:r>
        <w:r>
          <w:fldChar w:fldCharType="begin"/>
        </w:r>
        <w:r>
          <w:instrText xml:space="preserve"> PAGEREF _Toc15275 \h </w:instrText>
        </w:r>
        <w:r>
          <w:fldChar w:fldCharType="separate"/>
        </w:r>
        <w:r>
          <w:t>41</w:t>
        </w:r>
        <w:r>
          <w:fldChar w:fldCharType="end"/>
        </w:r>
      </w:hyperlink>
    </w:p>
    <w:p>
      <w:pPr>
        <w:pStyle w:val="TOC2"/>
        <w:tabs>
          <w:tab w:val="right" w:leader="dot" w:pos="8306"/>
        </w:tabs>
      </w:pPr>
      <w:hyperlink w:anchor="_Toc26210" w:history="1">
        <w:r>
          <w:rPr>
            <w:rFonts w:ascii="仿宋" w:eastAsia="仿宋" w:hAnsi="仿宋" w:cs="仿宋" w:hint="eastAsia"/>
            <w:lang w:eastAsia="zh-CN"/>
          </w:rPr>
          <w:t>(二)、航天器总体电路项目法律合规要求</w:t>
        </w:r>
        <w:r>
          <w:tab/>
        </w:r>
        <w:r>
          <w:fldChar w:fldCharType="begin"/>
        </w:r>
        <w:r>
          <w:instrText xml:space="preserve"> PAGEREF _Toc26210 \h </w:instrText>
        </w:r>
        <w:r>
          <w:fldChar w:fldCharType="separate"/>
        </w:r>
        <w:r>
          <w:t>45</w:t>
        </w:r>
        <w:r>
          <w:fldChar w:fldCharType="end"/>
        </w:r>
      </w:hyperlink>
    </w:p>
    <w:p>
      <w:pPr>
        <w:pStyle w:val="TOC2"/>
        <w:tabs>
          <w:tab w:val="right" w:leader="dot" w:pos="8306"/>
        </w:tabs>
      </w:pPr>
      <w:hyperlink w:anchor="_Toc14763" w:history="1">
        <w:r>
          <w:rPr>
            <w:rFonts w:ascii="仿宋" w:eastAsia="仿宋" w:hAnsi="仿宋" w:cs="仿宋" w:hint="eastAsia"/>
            <w:lang w:eastAsia="zh-CN"/>
          </w:rPr>
          <w:t>(三)、航天器总体电路项目合同管理与法律事务</w:t>
        </w:r>
        <w:r>
          <w:tab/>
        </w:r>
        <w:r>
          <w:fldChar w:fldCharType="begin"/>
        </w:r>
        <w:r>
          <w:instrText xml:space="preserve"> PAGEREF _Toc14763 \h </w:instrText>
        </w:r>
        <w:r>
          <w:fldChar w:fldCharType="separate"/>
        </w:r>
        <w:r>
          <w:t>50</w:t>
        </w:r>
        <w:r>
          <w:fldChar w:fldCharType="end"/>
        </w:r>
      </w:hyperlink>
    </w:p>
    <w:p>
      <w:pPr>
        <w:pStyle w:val="TOC2"/>
        <w:tabs>
          <w:tab w:val="right" w:leader="dot" w:pos="8306"/>
        </w:tabs>
      </w:pPr>
      <w:hyperlink w:anchor="_Toc2038" w:history="1">
        <w:r>
          <w:rPr>
            <w:rFonts w:ascii="仿宋" w:eastAsia="仿宋" w:hAnsi="仿宋" w:cs="仿宋" w:hint="eastAsia"/>
            <w:lang w:eastAsia="zh-CN"/>
          </w:rPr>
          <w:t>(四)、航天器总体电路项目知识产权保护策略</w:t>
        </w:r>
        <w:r>
          <w:tab/>
        </w:r>
        <w:r>
          <w:fldChar w:fldCharType="begin"/>
        </w:r>
        <w:r>
          <w:instrText xml:space="preserve"> PAGEREF _Toc2038 \h </w:instrText>
        </w:r>
        <w:r>
          <w:fldChar w:fldCharType="separate"/>
        </w:r>
        <w:r>
          <w:t>56</w:t>
        </w:r>
        <w:r>
          <w:fldChar w:fldCharType="end"/>
        </w:r>
      </w:hyperlink>
    </w:p>
    <w:p>
      <w:pPr>
        <w:pStyle w:val="TOC1"/>
        <w:tabs>
          <w:tab w:val="right" w:leader="dot" w:pos="8306"/>
        </w:tabs>
      </w:pPr>
      <w:hyperlink w:anchor="_Toc15698" w:history="1">
        <w:r>
          <w:rPr>
            <w:rFonts w:ascii="仿宋" w:eastAsia="仿宋" w:hAnsi="仿宋" w:cs="仿宋" w:hint="eastAsia"/>
            <w:lang w:eastAsia="zh-CN"/>
          </w:rPr>
          <w:t>十四、航天器总体电路项目变更管理</w:t>
        </w:r>
        <w:r>
          <w:tab/>
        </w:r>
        <w:r>
          <w:fldChar w:fldCharType="begin"/>
        </w:r>
        <w:r>
          <w:instrText xml:space="preserve"> PAGEREF _Toc15698 \h </w:instrText>
        </w:r>
        <w:r>
          <w:fldChar w:fldCharType="separate"/>
        </w:r>
        <w:r>
          <w:t>59</w:t>
        </w:r>
        <w:r>
          <w:fldChar w:fldCharType="end"/>
        </w:r>
      </w:hyperlink>
    </w:p>
    <w:p>
      <w:pPr>
        <w:pStyle w:val="TOC2"/>
        <w:tabs>
          <w:tab w:val="right" w:leader="dot" w:pos="8306"/>
        </w:tabs>
      </w:pPr>
      <w:hyperlink w:anchor="_Toc4729" w:history="1">
        <w:r>
          <w:rPr>
            <w:rFonts w:ascii="仿宋" w:eastAsia="仿宋" w:hAnsi="仿宋" w:cs="仿宋" w:hint="eastAsia"/>
            <w:lang w:eastAsia="zh-CN"/>
          </w:rPr>
          <w:t>(一)、变更申请与评估</w:t>
        </w:r>
        <w:r>
          <w:tab/>
        </w:r>
        <w:r>
          <w:fldChar w:fldCharType="begin"/>
        </w:r>
        <w:r>
          <w:instrText xml:space="preserve"> PAGEREF _Toc4729 \h </w:instrText>
        </w:r>
        <w:r>
          <w:fldChar w:fldCharType="separate"/>
        </w:r>
        <w:r>
          <w:t>59</w:t>
        </w:r>
        <w:r>
          <w:fldChar w:fldCharType="end"/>
        </w:r>
      </w:hyperlink>
    </w:p>
    <w:p>
      <w:pPr>
        <w:pStyle w:val="TOC2"/>
        <w:tabs>
          <w:tab w:val="right" w:leader="dot" w:pos="8306"/>
        </w:tabs>
      </w:pPr>
      <w:hyperlink w:anchor="_Toc29062" w:history="1">
        <w:r>
          <w:rPr>
            <w:rFonts w:ascii="仿宋" w:eastAsia="仿宋" w:hAnsi="仿宋" w:cs="仿宋" w:hint="eastAsia"/>
            <w:lang w:eastAsia="zh-CN"/>
          </w:rPr>
          <w:t>(二)、变更实施与控制</w:t>
        </w:r>
        <w:r>
          <w:tab/>
        </w:r>
        <w:r>
          <w:fldChar w:fldCharType="begin"/>
        </w:r>
        <w:r>
          <w:instrText xml:space="preserve"> PAGEREF _Toc29062 \h </w:instrText>
        </w:r>
        <w:r>
          <w:fldChar w:fldCharType="separate"/>
        </w:r>
        <w:r>
          <w:t>59</w:t>
        </w:r>
        <w:r>
          <w:fldChar w:fldCharType="end"/>
        </w:r>
      </w:hyperlink>
    </w:p>
    <w:p>
      <w:pPr>
        <w:pStyle w:val="TOC1"/>
        <w:tabs>
          <w:tab w:val="right" w:leader="dot" w:pos="8306"/>
        </w:tabs>
      </w:pPr>
      <w:hyperlink w:anchor="_Toc15943" w:history="1">
        <w:r>
          <w:rPr>
            <w:rFonts w:ascii="仿宋" w:eastAsia="仿宋" w:hAnsi="仿宋" w:cs="仿宋" w:hint="eastAsia"/>
            <w:lang w:eastAsia="zh-CN"/>
          </w:rPr>
          <w:t>十五、营销与推广策略</w:t>
        </w:r>
        <w:r>
          <w:tab/>
        </w:r>
        <w:r>
          <w:fldChar w:fldCharType="begin"/>
        </w:r>
        <w:r>
          <w:instrText xml:space="preserve"> PAGEREF _Toc15943 \h </w:instrText>
        </w:r>
        <w:r>
          <w:fldChar w:fldCharType="separate"/>
        </w:r>
        <w:r>
          <w:t>60</w:t>
        </w:r>
        <w:r>
          <w:fldChar w:fldCharType="end"/>
        </w:r>
      </w:hyperlink>
    </w:p>
    <w:p>
      <w:pPr>
        <w:pStyle w:val="TOC2"/>
        <w:tabs>
          <w:tab w:val="right" w:leader="dot" w:pos="8306"/>
        </w:tabs>
      </w:pPr>
      <w:hyperlink w:anchor="_Toc18940" w:history="1">
        <w:r>
          <w:rPr>
            <w:rFonts w:ascii="仿宋" w:eastAsia="仿宋" w:hAnsi="仿宋" w:cs="仿宋" w:hint="eastAsia"/>
            <w:lang w:eastAsia="zh-CN"/>
          </w:rPr>
          <w:t>(一)、产品/服务定位与特点</w:t>
        </w:r>
        <w:r>
          <w:tab/>
        </w:r>
        <w:r>
          <w:fldChar w:fldCharType="begin"/>
        </w:r>
        <w:r>
          <w:instrText xml:space="preserve"> PAGEREF _Toc18940 \h </w:instrText>
        </w:r>
        <w:r>
          <w:fldChar w:fldCharType="separate"/>
        </w:r>
        <w:r>
          <w:t>60</w:t>
        </w:r>
        <w:r>
          <w:fldChar w:fldCharType="end"/>
        </w:r>
      </w:hyperlink>
    </w:p>
    <w:p>
      <w:pPr>
        <w:pStyle w:val="TOC2"/>
        <w:tabs>
          <w:tab w:val="right" w:leader="dot" w:pos="8306"/>
        </w:tabs>
      </w:pPr>
      <w:hyperlink w:anchor="_Toc486" w:history="1">
        <w:r>
          <w:rPr>
            <w:rFonts w:ascii="仿宋" w:eastAsia="仿宋" w:hAnsi="仿宋" w:cs="仿宋" w:hint="eastAsia"/>
            <w:lang w:eastAsia="zh-CN"/>
          </w:rPr>
          <w:t>(二)、市场定位与竞争分析</w:t>
        </w:r>
        <w:r>
          <w:tab/>
        </w:r>
        <w:r>
          <w:fldChar w:fldCharType="begin"/>
        </w:r>
        <w:r>
          <w:instrText xml:space="preserve"> PAGEREF _Toc486 \h </w:instrText>
        </w:r>
        <w:r>
          <w:fldChar w:fldCharType="separate"/>
        </w:r>
        <w:r>
          <w:t>61</w:t>
        </w:r>
        <w:r>
          <w:fldChar w:fldCharType="end"/>
        </w:r>
      </w:hyperlink>
    </w:p>
    <w:p>
      <w:pPr>
        <w:pStyle w:val="TOC2"/>
        <w:tabs>
          <w:tab w:val="right" w:leader="dot" w:pos="8306"/>
        </w:tabs>
      </w:pPr>
      <w:hyperlink w:anchor="_Toc30267" w:history="1">
        <w:r>
          <w:rPr>
            <w:rFonts w:ascii="仿宋" w:eastAsia="仿宋" w:hAnsi="仿宋" w:cs="仿宋" w:hint="eastAsia"/>
            <w:lang w:eastAsia="zh-CN"/>
          </w:rPr>
          <w:t>(三)、营销渠道与策略</w:t>
        </w:r>
        <w:r>
          <w:tab/>
        </w:r>
        <w:r>
          <w:fldChar w:fldCharType="begin"/>
        </w:r>
        <w:r>
          <w:instrText xml:space="preserve"> PAGEREF _Toc30267 \h </w:instrText>
        </w:r>
        <w:r>
          <w:fldChar w:fldCharType="separate"/>
        </w:r>
        <w:r>
          <w:t>63</w:t>
        </w:r>
        <w:r>
          <w:fldChar w:fldCharType="end"/>
        </w:r>
      </w:hyperlink>
    </w:p>
    <w:p>
      <w:pPr>
        <w:pStyle w:val="TOC2"/>
        <w:tabs>
          <w:tab w:val="right" w:leader="dot" w:pos="8306"/>
        </w:tabs>
      </w:pPr>
      <w:hyperlink w:anchor="_Toc32112" w:history="1">
        <w:r>
          <w:rPr>
            <w:rFonts w:ascii="仿宋" w:eastAsia="仿宋" w:hAnsi="仿宋" w:cs="仿宋" w:hint="eastAsia"/>
            <w:lang w:eastAsia="zh-CN"/>
          </w:rPr>
          <w:t>(四)、推广与宣传活动</w:t>
        </w:r>
        <w:r>
          <w:tab/>
        </w:r>
        <w:r>
          <w:fldChar w:fldCharType="begin"/>
        </w:r>
        <w:r>
          <w:instrText xml:space="preserve"> PAGEREF _Toc32112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94"/>
      <w:r>
        <w:rPr>
          <w:rFonts w:ascii="仿宋" w:eastAsia="仿宋" w:hAnsi="仿宋" w:cs="仿宋" w:hint="eastAsia"/>
          <w:sz w:val="28"/>
          <w:lang w:eastAsia="zh-CN"/>
        </w:rPr>
        <w:t>一、航天器总体电路项目建设单位说明</w:t>
      </w:r>
      <w:bookmarkEnd w:id="2"/>
    </w:p>
    <w:p>
      <w:pPr>
        <w:pStyle w:val="Heading2"/>
        <w:rPr>
          <w:rFonts w:ascii="仿宋" w:eastAsia="仿宋" w:hAnsi="仿宋" w:cs="仿宋" w:hint="eastAsia"/>
          <w:lang w:eastAsia="zh-CN"/>
        </w:rPr>
      </w:pPr>
      <w:bookmarkStart w:id="3" w:name="_Toc18603"/>
      <w:r>
        <w:rPr>
          <w:rFonts w:ascii="仿宋" w:eastAsia="仿宋" w:hAnsi="仿宋" w:cs="仿宋" w:hint="eastAsia"/>
          <w:lang w:eastAsia="zh-CN"/>
        </w:rPr>
        <w:t>(一)、航天器总体电路项目承办单位基本情况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4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总体电路项目承办单位的XXXX，我们着眼于实现可持续的经济效益。通过技术创新和解决方案的提供，公司预计在航天器总体电路项目执行期间将获得可观的收入增长。这一收入来源主要包括航天器总体电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同时，我们注重成本控制和效率提升，以确保航天器总体电路项目的可持续盈利。透过精细的管理和资源优化，公司期望实现航天器总体电路项目利润最大化。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总体电路项目实施进行全面的投资评估，包括航天器总体电路项目启动阶段的资金投入和后续运营成本。通过对航天器总体电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航天器总体电路项目实施过程中具备足够的资金流动性，公司将进行详尽的现金流分析。这包括资金需求的合理预测、航天器总体电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03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3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航天器总体电路项目的主要产品是XXXX，预计年产值为XXX万元。这一产品在市场中占据着重要的地位，其广泛的应用范围使得该航天器总体电路项目的市场前景非常广阔。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天器总体电路项目的xxx产品作为重要的原材料之一，将在多个领域发挥关键作用。其在建筑、交通、能源等方面的广泛应用将为整个产业链提供强大的支持，形成产业协同效应。航天器总体电路项目的年产值XXX万XXX万XXX万万元不仅反映了其在市场上的巨大潜力，更预示着它对国民经济的积极贡献。这种关联度高、涉及面广的产业关系，使得该航天器总体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51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总征地面积为XXXX平方米，相当于约XX.XX亩，其中净用地面积为XXXX平方米，红线范围内相当于约XX.XX亩。这一用地规模充分考虑了航天器总体电路项目的建设需求，保障了航天器总体电路项目在合适的空间内得以充分发展。航天器总体电路项目规划的总建筑面积为XXXX平方米，其中主体工程建设占XXXX平方米，计容建筑面积达XXXX平方米。预计建筑工程的投资将达到XXXX万元，为航天器总体电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计划购置的设备共计XXXX台（套），设备购置费用为XXXX万元。这一设备购置计划充分考虑到航天器总体电路项目的生产需求和技术要求，确保了航天器总体电路项目在生产运营中具备先进的技术装备和高效的生产能力。设备的合理配置将为航天器总体电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航天器总体电路项目计划总投资为XXXX万元，预计年实现营业收入为XXXX万元。这一产能规模的设定旨在确保航天器总体电路项目能够在投资与回报之间取得平衡，实现长期可持续的发展。航天器总体电路项目的总投资充分考虑到各个方面的需求，包括用地建设、设备购置等多个环节，以确保航天器总体电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441"/>
      <w:r>
        <w:rPr>
          <w:rFonts w:ascii="仿宋" w:eastAsia="仿宋" w:hAnsi="仿宋" w:cs="仿宋" w:hint="eastAsia"/>
          <w:sz w:val="28"/>
          <w:lang w:eastAsia="zh-CN"/>
        </w:rPr>
        <w:t>三、航天器总体电路项目绩效评估</w:t>
      </w:r>
      <w:bookmarkEnd w:id="8"/>
    </w:p>
    <w:p>
      <w:pPr>
        <w:pStyle w:val="Heading2"/>
        <w:rPr>
          <w:rFonts w:ascii="仿宋" w:eastAsia="仿宋" w:hAnsi="仿宋" w:cs="仿宋" w:hint="eastAsia"/>
          <w:lang w:eastAsia="zh-CN"/>
        </w:rPr>
      </w:pPr>
      <w:bookmarkStart w:id="9" w:name="_Toc2639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项目中，我们设计了一套全面的绩效评估指标，以确保航天器总体电路项目的可控和成功交付。这些指标跨足航天器总体电路项目目标、成本、进度和质量等多个维度，为我们提供了全面洞察航天器总体电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目标达成率是我们关注的首要指标。我们设定了明确的目标，并通过定期监测和评估，迅速发现并应对潜在的目标偏差。这为航天器总体电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成本绩效是另一个核心关注点。通过实际成本与预算成本的对比分析，我们深入了解成本差异的原因，及时调整资源分配，保持航天器总体电路项目在经济效益方面的合理水平。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进度作为关键的绩效指标之一，得到了精心的关注。我们制定了详细的航天器总体电路项目进度计划，并设立了进度符合度指标，确保实际进度与计划进度保持一致。这使我们能够快速发现和解决潜在的进度问题，保持航天器总体电路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总体电路项目绩效的不可或缺的一环。我们引入了一系列的质量标准和客户满意度指标，以确保航天器总体电路项目交付的成果在质量上达到或超越预期水平。通过持续监测这些指标，我们努力提升航天器总体电路项目整体质量水平，为航天器总体电路项目的成功交付提供有力保障。通过这些科学且全面的绩效评估，我们能够更好地引导航天器总体电路项目的持续改进，确保航天器总体电路项目目标的顺利达成。</w:t>
      </w:r>
    </w:p>
    <w:p>
      <w:pPr>
        <w:pStyle w:val="Heading2"/>
        <w:ind w:firstLine="560" w:firstLineChars="200"/>
        <w:rPr>
          <w:rFonts w:ascii="仿宋" w:eastAsia="仿宋" w:hAnsi="仿宋" w:cs="仿宋" w:hint="eastAsia"/>
          <w:sz w:val="28"/>
          <w:lang w:eastAsia="zh-CN"/>
        </w:rPr>
      </w:pPr>
      <w:bookmarkStart w:id="10" w:name="_Toc427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绩效评估是航天器总体电路项目中的关键环节，为确保航天器总体电路项目达到预期目标，我们采用了多层次、多维度的绩效评估方法。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总体电路项目的战略目标对齐，确保每个决策和行动都与航天器总体电路项目整体目标保持一致。团队会定期召开战略对齐会议，审视当前工作与航天器总体电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总体电路项目进度、质量、成本和风险等方面。这些指标通过数据收集和分析，为航天器总体电路项目管理团队提供了客观的评估依据。例如，我们通过航天器总体电路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航天器总体电路项目内部，还考虑了航天器总体电路项目对外部环境的影响。我们定期进行干系人满意度调查，以了解各利益相关方对航天器总体电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这种多层次、多角度的绩效评估方法，使得我们能够全面了解航天器总体电路项目的运行状态，及时做出调整，确保航天器总体电路项目在不断变化的环境中保持稳健前行。</w:t>
      </w:r>
    </w:p>
    <w:p>
      <w:pPr>
        <w:pStyle w:val="Heading2"/>
        <w:ind w:firstLine="560" w:firstLineChars="200"/>
        <w:rPr>
          <w:rFonts w:ascii="仿宋" w:eastAsia="仿宋" w:hAnsi="仿宋" w:cs="仿宋" w:hint="eastAsia"/>
          <w:sz w:val="28"/>
          <w:lang w:eastAsia="zh-CN"/>
        </w:rPr>
      </w:pPr>
      <w:bookmarkStart w:id="11" w:name="_Toc1438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为了确保航天器总体电路项目的有效管理和不断优化，我们采用了精心设计的绩效评估周期。这个周期旨在实现灵活、实时和全面的评估，以适应航天器总体电路项目执行中的各种挑战。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器总体电路项目的不同需求，分为短期、中期和长期。短期评估关注每个迭代或工作周期，以及时发现和解决当前任务中的问题。中期评估涵盖几个迭代，深入了解整体航天器总体电路项目的趋势和性能。长期评估则着眼于整个航天器总体电路项目阶段，确保航天器总体电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航天器总体电路项目管理工具和协作平台，团队成员能够随时更新和分享航天器总体电路项目数据。这种实时性的反馈机制使我们能够及时察觉潜在问题，快速调整，保持航天器总体电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天器总体电路项目的决策制定密不可分。每个周期的航天器总体电路项目回顾会议成为集体总结经验、识别问题深层次原因并找到创新解决方案的平台。这种定期的反思与调整机制使航天器总体电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10"/>
      <w:r>
        <w:rPr>
          <w:rFonts w:ascii="仿宋" w:eastAsia="仿宋" w:hAnsi="仿宋" w:cs="仿宋" w:hint="eastAsia"/>
          <w:sz w:val="28"/>
          <w:lang w:eastAsia="zh-CN"/>
        </w:rPr>
        <w:t>四、航天器总体电路项目文档管理</w:t>
      </w:r>
      <w:bookmarkEnd w:id="12"/>
    </w:p>
    <w:p>
      <w:pPr>
        <w:pStyle w:val="Heading2"/>
        <w:rPr>
          <w:rFonts w:ascii="仿宋" w:eastAsia="仿宋" w:hAnsi="仿宋" w:cs="仿宋" w:hint="eastAsia"/>
          <w:lang w:eastAsia="zh-CN"/>
        </w:rPr>
      </w:pPr>
      <w:bookmarkStart w:id="13" w:name="_Toc2494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航天器总体电路项目高度重视文档的质量和准确性，以支持航天器总体电路项目的各项活动和决策。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文档的编制始于航天器总体电路项目计划的初期，我们制定了详细的文档编制计划，明确了每个文档的内容、格式和编写责任人。在航天器总体电路项目启动阶段，我们首先编制了航天器总体电路项目章程，明确定义了航天器总体电路项目的目标、范围、风险等关键要素。随后，航天器总体电路项目团队根据计划陆续编制了需求文档、设计文档、测试文档等各类文档，确保航天器总体电路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器总体电路项目管理中的重要环节，旨在确保航天器总体电路项目文档符合质量标准和航天器总体电路项目需求。在航天器总体电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器总体电路项目相关利益方和专业领域的专家对文档进行独立审查。这有助于获取更全面、客观的反馈，确保航天器总体电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航天器总体电路项目在文档编制与审查方面建立了严格的管理机制，通过规范的流程和多维度的审查，确保航天器总体电路项目文档的质量、准确性和可靠性，为航天器总体电路项目的顺利推进提供了有力支持。</w:t>
      </w:r>
    </w:p>
    <w:p>
      <w:pPr>
        <w:pStyle w:val="Heading2"/>
        <w:ind w:firstLine="560" w:firstLineChars="200"/>
        <w:rPr>
          <w:rFonts w:ascii="仿宋" w:eastAsia="仿宋" w:hAnsi="仿宋" w:cs="仿宋" w:hint="eastAsia"/>
          <w:sz w:val="28"/>
          <w:lang w:eastAsia="zh-CN"/>
        </w:rPr>
      </w:pPr>
      <w:bookmarkStart w:id="14" w:name="_Toc2001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我们通过多渠道发布文档，包括电子邮件、航天器总体电路项目管理平台、内部网站等，以满足不同团队成员的偏好和需求。多渠道发布确保了信息的全面覆盖。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我们采用了精细的权限控制，确保只有授权人员可以访问敏感信息。这种安全措施保护了航天器总体电路项目文档的机密性，防止了未经授权的信息泄露。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00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天器总体电路项目生命周期中一个至关重要的环节，直接关系到航天器总体电路项目信息的长期保存和历史记录的完整性。在航天器总体电路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64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7520"/>
      <w:r>
        <w:rPr>
          <w:rFonts w:ascii="仿宋" w:eastAsia="仿宋" w:hAnsi="仿宋" w:cs="仿宋" w:hint="eastAsia"/>
          <w:lang w:eastAsia="zh-CN"/>
        </w:rPr>
        <w:t>(一)、航天器总体电路行业分析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行业一直以来都是市场的关注焦点。行业内的发展趋势、竞争态势以及潜在机会都对航天器总体电路项目的推进产生深远的影响。通过深入研究行业的整体概貌，我们将更好地理解行业的核心特征，为航天器总体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行业，技术一直是推动创新和发展的关键因素。我们将对当前技术趋势进行详尽分析，包括但不限于人工智能、大数据应用、先进制造技术等。这有助于航天器总体电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天器总体电路项目成功的基础。我们将对主要竞争对手进行深入研究，包括其市场份额、产品特点、市场定位等。通过全面了解竞争对手的优势和劣势，航天器总体电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6928"/>
      <w:r>
        <w:rPr>
          <w:rFonts w:ascii="仿宋" w:eastAsia="仿宋" w:hAnsi="仿宋" w:cs="仿宋" w:hint="eastAsia"/>
          <w:sz w:val="28"/>
          <w:lang w:eastAsia="zh-CN"/>
        </w:rPr>
        <w:t>(二)、航天器总体电路市场分析预测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天器总体电路市场未来的增长趋势。这包括市场的整体规模、各细分领域的发展趋势等。航天器总体电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天器总体电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天器总体电路项目实施过程中需要充分考虑的因素。我们将对市场风险进行全面评估，包括但不限于政策法规风险、市场竞争风险、技术变革风险等。通过对潜在风险的深入分析，航天器总体电路项目可以制定相应的风险缓解策略，降低不确定性对航天器总体电路项目的影响。</w:t>
      </w:r>
    </w:p>
    <w:p>
      <w:pPr>
        <w:pStyle w:val="Heading1"/>
        <w:ind w:firstLine="560" w:firstLineChars="200"/>
        <w:rPr>
          <w:rFonts w:ascii="仿宋" w:eastAsia="仿宋" w:hAnsi="仿宋" w:cs="仿宋" w:hint="eastAsia"/>
          <w:sz w:val="28"/>
          <w:lang w:eastAsia="zh-CN"/>
        </w:rPr>
      </w:pPr>
      <w:bookmarkStart w:id="19" w:name="_Toc9272"/>
      <w:r>
        <w:rPr>
          <w:rFonts w:ascii="仿宋" w:eastAsia="仿宋" w:hAnsi="仿宋" w:cs="仿宋" w:hint="eastAsia"/>
          <w:sz w:val="28"/>
          <w:lang w:eastAsia="zh-CN"/>
        </w:rPr>
        <w:t>六、航天器总体电路项目可持续发展</w:t>
      </w:r>
      <w:bookmarkEnd w:id="19"/>
    </w:p>
    <w:p>
      <w:pPr>
        <w:pStyle w:val="Heading2"/>
        <w:rPr>
          <w:rFonts w:ascii="仿宋" w:eastAsia="仿宋" w:hAnsi="仿宋" w:cs="仿宋" w:hint="eastAsia"/>
          <w:lang w:eastAsia="zh-CN"/>
        </w:rPr>
      </w:pPr>
      <w:bookmarkStart w:id="20" w:name="_Toc27785"/>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项目中，航天器总体电路项目团队着眼于未来，明确了可持续发展的战略方向。制定的具体可持续发展目标包括降低资源使用、采用环保技术、最大化社会效益等。这一步骤不仅有助于航天器总体电路项目在环保和社会责任方面达到最高标准，也为未来提供了明确的指引，确保航天器总体电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可持续实践的融入航天器总体电路项目管理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天器总体电路项目管理周期。从航天器总体电路项目规划开始，航天器总体电路项目团队就考虑了环境和社会的因素。在执行阶段，航天器总体电路项目团队积极推动绿色技术的应用，优化资源利用。此外，关注员工的社会责任，通过培训和沟通活动提高员工对可持续发展的认知，使他们能够在日常工作中践行可持续实践。这些举措不仅为航天器总体电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685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扎根于航天器总体电路项目的可持续发展理念，我们深信环保与社会责任是航天器总体电路项目成功的关键支柱。在航天器总体电路项目的每一步，我们都致力于通过创新和实践，履行对环境和社会的坚定责任。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团队通过引入先进的环保技术、建立高效的废物处理系统以及推动能源节约措施，积极履行环保责任。定期的环保监测和评估确保航天器总体电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https://d.book118.com/808061005000006033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8F7599"/>
    <w:rsid w:val="428F75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6100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2024-01-30T20:18:00Z</dcterms:created>
  <dcterms:modified xsi:type="dcterms:W3CDTF">2024-01-30T20:18:22Z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B9D34543EC36493F901056932FDA4BB8_11</vt:lpwstr>
  </property>
  <property fmtid="{D5CDD505-2E9C-101B-9397-08002B2CF9AE}" pid="3" name="KSOProductBuildVer">
    <vt:lpwstr>2052-12.1.0.16250</vt:lpwstr>
  </property>
</Properties>
</file>