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26"/>
        </w:rPr>
      </w:pPr>
    </w:p>
    <w:p>
      <w:pPr>
        <w:pStyle w:val="Title"/>
      </w:pPr>
      <w:r>
        <w:t>安全评价治理方法</w:t>
      </w:r>
    </w:p>
    <w:p>
      <w:pPr>
        <w:pStyle w:val="BodyText"/>
        <w:rPr>
          <w:rFonts w:ascii="幼圆"/>
          <w:sz w:val="108"/>
        </w:rPr>
      </w:pPr>
    </w:p>
    <w:p>
      <w:pPr>
        <w:pStyle w:val="BodyText"/>
        <w:spacing w:before="12"/>
        <w:rPr>
          <w:rFonts w:ascii="幼圆"/>
          <w:sz w:val="79"/>
        </w:rPr>
      </w:pPr>
    </w:p>
    <w:p>
      <w:pPr>
        <w:tabs>
          <w:tab w:val="left" w:pos="6556"/>
        </w:tabs>
        <w:spacing w:before="0" w:line="2810" w:lineRule="atLeast"/>
        <w:ind w:left="4219" w:right="9692" w:firstLine="0"/>
        <w:jc w:val="left"/>
        <w:rPr>
          <w:rFonts w:ascii="华文中宋" w:eastAsia="华文中宋" w:hint="eastAsia"/>
          <w:sz w:val="78"/>
        </w:rPr>
      </w:pPr>
      <w:r>
        <w:drawing>
          <wp:anchor distT="0" distB="0" distL="0" distR="0" simplePos="0" relativeHeight="251658240" behindDoc="0" locked="0" layoutInCell="1" allowOverlap="1">
            <wp:simplePos x="0" y="0"/>
            <wp:positionH relativeFrom="page">
              <wp:posOffset>5181600</wp:posOffset>
            </wp:positionH>
            <wp:positionV relativeFrom="paragraph">
              <wp:posOffset>1945513</wp:posOffset>
            </wp:positionV>
            <wp:extent cx="3492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4925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5181600</wp:posOffset>
            </wp:positionH>
            <wp:positionV relativeFrom="paragraph">
              <wp:posOffset>5514213</wp:posOffset>
            </wp:positionV>
            <wp:extent cx="34925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3492500" cy="38100"/>
                    </a:xfrm>
                    <a:prstGeom prst="rect">
                      <a:avLst/>
                    </a:prstGeom>
                  </pic:spPr>
                </pic:pic>
              </a:graphicData>
            </a:graphic>
          </wp:anchor>
        </w:drawing>
      </w:r>
      <w:r>
        <w:rPr>
          <w:rFonts w:ascii="华文中宋" w:eastAsia="华文中宋" w:hint="eastAsia"/>
          <w:sz w:val="78"/>
        </w:rPr>
        <w:t>公司名称：</w:t>
      </w:r>
      <w:r>
        <w:rPr>
          <w:rFonts w:ascii="华文中宋" w:eastAsia="华文中宋" w:hint="eastAsia"/>
          <w:spacing w:val="-247"/>
          <w:sz w:val="78"/>
        </w:rPr>
        <w:t xml:space="preserve"> </w:t>
      </w:r>
      <w:r>
        <w:rPr>
          <w:rFonts w:ascii="华文中宋" w:eastAsia="华文中宋" w:hint="eastAsia"/>
          <w:sz w:val="78"/>
        </w:rPr>
        <w:t>单</w:t>
        <w:tab/>
      </w:r>
      <w:r>
        <w:rPr>
          <w:rFonts w:ascii="华文中宋" w:eastAsia="华文中宋" w:hint="eastAsia"/>
          <w:spacing w:val="-5"/>
          <w:sz w:val="78"/>
        </w:rPr>
        <w:t>位</w:t>
      </w:r>
      <w:r>
        <w:rPr>
          <w:rFonts w:ascii="华文中宋" w:eastAsia="华文中宋" w:hint="eastAsia"/>
          <w:spacing w:val="-4"/>
          <w:sz w:val="78"/>
        </w:rPr>
        <w:t>：</w:t>
      </w:r>
    </w:p>
    <w:p>
      <w:pPr>
        <w:pStyle w:val="BodyText"/>
        <w:spacing w:before="3"/>
        <w:rPr>
          <w:rFonts w:ascii="华文中宋"/>
          <w:sz w:val="14"/>
        </w:rPr>
      </w:pPr>
      <w:r>
        <w:pict>
          <v:shape id="_x0000_s1025" style="width:275pt;height:0.1pt;margin-top:14.22pt;margin-left:408pt;mso-position-horizontal-relative:page;mso-wrap-distance-left:0;mso-wrap-distance-right:0;position:absolute;z-index:-251656192" coordorigin="8160,284" coordsize="5500,0" path="m8160,284l13660,284e" filled="f" stroked="t" strokecolor="black" strokeweight="2pt">
            <v:stroke dashstyle="longDash"/>
            <v:path arrowok="t"/>
            <w10:wrap type="topAndBottom"/>
          </v:shape>
        </w:pict>
      </w:r>
    </w:p>
    <w:p>
      <w:pPr>
        <w:tabs>
          <w:tab w:val="left" w:pos="6556"/>
        </w:tabs>
        <w:spacing w:before="0" w:after="59" w:line="2746" w:lineRule="exact"/>
        <w:ind w:left="4219" w:right="9692" w:firstLine="0"/>
        <w:jc w:val="left"/>
        <w:rPr>
          <w:rFonts w:ascii="华文中宋" w:eastAsia="华文中宋" w:hint="eastAsia"/>
          <w:sz w:val="78"/>
        </w:rPr>
      </w:pPr>
      <w:r>
        <w:rPr>
          <w:rFonts w:ascii="华文中宋" w:eastAsia="华文中宋" w:hint="eastAsia"/>
          <w:sz w:val="78"/>
        </w:rPr>
        <w:t>部门领导：</w:t>
      </w:r>
      <w:r>
        <w:rPr>
          <w:rFonts w:ascii="华文中宋" w:eastAsia="华文中宋" w:hint="eastAsia"/>
          <w:spacing w:val="-247"/>
          <w:sz w:val="78"/>
        </w:rPr>
        <w:t xml:space="preserve"> </w:t>
      </w:r>
      <w:r>
        <w:rPr>
          <w:rFonts w:ascii="华文中宋" w:eastAsia="华文中宋" w:hint="eastAsia"/>
          <w:sz w:val="78"/>
        </w:rPr>
        <w:t>编</w:t>
        <w:tab/>
      </w:r>
      <w:r>
        <w:rPr>
          <w:rFonts w:ascii="华文中宋" w:eastAsia="华文中宋" w:hint="eastAsia"/>
          <w:spacing w:val="-5"/>
          <w:sz w:val="78"/>
        </w:rPr>
        <w:t>制</w:t>
      </w:r>
      <w:r>
        <w:rPr>
          <w:rFonts w:ascii="华文中宋" w:eastAsia="华文中宋" w:hint="eastAsia"/>
          <w:spacing w:val="-4"/>
          <w:sz w:val="78"/>
        </w:rPr>
        <w:t>：</w:t>
      </w:r>
    </w:p>
    <w:p>
      <w:pPr>
        <w:pStyle w:val="BodyText"/>
        <w:spacing w:line="40" w:lineRule="exact"/>
        <w:ind w:left="8100"/>
        <w:rPr>
          <w:rFonts w:ascii="华文中宋"/>
          <w:sz w:val="4"/>
        </w:rPr>
      </w:pPr>
      <w:r>
        <w:rPr>
          <w:rFonts w:ascii="华文中宋"/>
          <w:position w:val="0"/>
          <w:sz w:val="4"/>
        </w:rPr>
        <w:pict>
          <v:group id="_x0000_i1026" style="width:275pt;height:2pt;mso-position-horizontal-relative:char;mso-position-vertical-relative:line" coordorigin="0,0" coordsize="5500,40">
            <v:line id="_x0000_s1027" style="position:absolute" from="0,20" to="5500,20" stroked="t" strokecolor="black" strokeweight="2pt">
              <v:stroke dashstyle="longDash"/>
            </v:line>
            <w10:wrap type="none"/>
          </v:group>
        </w:pict>
      </w:r>
    </w:p>
    <w:p>
      <w:pPr>
        <w:pStyle w:val="BodyText"/>
        <w:rPr>
          <w:rFonts w:ascii="华文中宋"/>
          <w:sz w:val="104"/>
        </w:rPr>
      </w:pPr>
    </w:p>
    <w:p>
      <w:pPr>
        <w:pStyle w:val="BodyText"/>
        <w:spacing w:before="2"/>
        <w:rPr>
          <w:rFonts w:ascii="华文中宋"/>
          <w:sz w:val="149"/>
        </w:rPr>
      </w:pPr>
    </w:p>
    <w:p>
      <w:pPr>
        <w:spacing w:before="0"/>
        <w:ind w:left="11269" w:right="0" w:firstLine="0"/>
        <w:jc w:val="left"/>
        <w:rPr>
          <w:rFonts w:ascii="华文中宋" w:eastAsia="华文中宋" w:hint="eastAsia"/>
          <w:sz w:val="42"/>
        </w:rPr>
      </w:pPr>
      <w:r>
        <w:rPr>
          <w:rFonts w:ascii="华文中宋" w:eastAsia="华文中宋" w:hint="eastAsia"/>
          <w:sz w:val="42"/>
        </w:rPr>
        <w:t>XX</w:t>
      </w:r>
      <w:r>
        <w:rPr>
          <w:rFonts w:ascii="华文中宋" w:eastAsia="华文中宋" w:hint="eastAsia"/>
          <w:spacing w:val="36"/>
          <w:sz w:val="42"/>
        </w:rPr>
        <w:t xml:space="preserve"> 年</w:t>
      </w:r>
      <w:r>
        <w:rPr>
          <w:rFonts w:ascii="华文中宋" w:eastAsia="华文中宋" w:hint="eastAsia"/>
          <w:sz w:val="42"/>
        </w:rPr>
        <w:t>XX</w:t>
      </w:r>
      <w:r>
        <w:rPr>
          <w:rFonts w:ascii="华文中宋" w:eastAsia="华文中宋" w:hint="eastAsia"/>
          <w:spacing w:val="37"/>
          <w:sz w:val="42"/>
        </w:rPr>
        <w:t xml:space="preserve"> 月</w:t>
      </w:r>
      <w:r>
        <w:rPr>
          <w:rFonts w:ascii="华文中宋" w:eastAsia="华文中宋" w:hint="eastAsia"/>
          <w:sz w:val="42"/>
        </w:rPr>
        <w:t>XX</w:t>
      </w:r>
      <w:r>
        <w:rPr>
          <w:rFonts w:ascii="华文中宋" w:eastAsia="华文中宋" w:hint="eastAsia"/>
          <w:spacing w:val="-14"/>
          <w:sz w:val="42"/>
        </w:rPr>
        <w:t xml:space="preserve"> 日</w:t>
      </w:r>
    </w:p>
    <w:p>
      <w:pPr>
        <w:spacing w:after="0"/>
        <w:jc w:val="left"/>
        <w:rPr>
          <w:rFonts w:ascii="华文中宋" w:eastAsia="华文中宋" w:hint="eastAsia"/>
          <w:sz w:val="42"/>
        </w:rPr>
        <w:sectPr>
          <w:type w:val="continuous"/>
          <w:pgSz w:w="17860" w:h="25260"/>
          <w:pgMar w:top="2420" w:right="0" w:bottom="280" w:left="40" w:header="708" w:footer="708"/>
          <w:cols w:space="708"/>
        </w:sectPr>
      </w:pPr>
    </w:p>
    <w:p>
      <w:pPr>
        <w:pStyle w:val="Heading3"/>
        <w:spacing w:before="13"/>
        <w:ind w:left="7536"/>
      </w:pPr>
      <w:r>
        <w:rPr>
          <w:spacing w:val="35"/>
        </w:rPr>
        <w:t>第一章 总则</w:t>
      </w:r>
    </w:p>
    <w:p>
      <w:pPr>
        <w:pStyle w:val="BodyText"/>
        <w:spacing w:before="359" w:line="388" w:lineRule="auto"/>
        <w:ind w:left="2660" w:right="2604" w:firstLine="899"/>
        <w:jc w:val="both"/>
      </w:pPr>
      <w:r>
        <w:t>第一条 为贯彻“安全第一，预防为主”安全生产方针，加</w:t>
      </w:r>
      <w:r>
        <w:rPr>
          <w:spacing w:val="-9"/>
        </w:rPr>
        <w:t>强对从事安全评价机构的治理，标准安全评价工作，保证安全评</w:t>
      </w:r>
      <w:r>
        <w:t>价质量，依据《安全生产法</w:t>
      </w:r>
      <w:r>
        <w:rPr>
          <w:spacing w:val="-35"/>
        </w:rPr>
        <w:t>》、《安全生产许可证条例》和《安全</w:t>
      </w:r>
      <w:r>
        <w:t>评价机构治理规定</w:t>
      </w:r>
      <w:r>
        <w:rPr>
          <w:spacing w:val="-274"/>
        </w:rPr>
        <w:t>》</w:t>
      </w:r>
      <w:r>
        <w:t>〔</w:t>
      </w:r>
      <w:r>
        <w:rPr>
          <w:spacing w:val="-25"/>
        </w:rPr>
        <w:t xml:space="preserve">国家局 </w:t>
      </w:r>
      <w:r>
        <w:rPr>
          <w:rFonts w:ascii="Arial Narrow" w:eastAsia="Arial Narrow" w:hAnsi="Arial Narrow"/>
        </w:rPr>
        <w:t>13</w:t>
      </w:r>
      <w:r>
        <w:rPr>
          <w:rFonts w:ascii="Arial Narrow" w:eastAsia="Arial Narrow" w:hAnsi="Arial Narrow"/>
          <w:spacing w:val="18"/>
        </w:rPr>
        <w:t xml:space="preserve"> </w:t>
      </w:r>
      <w:r>
        <w:t>号令〕等有关法律、法规制定本方法。</w:t>
      </w:r>
    </w:p>
    <w:p>
      <w:pPr>
        <w:pStyle w:val="BodyText"/>
        <w:spacing w:before="11" w:line="388" w:lineRule="auto"/>
        <w:ind w:left="2660" w:right="2769" w:firstLine="899"/>
        <w:jc w:val="both"/>
      </w:pPr>
      <w:r>
        <w:rPr>
          <w:spacing w:val="-1"/>
        </w:rPr>
        <w:t>其次条 本省行政区域内的安全评价活动及其治理活动适用</w:t>
      </w:r>
      <w:r>
        <w:t>本方法。法律、法规另有规定的从其规定。</w:t>
      </w:r>
    </w:p>
    <w:p>
      <w:pPr>
        <w:pStyle w:val="BodyText"/>
        <w:spacing w:before="4" w:line="388" w:lineRule="auto"/>
        <w:ind w:left="2660" w:right="2700" w:firstLine="899"/>
      </w:pPr>
      <w:r>
        <w:rPr>
          <w:spacing w:val="6"/>
        </w:rPr>
        <w:t>第三条 国家对评价机构和评价人员实行资质认可治理制</w:t>
      </w:r>
      <w:r>
        <w:rPr>
          <w:spacing w:val="-12"/>
        </w:rPr>
        <w:t>度，未取得资质证书的机构和人员不得担当安全评价工作。各级</w:t>
      </w:r>
      <w:r>
        <w:t>安全生产监管部门对本辖区内的评价机构及安全评价工作实行监视治理。</w:t>
      </w:r>
    </w:p>
    <w:p>
      <w:pPr>
        <w:pStyle w:val="Heading3"/>
        <w:spacing w:before="8"/>
        <w:jc w:val="left"/>
      </w:pPr>
      <w:r>
        <w:rPr>
          <w:spacing w:val="26"/>
        </w:rPr>
        <w:t>其次章 安全评价</w:t>
      </w:r>
    </w:p>
    <w:p>
      <w:pPr>
        <w:pStyle w:val="BodyText"/>
        <w:spacing w:before="360"/>
        <w:ind w:left="3560"/>
      </w:pPr>
      <w:r>
        <w:t>第四条 依法必需实施的安全评价包括：</w:t>
      </w:r>
    </w:p>
    <w:p>
      <w:pPr>
        <w:pStyle w:val="BodyText"/>
        <w:spacing w:before="359" w:line="388" w:lineRule="auto"/>
        <w:ind w:left="2660" w:right="2558" w:firstLine="899"/>
      </w:pPr>
      <w:r>
        <w:rPr>
          <w:spacing w:val="-1"/>
        </w:rPr>
        <w:t>〔一〕以下建、改建、扩建、迁建工程</w:t>
      </w:r>
      <w:r>
        <w:t>〔工程〕的安全预评价和验收评价：</w:t>
      </w:r>
    </w:p>
    <w:p>
      <w:pPr>
        <w:pStyle w:val="BodyText"/>
        <w:spacing w:before="4"/>
        <w:ind w:left="3560"/>
      </w:pPr>
      <w:r>
        <w:rPr>
          <w:rFonts w:ascii="Arial Narrow" w:eastAsia="Arial Narrow"/>
        </w:rPr>
        <w:t>1</w:t>
      </w:r>
      <w:r>
        <w:t>、国家建设工程划分标准规定中的大中型建设工程；</w:t>
      </w:r>
    </w:p>
    <w:p>
      <w:pPr>
        <w:pStyle w:val="BodyText"/>
        <w:spacing w:before="359"/>
        <w:ind w:left="3560"/>
      </w:pPr>
      <w:r>
        <w:rPr>
          <w:rFonts w:ascii="Arial Narrow" w:eastAsia="Arial Narrow"/>
        </w:rPr>
        <w:t>2</w:t>
      </w:r>
      <w:r>
        <w:t>、火灾危急性生产类别为甲类的建设工程；</w:t>
      </w:r>
    </w:p>
    <w:p>
      <w:pPr>
        <w:pStyle w:val="BodyText"/>
        <w:spacing w:before="361" w:line="388" w:lineRule="auto"/>
        <w:ind w:left="2660" w:right="2780" w:firstLine="899"/>
      </w:pPr>
      <w:r>
        <w:rPr>
          <w:rFonts w:ascii="Arial Narrow" w:eastAsia="Arial Narrow"/>
        </w:rPr>
        <w:t>3</w:t>
      </w:r>
      <w:r>
        <w:t>、爆炸危急场所等级为特别危急场所和高度危急场所的建设工程；</w:t>
      </w:r>
    </w:p>
    <w:p>
      <w:pPr>
        <w:pStyle w:val="BodyText"/>
        <w:spacing w:before="4" w:line="388" w:lineRule="auto"/>
        <w:ind w:left="2660" w:right="2780" w:firstLine="899"/>
      </w:pPr>
      <w:r>
        <w:rPr>
          <w:rFonts w:ascii="Arial Narrow" w:eastAsia="Arial Narrow" w:hAnsi="Arial Narrow"/>
        </w:rPr>
        <w:t>4</w:t>
      </w:r>
      <w:r>
        <w:t>、大量生产和使用Ⅰ级、Ⅱ级危害程度的职业性接触毒物的建设工程；</w:t>
      </w:r>
    </w:p>
    <w:p>
      <w:pPr>
        <w:spacing w:after="0" w:line="388"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https://d.book118.com/808073067077006023</w:t>
        </w:r>
      </w:hyperlink>
    </w:p>
    <w:p>
      <w:pPr>
        <w:spacing w:after="0" w:line="388" w:lineRule="auto"/>
      </w:pPr>
    </w:p>
    <w:sectPr>
      <w:pgSz w:w="17860" w:h="25260"/>
      <w:pgMar w:top="1920" w:right="0" w:bottom="280" w:left="4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B3BC4F"/>
    <w:multiLevelType w:val="hybridMultilevel"/>
    <w:tmpl w:val="00000000"/>
    <w:lvl w:ilvl="0">
      <w:start w:val="2"/>
      <w:numFmt w:val="decimal"/>
      <w:lvlText w:val="%1."/>
      <w:lvlJc w:val="left"/>
      <w:pPr>
        <w:ind w:left="2776" w:hanging="318"/>
        <w:jc w:val="left"/>
      </w:pPr>
      <w:rPr>
        <w:rFonts w:ascii="宋体" w:eastAsia="宋体" w:hAnsi="宋体" w:cs="宋体" w:hint="default"/>
        <w:w w:val="102"/>
        <w:sz w:val="29"/>
        <w:szCs w:val="29"/>
      </w:rPr>
    </w:lvl>
    <w:lvl w:ilvl="1">
      <w:start w:val="0"/>
      <w:numFmt w:val="bullet"/>
      <w:lvlText w:val="•"/>
      <w:lvlJc w:val="left"/>
      <w:pPr>
        <w:ind w:left="4283" w:hanging="318"/>
      </w:pPr>
      <w:rPr>
        <w:rFonts w:hint="default"/>
      </w:rPr>
    </w:lvl>
    <w:lvl w:ilvl="2">
      <w:start w:val="0"/>
      <w:numFmt w:val="bullet"/>
      <w:lvlText w:val="•"/>
      <w:lvlJc w:val="left"/>
      <w:pPr>
        <w:ind w:left="5787" w:hanging="318"/>
      </w:pPr>
      <w:rPr>
        <w:rFonts w:hint="default"/>
      </w:rPr>
    </w:lvl>
    <w:lvl w:ilvl="3">
      <w:start w:val="0"/>
      <w:numFmt w:val="bullet"/>
      <w:lvlText w:val="•"/>
      <w:lvlJc w:val="left"/>
      <w:pPr>
        <w:ind w:left="7291" w:hanging="318"/>
      </w:pPr>
      <w:rPr>
        <w:rFonts w:hint="default"/>
      </w:rPr>
    </w:lvl>
    <w:lvl w:ilvl="4">
      <w:start w:val="0"/>
      <w:numFmt w:val="bullet"/>
      <w:lvlText w:val="•"/>
      <w:lvlJc w:val="left"/>
      <w:pPr>
        <w:ind w:left="8795" w:hanging="318"/>
      </w:pPr>
      <w:rPr>
        <w:rFonts w:hint="default"/>
      </w:rPr>
    </w:lvl>
    <w:lvl w:ilvl="5">
      <w:start w:val="0"/>
      <w:numFmt w:val="bullet"/>
      <w:lvlText w:val="•"/>
      <w:lvlJc w:val="left"/>
      <w:pPr>
        <w:ind w:left="10299" w:hanging="318"/>
      </w:pPr>
      <w:rPr>
        <w:rFonts w:hint="default"/>
      </w:rPr>
    </w:lvl>
    <w:lvl w:ilvl="6">
      <w:start w:val="0"/>
      <w:numFmt w:val="bullet"/>
      <w:lvlText w:val="•"/>
      <w:lvlJc w:val="left"/>
      <w:pPr>
        <w:ind w:left="11803" w:hanging="318"/>
      </w:pPr>
      <w:rPr>
        <w:rFonts w:hint="default"/>
      </w:rPr>
    </w:lvl>
    <w:lvl w:ilvl="7">
      <w:start w:val="0"/>
      <w:numFmt w:val="bullet"/>
      <w:lvlText w:val="•"/>
      <w:lvlJc w:val="left"/>
      <w:pPr>
        <w:ind w:left="13307" w:hanging="318"/>
      </w:pPr>
      <w:rPr>
        <w:rFonts w:hint="default"/>
      </w:rPr>
    </w:lvl>
    <w:lvl w:ilvl="8">
      <w:start w:val="0"/>
      <w:numFmt w:val="bullet"/>
      <w:lvlText w:val="•"/>
      <w:lvlJc w:val="left"/>
      <w:pPr>
        <w:ind w:left="14811" w:hanging="318"/>
      </w:pPr>
      <w:rPr>
        <w:rFonts w:hint="default"/>
      </w:rPr>
    </w:lvl>
  </w:abstractNum>
  <w:abstractNum w:abstractNumId="1">
    <w:nsid w:val="3EF2F5AC"/>
    <w:multiLevelType w:val="hybridMultilevel"/>
    <w:tmpl w:val="00000000"/>
    <w:lvl w:ilvl="0">
      <w:start w:val="2"/>
      <w:numFmt w:val="decimal"/>
      <w:lvlText w:val="%1."/>
      <w:lvlJc w:val="left"/>
      <w:pPr>
        <w:ind w:left="2657" w:hanging="378"/>
        <w:jc w:val="left"/>
      </w:pPr>
      <w:rPr>
        <w:rFonts w:ascii="宋体" w:eastAsia="宋体" w:hAnsi="宋体" w:cs="宋体" w:hint="default"/>
        <w:spacing w:val="7"/>
        <w:w w:val="99"/>
        <w:sz w:val="34"/>
        <w:szCs w:val="34"/>
      </w:rPr>
    </w:lvl>
    <w:lvl w:ilvl="1">
      <w:start w:val="0"/>
      <w:numFmt w:val="bullet"/>
      <w:lvlText w:val="•"/>
      <w:lvlJc w:val="left"/>
      <w:pPr>
        <w:ind w:left="4175" w:hanging="378"/>
      </w:pPr>
      <w:rPr>
        <w:rFonts w:hint="default"/>
      </w:rPr>
    </w:lvl>
    <w:lvl w:ilvl="2">
      <w:start w:val="0"/>
      <w:numFmt w:val="bullet"/>
      <w:lvlText w:val="•"/>
      <w:lvlJc w:val="left"/>
      <w:pPr>
        <w:ind w:left="5691" w:hanging="378"/>
      </w:pPr>
      <w:rPr>
        <w:rFonts w:hint="default"/>
      </w:rPr>
    </w:lvl>
    <w:lvl w:ilvl="3">
      <w:start w:val="0"/>
      <w:numFmt w:val="bullet"/>
      <w:lvlText w:val="•"/>
      <w:lvlJc w:val="left"/>
      <w:pPr>
        <w:ind w:left="7207" w:hanging="378"/>
      </w:pPr>
      <w:rPr>
        <w:rFonts w:hint="default"/>
      </w:rPr>
    </w:lvl>
    <w:lvl w:ilvl="4">
      <w:start w:val="0"/>
      <w:numFmt w:val="bullet"/>
      <w:lvlText w:val="•"/>
      <w:lvlJc w:val="left"/>
      <w:pPr>
        <w:ind w:left="8723" w:hanging="378"/>
      </w:pPr>
      <w:rPr>
        <w:rFonts w:hint="default"/>
      </w:rPr>
    </w:lvl>
    <w:lvl w:ilvl="5">
      <w:start w:val="0"/>
      <w:numFmt w:val="bullet"/>
      <w:lvlText w:val="•"/>
      <w:lvlJc w:val="left"/>
      <w:pPr>
        <w:ind w:left="10239" w:hanging="378"/>
      </w:pPr>
      <w:rPr>
        <w:rFonts w:hint="default"/>
      </w:rPr>
    </w:lvl>
    <w:lvl w:ilvl="6">
      <w:start w:val="0"/>
      <w:numFmt w:val="bullet"/>
      <w:lvlText w:val="•"/>
      <w:lvlJc w:val="left"/>
      <w:pPr>
        <w:ind w:left="11755" w:hanging="378"/>
      </w:pPr>
      <w:rPr>
        <w:rFonts w:hint="default"/>
      </w:rPr>
    </w:lvl>
    <w:lvl w:ilvl="7">
      <w:start w:val="0"/>
      <w:numFmt w:val="bullet"/>
      <w:lvlText w:val="•"/>
      <w:lvlJc w:val="left"/>
      <w:pPr>
        <w:ind w:left="13271" w:hanging="378"/>
      </w:pPr>
      <w:rPr>
        <w:rFonts w:hint="default"/>
      </w:rPr>
    </w:lvl>
    <w:lvl w:ilvl="8">
      <w:start w:val="0"/>
      <w:numFmt w:val="bullet"/>
      <w:lvlText w:val="•"/>
      <w:lvlJc w:val="left"/>
      <w:pPr>
        <w:ind w:left="14787" w:hanging="378"/>
      </w:pPr>
      <w:rPr>
        <w:rFonts w:hint="default"/>
      </w:rPr>
    </w:lvl>
  </w:abstractNum>
  <w:abstractNum w:abstractNumId="2">
    <w:nsid w:val="61A85C78"/>
    <w:multiLevelType w:val="hybridMultilevel"/>
    <w:tmpl w:val="00000000"/>
    <w:lvl w:ilvl="0">
      <w:start w:val="1"/>
      <w:numFmt w:val="decimal"/>
      <w:lvlText w:val="%1."/>
      <w:lvlJc w:val="left"/>
      <w:pPr>
        <w:ind w:left="3755" w:hanging="378"/>
        <w:jc w:val="left"/>
      </w:pPr>
      <w:rPr>
        <w:rFonts w:ascii="宋体" w:eastAsia="宋体" w:hAnsi="宋体" w:cs="宋体" w:hint="default"/>
        <w:w w:val="100"/>
        <w:sz w:val="34"/>
        <w:szCs w:val="34"/>
      </w:rPr>
    </w:lvl>
    <w:lvl w:ilvl="1">
      <w:start w:val="0"/>
      <w:numFmt w:val="bullet"/>
      <w:lvlText w:val="•"/>
      <w:lvlJc w:val="left"/>
      <w:pPr>
        <w:ind w:left="4240" w:hanging="378"/>
      </w:pPr>
      <w:rPr>
        <w:rFonts w:hint="default"/>
      </w:rPr>
    </w:lvl>
    <w:lvl w:ilvl="2">
      <w:start w:val="0"/>
      <w:numFmt w:val="bullet"/>
      <w:lvlText w:val="•"/>
      <w:lvlJc w:val="left"/>
      <w:pPr>
        <w:ind w:left="5748" w:hanging="378"/>
      </w:pPr>
      <w:rPr>
        <w:rFonts w:hint="default"/>
      </w:rPr>
    </w:lvl>
    <w:lvl w:ilvl="3">
      <w:start w:val="0"/>
      <w:numFmt w:val="bullet"/>
      <w:lvlText w:val="•"/>
      <w:lvlJc w:val="left"/>
      <w:pPr>
        <w:ind w:left="7257" w:hanging="378"/>
      </w:pPr>
      <w:rPr>
        <w:rFonts w:hint="default"/>
      </w:rPr>
    </w:lvl>
    <w:lvl w:ilvl="4">
      <w:start w:val="0"/>
      <w:numFmt w:val="bullet"/>
      <w:lvlText w:val="•"/>
      <w:lvlJc w:val="left"/>
      <w:pPr>
        <w:ind w:left="8766" w:hanging="378"/>
      </w:pPr>
      <w:rPr>
        <w:rFonts w:hint="default"/>
      </w:rPr>
    </w:lvl>
    <w:lvl w:ilvl="5">
      <w:start w:val="0"/>
      <w:numFmt w:val="bullet"/>
      <w:lvlText w:val="•"/>
      <w:lvlJc w:val="left"/>
      <w:pPr>
        <w:ind w:left="10275" w:hanging="378"/>
      </w:pPr>
      <w:rPr>
        <w:rFonts w:hint="default"/>
      </w:rPr>
    </w:lvl>
    <w:lvl w:ilvl="6">
      <w:start w:val="0"/>
      <w:numFmt w:val="bullet"/>
      <w:lvlText w:val="•"/>
      <w:lvlJc w:val="left"/>
      <w:pPr>
        <w:ind w:left="11784" w:hanging="378"/>
      </w:pPr>
      <w:rPr>
        <w:rFonts w:hint="default"/>
      </w:rPr>
    </w:lvl>
    <w:lvl w:ilvl="7">
      <w:start w:val="0"/>
      <w:numFmt w:val="bullet"/>
      <w:lvlText w:val="•"/>
      <w:lvlJc w:val="left"/>
      <w:pPr>
        <w:ind w:left="13293" w:hanging="378"/>
      </w:pPr>
      <w:rPr>
        <w:rFonts w:hint="default"/>
      </w:rPr>
    </w:lvl>
    <w:lvl w:ilvl="8">
      <w:start w:val="0"/>
      <w:numFmt w:val="bullet"/>
      <w:lvlText w:val="•"/>
      <w:lvlJc w:val="left"/>
      <w:pPr>
        <w:ind w:left="14801" w:hanging="378"/>
      </w:pPr>
      <w:rPr>
        <w:rFont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45"/>
      <w:szCs w:val="45"/>
    </w:rPr>
  </w:style>
  <w:style w:type="paragraph" w:customStyle="1" w:styleId="Heading1">
    <w:name w:val="Heading 1"/>
    <w:basedOn w:val="Normal"/>
    <w:uiPriority w:val="1"/>
    <w:qFormat/>
    <w:pPr>
      <w:ind w:left="4277"/>
      <w:outlineLvl w:val="1"/>
    </w:pPr>
    <w:rPr>
      <w:rFonts w:ascii="宋体" w:eastAsia="宋体" w:hAnsi="宋体" w:cs="宋体"/>
      <w:sz w:val="54"/>
      <w:szCs w:val="54"/>
    </w:rPr>
  </w:style>
  <w:style w:type="paragraph" w:customStyle="1" w:styleId="Heading2">
    <w:name w:val="Heading 2"/>
    <w:basedOn w:val="Normal"/>
    <w:uiPriority w:val="1"/>
    <w:qFormat/>
    <w:pPr>
      <w:spacing w:before="9"/>
      <w:ind w:right="2755"/>
      <w:jc w:val="center"/>
      <w:outlineLvl w:val="2"/>
    </w:pPr>
    <w:rPr>
      <w:rFonts w:ascii="宋体" w:eastAsia="宋体" w:hAnsi="宋体" w:cs="宋体"/>
      <w:b/>
      <w:bCs/>
      <w:sz w:val="48"/>
      <w:szCs w:val="48"/>
    </w:rPr>
  </w:style>
  <w:style w:type="paragraph" w:customStyle="1" w:styleId="Heading3">
    <w:name w:val="Heading 3"/>
    <w:basedOn w:val="Normal"/>
    <w:uiPriority w:val="1"/>
    <w:qFormat/>
    <w:pPr>
      <w:spacing w:before="3"/>
      <w:ind w:left="7082"/>
      <w:jc w:val="both"/>
      <w:outlineLvl w:val="3"/>
    </w:pPr>
    <w:rPr>
      <w:rFonts w:ascii="仿宋" w:eastAsia="仿宋" w:hAnsi="仿宋" w:cs="仿宋"/>
      <w:b/>
      <w:bCs/>
      <w:sz w:val="45"/>
      <w:szCs w:val="45"/>
    </w:rPr>
  </w:style>
  <w:style w:type="paragraph" w:styleId="Title">
    <w:name w:val="Title"/>
    <w:basedOn w:val="Normal"/>
    <w:uiPriority w:val="1"/>
    <w:qFormat/>
    <w:pPr>
      <w:spacing w:line="1290" w:lineRule="exact"/>
      <w:ind w:left="3236" w:right="3276"/>
      <w:jc w:val="center"/>
    </w:pPr>
    <w:rPr>
      <w:rFonts w:ascii="幼圆" w:eastAsia="幼圆" w:hAnsi="幼圆" w:cs="幼圆"/>
      <w:sz w:val="108"/>
      <w:szCs w:val="108"/>
    </w:rPr>
  </w:style>
  <w:style w:type="paragraph" w:styleId="ListParagraph">
    <w:name w:val="List Paragraph"/>
    <w:basedOn w:val="Normal"/>
    <w:uiPriority w:val="1"/>
    <w:qFormat/>
    <w:pPr>
      <w:ind w:left="2657" w:hanging="37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8080730670770060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2023-10-13T03:01:50Z</dcterms:created>
  <dcterms:modified xsi:type="dcterms:W3CDTF">2023-10-13T03:01:50Z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2023-04-22T00:00:00Z</vt:filetime>
  </property>
  <property fmtid="{D5CDD505-2E9C-101B-9397-08002B2CF9AE}" pid="3" name="LastSaved">
    <vt:filetime>2023-10-13T00:00:00Z</vt:filetime>
  </property>
</Properties>
</file>